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625127297"/>
        <w:docPartObj>
          <w:docPartGallery w:val="Cover Pages"/>
          <w:docPartUnique/>
        </w:docPartObj>
      </w:sdtPr>
      <w:sdtEndPr/>
      <w:sdtContent>
        <w:p w14:paraId="5380ED24" w14:textId="77777777" w:rsidR="005B1168" w:rsidRDefault="005B1168" w:rsidP="002E6FDE">
          <w:pPr>
            <w:jc w:val="right"/>
          </w:pPr>
        </w:p>
        <w:p w14:paraId="3B0C0374" w14:textId="77777777" w:rsidR="005B1168" w:rsidRDefault="005B1168" w:rsidP="002E6FDE">
          <w:pPr>
            <w:jc w:val="right"/>
          </w:pPr>
        </w:p>
        <w:p w14:paraId="2ABEC867" w14:textId="14166ACD" w:rsidR="000F1648" w:rsidRDefault="002E6FDE" w:rsidP="002E6FDE">
          <w:pPr>
            <w:jc w:val="right"/>
          </w:pPr>
          <w:r>
            <w:rPr>
              <w:noProof/>
            </w:rPr>
            <w:drawing>
              <wp:inline distT="0" distB="0" distL="0" distR="0" wp14:anchorId="4299616C" wp14:editId="23A7AF10">
                <wp:extent cx="1593215" cy="487222"/>
                <wp:effectExtent l="0" t="0" r="6985" b="8255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tagnifi_logo_large_300dpi_flat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3657" cy="493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  <w:p w14:paraId="45CC237F" w14:textId="77777777" w:rsidR="000F1648" w:rsidRDefault="000F1648" w:rsidP="002E6FDE">
          <w:pPr>
            <w:jc w:val="right"/>
          </w:pPr>
        </w:p>
        <w:p w14:paraId="149D5EEE" w14:textId="3E547054" w:rsidR="00005111" w:rsidRDefault="00005111" w:rsidP="002E6FDE">
          <w:pPr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149D5FB9" wp14:editId="4D4E2E2D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8227695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9D5FE9" w14:textId="4A56AD66" w:rsidR="00E171BC" w:rsidRDefault="00E171BC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641EFF4B" w14:textId="2362ED3A" w:rsidR="001868CB" w:rsidRDefault="001868CB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>800-TagniFi</w:t>
                                </w:r>
                              </w:p>
                              <w:p w14:paraId="149D5FEA" w14:textId="0E621728" w:rsidR="00E171BC" w:rsidRDefault="000C6EEB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mail"/>
                                    <w:tag w:val="Email"/>
                                    <w:id w:val="2135518675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E171BC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www.tagnifi.com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149D5FB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left:0;text-align:left;margin-left:0;margin-top:0;width:8in;height:1in;z-index:251656704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" filled="f" stroked="f" strokeweight=".5pt">
                    <v:textbox inset="126pt,0,54pt,0">
                      <w:txbxContent>
                        <w:p w14:paraId="149D5FE9" w14:textId="4A56AD66" w:rsidR="00E171BC" w:rsidRDefault="00E171BC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</w:p>
                        <w:p w14:paraId="641EFF4B" w14:textId="2362ED3A" w:rsidR="001868CB" w:rsidRDefault="001868CB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>800-TagniFi</w:t>
                          </w:r>
                        </w:p>
                        <w:p w14:paraId="149D5FEA" w14:textId="0E621728" w:rsidR="00E171BC" w:rsidRDefault="00823A4E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mail"/>
                              <w:tag w:val="Email"/>
                              <w:id w:val="2135518675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E171BC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www.tagnifi.com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149D5EEF" w14:textId="48662BBE" w:rsidR="00005111" w:rsidRDefault="001868CB" w:rsidP="000F1648">
          <w:pPr>
            <w:ind w:hanging="90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149D5FBB" wp14:editId="48C15E45">
                    <wp:simplePos x="0" y="0"/>
                    <wp:positionH relativeFrom="page">
                      <wp:posOffset>1228724</wp:posOffset>
                    </wp:positionH>
                    <wp:positionV relativeFrom="page">
                      <wp:posOffset>7038975</wp:posOffset>
                    </wp:positionV>
                    <wp:extent cx="6313805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313805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9D5FEB" w14:textId="77777777" w:rsidR="00E171BC" w:rsidRPr="00460436" w:rsidRDefault="00E171BC">
                                <w:pPr>
                                  <w:pStyle w:val="NoSpacing"/>
                                  <w:jc w:val="right"/>
                                  <w:rPr>
                                    <w:color w:val="008FD5"/>
                                    <w:sz w:val="28"/>
                                    <w:szCs w:val="28"/>
                                  </w:rPr>
                                </w:pPr>
                                <w:r w:rsidRPr="00460436">
                                  <w:rPr>
                                    <w:color w:val="008FD5"/>
                                    <w:sz w:val="28"/>
                                    <w:szCs w:val="28"/>
                                  </w:rPr>
                                  <w:t>Abstract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149D5FEC" w14:textId="2C8EF4B7" w:rsidR="00E171BC" w:rsidRDefault="00E171BC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 w:rsidRPr="00005111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Designed for business valuation professionals, TagniFi’s Quarterly Economic </w:t>
                                    </w: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Update</w:t>
                                    </w:r>
                                    <w:r w:rsidRPr="00005111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provides timely economic data</w:t>
                                    </w: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to satisfy Revenue Ruling 59-60. </w:t>
                                    </w:r>
                                    <w:r w:rsidRPr="00005111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149D5FBB" id="Text Box 153" o:spid="_x0000_s1027" type="#_x0000_t202" style="position:absolute;margin-left:96.75pt;margin-top:554.25pt;width:497.15pt;height:79.5pt;z-index:251658752;visibility:visible;mso-wrap-style:square;mso-width-percent:0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" filled="f" stroked="f" strokeweight=".5pt">
                    <v:textbox style="mso-fit-shape-to-text:t" inset="126pt,0,54pt,0">
                      <w:txbxContent>
                        <w:p w14:paraId="149D5FEB" w14:textId="77777777" w:rsidR="00E171BC" w:rsidRPr="00460436" w:rsidRDefault="00E171BC">
                          <w:pPr>
                            <w:pStyle w:val="NoSpacing"/>
                            <w:jc w:val="right"/>
                            <w:rPr>
                              <w:color w:val="008FD5"/>
                              <w:sz w:val="28"/>
                              <w:szCs w:val="28"/>
                            </w:rPr>
                          </w:pPr>
                          <w:r w:rsidRPr="00460436">
                            <w:rPr>
                              <w:color w:val="008FD5"/>
                              <w:sz w:val="28"/>
                              <w:szCs w:val="28"/>
                            </w:rPr>
                            <w:t>Abstract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149D5FEC" w14:textId="2C8EF4B7" w:rsidR="00E171BC" w:rsidRDefault="00E171BC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005111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Designed for business valuation professionals, TagniFi’s Quarterly Economic 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Update</w:t>
                              </w:r>
                              <w:r w:rsidRPr="00005111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provides timely economic data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to satisfy Revenue Ruling 59-60. </w:t>
                              </w:r>
                              <w:r w:rsidRPr="00005111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0F164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4656" behindDoc="0" locked="0" layoutInCell="1" allowOverlap="1" wp14:anchorId="149D5FBD" wp14:editId="198431CC">
                    <wp:simplePos x="0" y="0"/>
                    <wp:positionH relativeFrom="page">
                      <wp:posOffset>228600</wp:posOffset>
                    </wp:positionH>
                    <wp:positionV relativeFrom="page">
                      <wp:posOffset>5173980</wp:posOffset>
                    </wp:positionV>
                    <wp:extent cx="7315200" cy="1488440"/>
                    <wp:effectExtent l="0" t="0" r="0" b="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4884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9D5FED" w14:textId="77777777" w:rsidR="00E171BC" w:rsidRPr="00460436" w:rsidRDefault="000C6EEB" w:rsidP="0099783F">
                                <w:pPr>
                                  <w:ind w:left="-1260"/>
                                  <w:jc w:val="right"/>
                                  <w:rPr>
                                    <w:color w:val="008FD5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008FD5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E171BC" w:rsidRPr="00460436">
                                      <w:rPr>
                                        <w:caps/>
                                        <w:color w:val="008FD5"/>
                                        <w:sz w:val="64"/>
                                        <w:szCs w:val="64"/>
                                      </w:rPr>
                                      <w:t>Quarterly Economic Update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49D5FEE" w14:textId="0F9A467D" w:rsidR="00E171BC" w:rsidRDefault="00E171BC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For the </w:t>
                                    </w:r>
                                    <w:r w:rsidR="00FB4C93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3r</w:t>
                                    </w: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d Quarter of 2019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49D5FBD" id="Text Box 154" o:spid="_x0000_s1028" type="#_x0000_t202" style="position:absolute;margin-left:18pt;margin-top:407.4pt;width:8in;height:117.2pt;z-index:251654656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" filled="f" stroked="f" strokeweight=".5pt">
                    <v:textbox inset="126pt,0,54pt,0">
                      <w:txbxContent>
                        <w:p w14:paraId="149D5FED" w14:textId="77777777" w:rsidR="00E171BC" w:rsidRPr="00460436" w:rsidRDefault="00823A4E" w:rsidP="0099783F">
                          <w:pPr>
                            <w:ind w:left="-1260"/>
                            <w:jc w:val="right"/>
                            <w:rPr>
                              <w:color w:val="008FD5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008FD5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E171BC" w:rsidRPr="00460436">
                                <w:rPr>
                                  <w:caps/>
                                  <w:color w:val="008FD5"/>
                                  <w:sz w:val="64"/>
                                  <w:szCs w:val="64"/>
                                </w:rPr>
                                <w:t>Quarterly Economic Update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149D5FEE" w14:textId="0F9A467D" w:rsidR="00E171BC" w:rsidRDefault="00E171BC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For the </w:t>
                              </w:r>
                              <w:r w:rsidR="00FB4C93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3r</w:t>
                              </w: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d Quarter of 2019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005111">
            <w:br w:type="page"/>
          </w:r>
        </w:p>
      </w:sdtContent>
    </w:sdt>
    <w:p w14:paraId="149D5EF0" w14:textId="77777777" w:rsidR="00217AD5" w:rsidRDefault="00005111" w:rsidP="00005111">
      <w:pPr>
        <w:pStyle w:val="Heading1"/>
      </w:pPr>
      <w:r>
        <w:lastRenderedPageBreak/>
        <w:t>Summary</w:t>
      </w:r>
    </w:p>
    <w:p w14:paraId="2075548B" w14:textId="0A639255" w:rsidR="006748EE" w:rsidRDefault="006055F4" w:rsidP="00005111">
      <w:r w:rsidRPr="009972A2">
        <w:t>Real</w:t>
      </w:r>
      <w:r w:rsidR="00F44A8F" w:rsidRPr="009972A2">
        <w:t xml:space="preserve"> GDP</w:t>
      </w:r>
      <w:r w:rsidRPr="009972A2">
        <w:t xml:space="preserve"> </w:t>
      </w:r>
      <w:r w:rsidR="000A79DC" w:rsidRPr="009972A2">
        <w:t xml:space="preserve">continued to slow, but </w:t>
      </w:r>
      <w:r w:rsidRPr="009972A2">
        <w:t xml:space="preserve">exceeded expectations in </w:t>
      </w:r>
      <w:r w:rsidR="001868CB" w:rsidRPr="009972A2">
        <w:t xml:space="preserve">the </w:t>
      </w:r>
      <w:r w:rsidR="000A79DC" w:rsidRPr="009972A2">
        <w:t>3</w:t>
      </w:r>
      <w:r w:rsidR="000A79DC" w:rsidRPr="009972A2">
        <w:rPr>
          <w:vertAlign w:val="superscript"/>
        </w:rPr>
        <w:t>rd</w:t>
      </w:r>
      <w:r w:rsidR="000A79DC" w:rsidRPr="009972A2">
        <w:t xml:space="preserve"> </w:t>
      </w:r>
      <w:r w:rsidRPr="009972A2">
        <w:t xml:space="preserve">quarter, despite concerns over </w:t>
      </w:r>
      <w:r w:rsidR="000A79DC" w:rsidRPr="009972A2">
        <w:t>ongoing trade tensions, the resulting tariffs, and shortages of skilled manufacturing labor</w:t>
      </w:r>
      <w:r w:rsidR="00337BD8" w:rsidRPr="009972A2">
        <w:t>.</w:t>
      </w:r>
      <w:r w:rsidR="00551864" w:rsidRPr="009972A2">
        <w:t xml:space="preserve"> </w:t>
      </w:r>
      <w:r w:rsidR="000A79DC" w:rsidRPr="009972A2">
        <w:t>P</w:t>
      </w:r>
      <w:r w:rsidR="00B66CC0" w:rsidRPr="009972A2">
        <w:t>ersonal and government spending</w:t>
      </w:r>
      <w:r w:rsidR="000A79DC" w:rsidRPr="009972A2">
        <w:t xml:space="preserve"> remained robust</w:t>
      </w:r>
      <w:r w:rsidR="006748EE" w:rsidRPr="009972A2">
        <w:t xml:space="preserve">. </w:t>
      </w:r>
      <w:r w:rsidR="00B66CC0" w:rsidRPr="009972A2">
        <w:t xml:space="preserve">Additionally, the Federal Reserve </w:t>
      </w:r>
      <w:r w:rsidR="009972A2" w:rsidRPr="009972A2">
        <w:t xml:space="preserve">has </w:t>
      </w:r>
      <w:r w:rsidR="000A79DC" w:rsidRPr="009972A2">
        <w:t>cut</w:t>
      </w:r>
      <w:r w:rsidR="00551864" w:rsidRPr="009972A2">
        <w:t xml:space="preserve"> </w:t>
      </w:r>
      <w:r w:rsidR="00B66CC0" w:rsidRPr="009972A2">
        <w:t>target interest rate</w:t>
      </w:r>
      <w:r w:rsidR="000A79DC" w:rsidRPr="009972A2">
        <w:t xml:space="preserve">s </w:t>
      </w:r>
      <w:r w:rsidR="00C742C8">
        <w:t>twice throughout</w:t>
      </w:r>
      <w:r w:rsidR="009972A2" w:rsidRPr="009972A2">
        <w:t xml:space="preserve"> </w:t>
      </w:r>
      <w:r w:rsidR="00C742C8">
        <w:t>the quarter</w:t>
      </w:r>
      <w:r w:rsidR="00B66CC0" w:rsidRPr="009972A2">
        <w:t xml:space="preserve">, </w:t>
      </w:r>
      <w:r w:rsidR="009972A2" w:rsidRPr="009972A2">
        <w:t xml:space="preserve">creating </w:t>
      </w:r>
      <w:r w:rsidR="00B66CC0" w:rsidRPr="009972A2">
        <w:t>favorable condition</w:t>
      </w:r>
      <w:r w:rsidR="009972A2" w:rsidRPr="009972A2">
        <w:t>s</w:t>
      </w:r>
      <w:r w:rsidR="00B66CC0" w:rsidRPr="009972A2">
        <w:t xml:space="preserve"> for equity markets.</w:t>
      </w:r>
    </w:p>
    <w:p w14:paraId="75593519" w14:textId="0ABDA44A" w:rsidR="00A96A6A" w:rsidRDefault="00B66CC0" w:rsidP="00551864">
      <w:r>
        <w:t>O</w:t>
      </w:r>
      <w:r w:rsidR="003316E9">
        <w:t xml:space="preserve">il prices </w:t>
      </w:r>
      <w:r w:rsidR="00643797">
        <w:t>rose</w:t>
      </w:r>
      <w:r w:rsidR="00FB4C93">
        <w:t xml:space="preserve"> slightly during the 3</w:t>
      </w:r>
      <w:r w:rsidR="00FB4C93" w:rsidRPr="00FB4C93">
        <w:rPr>
          <w:vertAlign w:val="superscript"/>
        </w:rPr>
        <w:t>rd</w:t>
      </w:r>
      <w:r w:rsidR="00FB4C93">
        <w:t xml:space="preserve"> </w:t>
      </w:r>
      <w:r>
        <w:t>quarter as</w:t>
      </w:r>
      <w:r w:rsidR="00643797">
        <w:t xml:space="preserve"> tensions mounted in the Middle East. The rising prices were moderated by growing</w:t>
      </w:r>
      <w:r>
        <w:t xml:space="preserve"> </w:t>
      </w:r>
      <w:r w:rsidR="00FB4C93">
        <w:t xml:space="preserve">U.S. </w:t>
      </w:r>
      <w:r w:rsidR="00643797">
        <w:t xml:space="preserve">production and </w:t>
      </w:r>
      <w:r w:rsidR="00FB4C93">
        <w:t xml:space="preserve">stockpiles </w:t>
      </w:r>
      <w:r w:rsidR="00C742C8">
        <w:t>combined with</w:t>
      </w:r>
      <w:r w:rsidR="00FB4C93">
        <w:t xml:space="preserve"> </w:t>
      </w:r>
      <w:r w:rsidR="00643797">
        <w:t xml:space="preserve">decreased demand from </w:t>
      </w:r>
      <w:r w:rsidR="00FB4C93">
        <w:t>Chin</w:t>
      </w:r>
      <w:r w:rsidR="00643797">
        <w:t>a</w:t>
      </w:r>
      <w:r w:rsidR="00FB4C93">
        <w:t xml:space="preserve">. </w:t>
      </w:r>
      <w:r w:rsidR="00643797">
        <w:t xml:space="preserve">Additionally, </w:t>
      </w:r>
      <w:r w:rsidR="00FB4C93">
        <w:t>Saudi output recovered faster than expected from the mid-September oil field attack, preventing a spike in globally traded crude prices</w:t>
      </w:r>
      <w:r w:rsidR="006748EE">
        <w:t>.</w:t>
      </w:r>
      <w:r w:rsidR="00551864">
        <w:t xml:space="preserve"> </w:t>
      </w:r>
      <w:r w:rsidR="00337BD8">
        <w:t>C</w:t>
      </w:r>
      <w:r w:rsidR="00FE3845">
        <w:t xml:space="preserve">rude oil </w:t>
      </w:r>
      <w:r w:rsidR="00EA6897">
        <w:t>prices</w:t>
      </w:r>
      <w:r w:rsidR="00BC6211">
        <w:rPr>
          <w:rStyle w:val="FootnoteReference"/>
        </w:rPr>
        <w:footnoteReference w:id="1"/>
      </w:r>
      <w:r w:rsidR="00EA6897">
        <w:t xml:space="preserve"> </w:t>
      </w:r>
      <w:r w:rsidR="00FB4C93">
        <w:t xml:space="preserve">ended the </w:t>
      </w:r>
      <w:r w:rsidR="00643797">
        <w:t>quarter at $56.95</w:t>
      </w:r>
      <w:r w:rsidR="00490AFD">
        <w:t xml:space="preserve"> per barrel </w:t>
      </w:r>
      <w:r w:rsidR="00337BD8">
        <w:t xml:space="preserve">in </w:t>
      </w:r>
      <w:r w:rsidR="00643797">
        <w:t>September</w:t>
      </w:r>
      <w:r w:rsidR="00337BD8">
        <w:t xml:space="preserve">, </w:t>
      </w:r>
      <w:r w:rsidR="00643797">
        <w:t>up 4</w:t>
      </w:r>
      <w:r w:rsidR="00551864">
        <w:t>.0</w:t>
      </w:r>
      <w:r w:rsidR="00027E1E">
        <w:t>% from the previous quarter</w:t>
      </w:r>
      <w:r w:rsidR="00F27E28">
        <w:t xml:space="preserve">. Prices </w:t>
      </w:r>
      <w:r w:rsidR="00D01E9D">
        <w:t xml:space="preserve">for crude oil </w:t>
      </w:r>
      <w:r w:rsidR="00F27E28">
        <w:t xml:space="preserve">were </w:t>
      </w:r>
      <w:r w:rsidR="00551864">
        <w:t>1</w:t>
      </w:r>
      <w:r w:rsidR="00643797">
        <w:t>8.9</w:t>
      </w:r>
      <w:r w:rsidR="00D851AB" w:rsidRPr="00892D49">
        <w:t xml:space="preserve">% </w:t>
      </w:r>
      <w:r w:rsidR="00F27E28">
        <w:t>lower than</w:t>
      </w:r>
      <w:r w:rsidR="000017CB" w:rsidRPr="00892D49">
        <w:t xml:space="preserve"> last </w:t>
      </w:r>
      <w:r w:rsidR="00643797">
        <w:t>September</w:t>
      </w:r>
      <w:r w:rsidR="00A5218C">
        <w:t>.</w:t>
      </w:r>
    </w:p>
    <w:p w14:paraId="7739DC43" w14:textId="319AAD2E" w:rsidR="00A96A6A" w:rsidRDefault="002308A9" w:rsidP="006D4E8F">
      <w:pPr>
        <w:jc w:val="center"/>
      </w:pPr>
      <w:r>
        <w:rPr>
          <w:noProof/>
        </w:rPr>
        <w:drawing>
          <wp:inline distT="0" distB="0" distL="0" distR="0" wp14:anchorId="2D26558B" wp14:editId="781AA78C">
            <wp:extent cx="360934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2CFF26" w14:textId="6F1EE085" w:rsidR="003477B7" w:rsidRDefault="00CA4851" w:rsidP="00AF2763">
      <w:r>
        <w:t>T</w:t>
      </w:r>
      <w:r w:rsidR="009E4D8D" w:rsidRPr="00CA74AC">
        <w:t>he U.S. dollar index</w:t>
      </w:r>
      <w:r w:rsidR="00053E46">
        <w:rPr>
          <w:rStyle w:val="FootnoteReference"/>
        </w:rPr>
        <w:footnoteReference w:id="2"/>
      </w:r>
      <w:r w:rsidR="009E4D8D" w:rsidRPr="00CA74AC">
        <w:t xml:space="preserve"> </w:t>
      </w:r>
      <w:r>
        <w:t>continued to rise, up</w:t>
      </w:r>
      <w:r w:rsidR="00551864">
        <w:t xml:space="preserve"> </w:t>
      </w:r>
      <w:r>
        <w:t>2.56</w:t>
      </w:r>
      <w:r w:rsidR="009E4D8D" w:rsidRPr="00CA74AC">
        <w:t xml:space="preserve">% from the </w:t>
      </w:r>
      <w:r>
        <w:t>2</w:t>
      </w:r>
      <w:r w:rsidRPr="00CA4851">
        <w:rPr>
          <w:vertAlign w:val="superscript"/>
        </w:rPr>
        <w:t>nd</w:t>
      </w:r>
      <w:r>
        <w:t xml:space="preserve"> </w:t>
      </w:r>
      <w:r w:rsidR="009E4D8D" w:rsidRPr="00CA74AC">
        <w:t>quarter</w:t>
      </w:r>
      <w:r w:rsidR="00FD6E1A">
        <w:t xml:space="preserve"> </w:t>
      </w:r>
      <w:r w:rsidR="00551864">
        <w:t xml:space="preserve">and </w:t>
      </w:r>
      <w:r>
        <w:t>4.11</w:t>
      </w:r>
      <w:r w:rsidR="009E4D8D" w:rsidRPr="00CA74AC">
        <w:t xml:space="preserve">% </w:t>
      </w:r>
      <w:r w:rsidR="005B1ACA">
        <w:t>since</w:t>
      </w:r>
      <w:r w:rsidR="009E4D8D" w:rsidRPr="00CA74AC">
        <w:t xml:space="preserve"> the </w:t>
      </w:r>
      <w:r>
        <w:t>3</w:t>
      </w:r>
      <w:r w:rsidRPr="00CA4851">
        <w:rPr>
          <w:vertAlign w:val="superscript"/>
        </w:rPr>
        <w:t>rd</w:t>
      </w:r>
      <w:r>
        <w:t xml:space="preserve"> </w:t>
      </w:r>
      <w:r w:rsidR="00D01E9D">
        <w:t>quarter</w:t>
      </w:r>
      <w:r w:rsidR="009E4D8D" w:rsidRPr="00CA74AC">
        <w:t xml:space="preserve"> last year.</w:t>
      </w:r>
      <w:r w:rsidR="00E24F81" w:rsidRPr="00CA74AC">
        <w:t xml:space="preserve"> </w:t>
      </w:r>
      <w:r>
        <w:t>The</w:t>
      </w:r>
      <w:r w:rsidR="00AA37BC">
        <w:t xml:space="preserve"> dollar </w:t>
      </w:r>
      <w:r>
        <w:t>gained</w:t>
      </w:r>
      <w:r w:rsidR="00AA37BC">
        <w:t xml:space="preserve"> momentum in </w:t>
      </w:r>
      <w:r>
        <w:t>August and September</w:t>
      </w:r>
      <w:r w:rsidR="00AA37BC">
        <w:t xml:space="preserve"> </w:t>
      </w:r>
      <w:r w:rsidR="00CD10EB">
        <w:t>as a result of</w:t>
      </w:r>
      <w:r w:rsidR="00AA37BC">
        <w:t xml:space="preserve"> </w:t>
      </w:r>
      <w:r>
        <w:t>weakening global economi</w:t>
      </w:r>
      <w:r w:rsidR="00CD10EB">
        <w:t>e</w:t>
      </w:r>
      <w:r>
        <w:t xml:space="preserve">s and aggressive monetary </w:t>
      </w:r>
      <w:r w:rsidR="00CD10EB">
        <w:t xml:space="preserve">policy </w:t>
      </w:r>
      <w:r>
        <w:t>easing overseas</w:t>
      </w:r>
      <w:r w:rsidR="00E37A8F">
        <w:t>.</w:t>
      </w:r>
      <w:r w:rsidR="00CD10EB">
        <w:t xml:space="preserve"> A notable factor was a drop in the value of the British pound amid Brexit uncertainty.</w:t>
      </w:r>
    </w:p>
    <w:p w14:paraId="5FD9C9E3" w14:textId="561F666D" w:rsidR="004D1C9D" w:rsidRDefault="002308A9" w:rsidP="006D4E8F">
      <w:pPr>
        <w:jc w:val="center"/>
      </w:pPr>
      <w:r>
        <w:rPr>
          <w:noProof/>
        </w:rPr>
        <w:lastRenderedPageBreak/>
        <w:drawing>
          <wp:inline distT="0" distB="0" distL="0" distR="0" wp14:anchorId="7D9E5A55" wp14:editId="1ACA18A0">
            <wp:extent cx="4097020" cy="2749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9D5EF9" w14:textId="77777777" w:rsidR="002731EF" w:rsidRDefault="002731EF" w:rsidP="001475FF">
      <w:pPr>
        <w:pStyle w:val="Heading1"/>
      </w:pPr>
      <w:r>
        <w:t>Economic Highlights</w:t>
      </w:r>
    </w:p>
    <w:p w14:paraId="149D5EFA" w14:textId="45B19374" w:rsidR="002608F3" w:rsidRPr="009972A2" w:rsidRDefault="002608F3" w:rsidP="00E528F7">
      <w:pPr>
        <w:pStyle w:val="ListParagraph"/>
        <w:numPr>
          <w:ilvl w:val="0"/>
          <w:numId w:val="3"/>
        </w:numPr>
      </w:pPr>
      <w:r w:rsidRPr="009972A2">
        <w:t>Real GDP gr</w:t>
      </w:r>
      <w:r w:rsidR="00AA37BC" w:rsidRPr="009972A2">
        <w:t>ew at</w:t>
      </w:r>
      <w:r w:rsidR="00F44A8F" w:rsidRPr="009972A2">
        <w:t xml:space="preserve"> </w:t>
      </w:r>
      <w:r w:rsidRPr="009972A2">
        <w:t xml:space="preserve">an annual rate of </w:t>
      </w:r>
      <w:r w:rsidR="009972A2" w:rsidRPr="009972A2">
        <w:t>1.9</w:t>
      </w:r>
      <w:r w:rsidRPr="009972A2">
        <w:t>%</w:t>
      </w:r>
      <w:r w:rsidR="00F44A8F" w:rsidRPr="009972A2">
        <w:t xml:space="preserve"> in the </w:t>
      </w:r>
      <w:r w:rsidR="009972A2" w:rsidRPr="009972A2">
        <w:t>3</w:t>
      </w:r>
      <w:r w:rsidR="009972A2" w:rsidRPr="009972A2">
        <w:rPr>
          <w:vertAlign w:val="superscript"/>
        </w:rPr>
        <w:t>rd</w:t>
      </w:r>
      <w:r w:rsidR="009972A2" w:rsidRPr="009972A2">
        <w:t xml:space="preserve"> </w:t>
      </w:r>
      <w:r w:rsidR="00F44A8F" w:rsidRPr="009972A2">
        <w:t>quarter</w:t>
      </w:r>
      <w:r w:rsidRPr="009972A2">
        <w:t>,</w:t>
      </w:r>
      <w:r w:rsidR="00AA37BC" w:rsidRPr="009972A2">
        <w:t xml:space="preserve"> </w:t>
      </w:r>
      <w:r w:rsidR="00D01E9D" w:rsidRPr="009972A2">
        <w:t>decelerating</w:t>
      </w:r>
      <w:r w:rsidR="00AA37BC" w:rsidRPr="009972A2">
        <w:t xml:space="preserve"> by </w:t>
      </w:r>
      <w:r w:rsidR="009972A2" w:rsidRPr="009972A2">
        <w:t>0.1</w:t>
      </w:r>
      <w:r w:rsidRPr="009972A2">
        <w:t xml:space="preserve">% </w:t>
      </w:r>
      <w:r w:rsidR="00F74174" w:rsidRPr="009972A2">
        <w:t>from</w:t>
      </w:r>
      <w:r w:rsidRPr="009972A2">
        <w:t xml:space="preserve"> the previous quarter</w:t>
      </w:r>
      <w:r w:rsidR="00AA37BC" w:rsidRPr="009972A2">
        <w:t xml:space="preserve">, </w:t>
      </w:r>
      <w:r w:rsidR="00D01E9D" w:rsidRPr="009972A2">
        <w:t>yet</w:t>
      </w:r>
      <w:r w:rsidR="00AA37BC" w:rsidRPr="009972A2">
        <w:t xml:space="preserve"> exceeding economists</w:t>
      </w:r>
      <w:r w:rsidR="001868CB" w:rsidRPr="009972A2">
        <w:t>’</w:t>
      </w:r>
      <w:r w:rsidR="00AA37BC" w:rsidRPr="009972A2">
        <w:t xml:space="preserve"> expectations</w:t>
      </w:r>
      <w:r w:rsidRPr="009972A2">
        <w:t>.</w:t>
      </w:r>
    </w:p>
    <w:p w14:paraId="149D5EFB" w14:textId="1ECDB60C" w:rsidR="002731EF" w:rsidRPr="003316E9" w:rsidRDefault="003E4ACB" w:rsidP="00E528F7">
      <w:pPr>
        <w:pStyle w:val="ListParagraph"/>
        <w:numPr>
          <w:ilvl w:val="0"/>
          <w:numId w:val="3"/>
        </w:numPr>
      </w:pPr>
      <w:r w:rsidRPr="003316E9">
        <w:t xml:space="preserve">Oil prices </w:t>
      </w:r>
      <w:r w:rsidR="00CD10EB">
        <w:t>rose</w:t>
      </w:r>
      <w:r w:rsidRPr="003316E9">
        <w:t xml:space="preserve">, with WTI crude </w:t>
      </w:r>
      <w:r w:rsidR="00CD10EB">
        <w:t>up</w:t>
      </w:r>
      <w:r w:rsidR="00E37A8F" w:rsidRPr="003316E9">
        <w:t xml:space="preserve"> to</w:t>
      </w:r>
      <w:r w:rsidRPr="003316E9">
        <w:t xml:space="preserve"> </w:t>
      </w:r>
      <w:r w:rsidR="006575D2" w:rsidRPr="003316E9">
        <w:t>$</w:t>
      </w:r>
      <w:r w:rsidR="00CD10EB">
        <w:t>56.95</w:t>
      </w:r>
      <w:r w:rsidR="006575D2" w:rsidRPr="003316E9">
        <w:t xml:space="preserve"> </w:t>
      </w:r>
      <w:r w:rsidR="00D851AB" w:rsidRPr="003316E9">
        <w:t xml:space="preserve">per barrel in </w:t>
      </w:r>
      <w:r w:rsidR="00CD10EB">
        <w:t>September</w:t>
      </w:r>
      <w:r w:rsidRPr="003316E9">
        <w:t>.</w:t>
      </w:r>
    </w:p>
    <w:p w14:paraId="149D5EFC" w14:textId="33A9576D" w:rsidR="00E24F81" w:rsidRPr="003316E9" w:rsidRDefault="00E24F81" w:rsidP="00E528F7">
      <w:pPr>
        <w:pStyle w:val="ListParagraph"/>
        <w:numPr>
          <w:ilvl w:val="0"/>
          <w:numId w:val="3"/>
        </w:numPr>
      </w:pPr>
      <w:r w:rsidRPr="003316E9">
        <w:t xml:space="preserve">The U.S. dollar index </w:t>
      </w:r>
      <w:r w:rsidR="00CD10EB">
        <w:t>climbed</w:t>
      </w:r>
      <w:r w:rsidRPr="003316E9">
        <w:t xml:space="preserve"> </w:t>
      </w:r>
      <w:r w:rsidR="00CD10EB">
        <w:t>2.56</w:t>
      </w:r>
      <w:r w:rsidRPr="003316E9">
        <w:t xml:space="preserve">% in the </w:t>
      </w:r>
      <w:r w:rsidR="00CD10EB">
        <w:t>3</w:t>
      </w:r>
      <w:r w:rsidR="00CD10EB" w:rsidRPr="00CD10EB">
        <w:rPr>
          <w:vertAlign w:val="superscript"/>
        </w:rPr>
        <w:t>rd</w:t>
      </w:r>
      <w:r w:rsidR="00CD10EB">
        <w:t xml:space="preserve"> </w:t>
      </w:r>
      <w:r w:rsidRPr="003316E9">
        <w:t xml:space="preserve">quarter </w:t>
      </w:r>
      <w:r w:rsidR="00AA37BC">
        <w:t>and</w:t>
      </w:r>
      <w:r w:rsidRPr="003316E9">
        <w:t xml:space="preserve"> </w:t>
      </w:r>
      <w:r w:rsidR="00CD10EB">
        <w:t>4.11</w:t>
      </w:r>
      <w:r w:rsidRPr="003316E9">
        <w:t xml:space="preserve">% </w:t>
      </w:r>
      <w:r w:rsidR="00E37A8F" w:rsidRPr="003316E9">
        <w:t>since</w:t>
      </w:r>
      <w:r w:rsidRPr="003316E9">
        <w:t xml:space="preserve"> the same period last year.</w:t>
      </w:r>
    </w:p>
    <w:p w14:paraId="149D5EFD" w14:textId="76957D33" w:rsidR="0076717F" w:rsidRPr="006D4E8F" w:rsidRDefault="00E50993" w:rsidP="00E528F7">
      <w:pPr>
        <w:pStyle w:val="ListParagraph"/>
        <w:numPr>
          <w:ilvl w:val="0"/>
          <w:numId w:val="3"/>
        </w:numPr>
      </w:pPr>
      <w:r w:rsidRPr="006D4E8F">
        <w:t xml:space="preserve">In </w:t>
      </w:r>
      <w:r w:rsidR="005117CA" w:rsidRPr="006D4E8F">
        <w:t>September</w:t>
      </w:r>
      <w:r w:rsidR="00E37A8F" w:rsidRPr="006D4E8F">
        <w:t>,</w:t>
      </w:r>
      <w:r w:rsidRPr="006D4E8F">
        <w:t xml:space="preserve"> the Federal Reserve </w:t>
      </w:r>
      <w:r w:rsidR="005117CA" w:rsidRPr="006D4E8F">
        <w:t>cut</w:t>
      </w:r>
      <w:r w:rsidR="00E37A8F" w:rsidRPr="006D4E8F">
        <w:t xml:space="preserve"> the federal funds target rate </w:t>
      </w:r>
      <w:r w:rsidR="005117CA" w:rsidRPr="006D4E8F">
        <w:t>to</w:t>
      </w:r>
      <w:r w:rsidR="00E37A8F" w:rsidRPr="006D4E8F">
        <w:t xml:space="preserve"> a range of </w:t>
      </w:r>
      <w:r w:rsidR="005117CA" w:rsidRPr="006D4E8F">
        <w:t>1.7</w:t>
      </w:r>
      <w:r w:rsidR="00E37A8F" w:rsidRPr="006D4E8F">
        <w:t>5 to 2.</w:t>
      </w:r>
      <w:r w:rsidR="005117CA" w:rsidRPr="006D4E8F">
        <w:t>0</w:t>
      </w:r>
      <w:r w:rsidR="00E37A8F" w:rsidRPr="006D4E8F">
        <w:t>0 percent</w:t>
      </w:r>
      <w:r w:rsidRPr="006D4E8F">
        <w:t xml:space="preserve">. </w:t>
      </w:r>
      <w:r w:rsidR="00C742C8">
        <w:t>Two target rate cuts totaled 50 basis points in the third quarter.</w:t>
      </w:r>
    </w:p>
    <w:p w14:paraId="149D5EFE" w14:textId="546969B9" w:rsidR="003E4ACB" w:rsidRPr="00140FEE" w:rsidRDefault="003E4ACB" w:rsidP="00E528F7">
      <w:pPr>
        <w:pStyle w:val="ListParagraph"/>
        <w:numPr>
          <w:ilvl w:val="0"/>
          <w:numId w:val="3"/>
        </w:numPr>
      </w:pPr>
      <w:r w:rsidRPr="006D4E8F">
        <w:t xml:space="preserve">Interest rates </w:t>
      </w:r>
      <w:r w:rsidR="00E37A8F" w:rsidRPr="006D4E8F">
        <w:t xml:space="preserve">declined </w:t>
      </w:r>
      <w:r w:rsidRPr="006D4E8F">
        <w:t>during the quarter with the 10-y</w:t>
      </w:r>
      <w:r w:rsidR="002F1C7B" w:rsidRPr="006D4E8F">
        <w:t xml:space="preserve">ear U.S. treasury </w:t>
      </w:r>
      <w:r w:rsidR="00BD0BA8" w:rsidRPr="006D4E8F">
        <w:t>yielding</w:t>
      </w:r>
      <w:r w:rsidR="002F1C7B" w:rsidRPr="006D4E8F">
        <w:t xml:space="preserve"> </w:t>
      </w:r>
      <w:r w:rsidR="005117CA" w:rsidRPr="006D4E8F">
        <w:t>1.68</w:t>
      </w:r>
      <w:r w:rsidRPr="006D4E8F">
        <w:t xml:space="preserve">% </w:t>
      </w:r>
      <w:r w:rsidR="004D0515" w:rsidRPr="00140FEE">
        <w:t>and the 30-y</w:t>
      </w:r>
      <w:r w:rsidR="002F1C7B" w:rsidRPr="00140FEE">
        <w:t>ear U.S. treasury yielding</w:t>
      </w:r>
      <w:r w:rsidR="004D0515" w:rsidRPr="00140FEE">
        <w:t xml:space="preserve"> </w:t>
      </w:r>
      <w:r w:rsidR="00CC118C" w:rsidRPr="00140FEE">
        <w:t>2.</w:t>
      </w:r>
      <w:r w:rsidR="005117CA" w:rsidRPr="00140FEE">
        <w:t>1</w:t>
      </w:r>
      <w:r w:rsidR="00AA37BC" w:rsidRPr="00140FEE">
        <w:t>2</w:t>
      </w:r>
      <w:r w:rsidR="002F1C7B" w:rsidRPr="00140FEE">
        <w:t>%</w:t>
      </w:r>
      <w:r w:rsidR="004D0515" w:rsidRPr="00140FEE">
        <w:t>.</w:t>
      </w:r>
    </w:p>
    <w:p w14:paraId="149D5EFF" w14:textId="00FEDC60" w:rsidR="003E4ACB" w:rsidRPr="00140FEE" w:rsidRDefault="00CD3F6E" w:rsidP="00E528F7">
      <w:pPr>
        <w:pStyle w:val="ListParagraph"/>
        <w:numPr>
          <w:ilvl w:val="0"/>
          <w:numId w:val="3"/>
        </w:numPr>
      </w:pPr>
      <w:r w:rsidRPr="00140FEE">
        <w:t>Consumer i</w:t>
      </w:r>
      <w:r w:rsidR="006E4B4F" w:rsidRPr="00140FEE">
        <w:t xml:space="preserve">nflation </w:t>
      </w:r>
      <w:r w:rsidR="00CC118C" w:rsidRPr="00140FEE">
        <w:t xml:space="preserve">cooled slightly to </w:t>
      </w:r>
      <w:r w:rsidR="00140FEE" w:rsidRPr="00140FEE">
        <w:t>1.73</w:t>
      </w:r>
      <w:r w:rsidR="00CC118C" w:rsidRPr="00140FEE">
        <w:t>% during the quarter</w:t>
      </w:r>
      <w:r w:rsidR="003E4ACB" w:rsidRPr="00140FEE">
        <w:t>.</w:t>
      </w:r>
    </w:p>
    <w:p w14:paraId="149D5F00" w14:textId="75F203CB" w:rsidR="003E4ACB" w:rsidRPr="00140FEE" w:rsidRDefault="00F74174" w:rsidP="00E528F7">
      <w:pPr>
        <w:pStyle w:val="ListParagraph"/>
        <w:numPr>
          <w:ilvl w:val="0"/>
          <w:numId w:val="3"/>
        </w:numPr>
      </w:pPr>
      <w:r w:rsidRPr="00140FEE">
        <w:t>T</w:t>
      </w:r>
      <w:r w:rsidR="003E4ACB" w:rsidRPr="00140FEE">
        <w:t xml:space="preserve">he housing market </w:t>
      </w:r>
      <w:r w:rsidR="00140FEE" w:rsidRPr="00140FEE">
        <w:t xml:space="preserve">slid two months out of the last three, </w:t>
      </w:r>
      <w:r w:rsidR="00140FEE">
        <w:t xml:space="preserve">with new housing starts </w:t>
      </w:r>
      <w:r w:rsidR="00140FEE" w:rsidRPr="00140FEE">
        <w:t>down to 1.26 million in September but up 2.1% since last quarter</w:t>
      </w:r>
      <w:r w:rsidR="005917C1" w:rsidRPr="00140FEE">
        <w:t>.</w:t>
      </w:r>
    </w:p>
    <w:p w14:paraId="72D69FBD" w14:textId="3EEC5455" w:rsidR="00F94484" w:rsidRPr="00140FEE" w:rsidRDefault="00811FA7" w:rsidP="00F94484">
      <w:pPr>
        <w:pStyle w:val="ListParagraph"/>
        <w:numPr>
          <w:ilvl w:val="0"/>
          <w:numId w:val="3"/>
        </w:numPr>
      </w:pPr>
      <w:r w:rsidRPr="00140FEE">
        <w:t>The U</w:t>
      </w:r>
      <w:r w:rsidR="003A3D8A" w:rsidRPr="00140FEE">
        <w:t>.</w:t>
      </w:r>
      <w:r w:rsidRPr="00140FEE">
        <w:t>S</w:t>
      </w:r>
      <w:r w:rsidR="003A3D8A" w:rsidRPr="00140FEE">
        <w:t>.</w:t>
      </w:r>
      <w:r w:rsidRPr="00140FEE">
        <w:t xml:space="preserve"> labor market </w:t>
      </w:r>
      <w:r w:rsidR="00BE7F85" w:rsidRPr="00140FEE">
        <w:t>remained strong</w:t>
      </w:r>
      <w:r w:rsidR="00CE2A21" w:rsidRPr="00140FEE">
        <w:t>. T</w:t>
      </w:r>
      <w:r w:rsidR="00CC118C" w:rsidRPr="00140FEE">
        <w:t>he</w:t>
      </w:r>
      <w:r w:rsidR="00D928C8" w:rsidRPr="00140FEE">
        <w:t xml:space="preserve"> unemployment rate </w:t>
      </w:r>
      <w:r w:rsidR="00140FEE" w:rsidRPr="00140FEE">
        <w:t>edged down</w:t>
      </w:r>
      <w:r w:rsidR="00CC118C" w:rsidRPr="00140FEE">
        <w:t xml:space="preserve"> to end the</w:t>
      </w:r>
      <w:r w:rsidR="00D928C8" w:rsidRPr="00140FEE">
        <w:t xml:space="preserve"> quarter at 3.</w:t>
      </w:r>
      <w:r w:rsidR="00140FEE" w:rsidRPr="00140FEE">
        <w:t>5</w:t>
      </w:r>
      <w:r w:rsidR="00D928C8" w:rsidRPr="00140FEE">
        <w:t>%</w:t>
      </w:r>
      <w:r w:rsidR="00454F4B" w:rsidRPr="00140FEE">
        <w:t xml:space="preserve"> </w:t>
      </w:r>
      <w:r w:rsidR="00140FEE">
        <w:t>with</w:t>
      </w:r>
      <w:r w:rsidR="00140FEE" w:rsidRPr="00140FEE">
        <w:t xml:space="preserve"> steady</w:t>
      </w:r>
      <w:r w:rsidR="00454F4B" w:rsidRPr="00140FEE">
        <w:t xml:space="preserve"> labor market participation</w:t>
      </w:r>
      <w:r w:rsidR="005917C1" w:rsidRPr="00140FEE">
        <w:t>.</w:t>
      </w:r>
    </w:p>
    <w:p w14:paraId="149D5F03" w14:textId="66BAB5E0" w:rsidR="0076717F" w:rsidRPr="00F94484" w:rsidRDefault="00FC013E" w:rsidP="00F94484">
      <w:pPr>
        <w:pStyle w:val="ListParagraph"/>
        <w:numPr>
          <w:ilvl w:val="0"/>
          <w:numId w:val="3"/>
        </w:numPr>
      </w:pPr>
      <w:r w:rsidRPr="00140FEE">
        <w:t>U</w:t>
      </w:r>
      <w:r w:rsidR="00F74174" w:rsidRPr="00140FEE">
        <w:t>.</w:t>
      </w:r>
      <w:r w:rsidRPr="00140FEE">
        <w:t>S</w:t>
      </w:r>
      <w:r w:rsidR="00F74174" w:rsidRPr="00140FEE">
        <w:t>.</w:t>
      </w:r>
      <w:r w:rsidRPr="00140FEE">
        <w:t xml:space="preserve"> </w:t>
      </w:r>
      <w:r w:rsidR="00F94484" w:rsidRPr="00140FEE">
        <w:t xml:space="preserve">capital </w:t>
      </w:r>
      <w:r w:rsidRPr="00140FEE">
        <w:t>markets</w:t>
      </w:r>
      <w:r w:rsidR="00D928C8" w:rsidRPr="00140FEE">
        <w:t xml:space="preserve"> </w:t>
      </w:r>
      <w:r w:rsidR="00454F4B" w:rsidRPr="00140FEE">
        <w:t xml:space="preserve">had a </w:t>
      </w:r>
      <w:r w:rsidR="00140FEE">
        <w:t>volatile</w:t>
      </w:r>
      <w:r w:rsidR="00454F4B" w:rsidRPr="00140FEE">
        <w:t xml:space="preserve"> quarter</w:t>
      </w:r>
      <w:r w:rsidR="00D928C8" w:rsidRPr="00140FEE">
        <w:t xml:space="preserve"> </w:t>
      </w:r>
      <w:r w:rsidR="00140FEE">
        <w:t xml:space="preserve">but </w:t>
      </w:r>
      <w:r w:rsidR="006D518C">
        <w:t>finished steady with</w:t>
      </w:r>
      <w:r w:rsidR="00D928C8" w:rsidRPr="00140FEE">
        <w:t xml:space="preserve"> the S&amp;P 500 </w:t>
      </w:r>
      <w:r w:rsidR="00454F4B" w:rsidRPr="00140FEE">
        <w:t xml:space="preserve">and the Dow Jones Industrial Average </w:t>
      </w:r>
      <w:r w:rsidR="006D518C">
        <w:t xml:space="preserve">each </w:t>
      </w:r>
      <w:r w:rsidR="00454F4B" w:rsidRPr="00140FEE">
        <w:t xml:space="preserve">up </w:t>
      </w:r>
      <w:r w:rsidR="006D518C">
        <w:t>1.2</w:t>
      </w:r>
      <w:r w:rsidR="00454F4B" w:rsidRPr="00140FEE">
        <w:t>%</w:t>
      </w:r>
      <w:r w:rsidR="006D518C">
        <w:t xml:space="preserve"> over the quarter</w:t>
      </w:r>
      <w:r w:rsidR="002608F3" w:rsidRPr="00140FEE">
        <w:t>.</w:t>
      </w:r>
      <w:r w:rsidR="0076717F">
        <w:br w:type="page"/>
      </w:r>
    </w:p>
    <w:p w14:paraId="149D5F04" w14:textId="77777777" w:rsidR="00057711" w:rsidRDefault="00057711" w:rsidP="00057711">
      <w:pPr>
        <w:pStyle w:val="Heading1"/>
      </w:pPr>
      <w:r>
        <w:lastRenderedPageBreak/>
        <w:t>Business Activity</w:t>
      </w:r>
    </w:p>
    <w:p w14:paraId="25413EE4" w14:textId="02E60F92" w:rsidR="00A96A6A" w:rsidRPr="00F27E28" w:rsidRDefault="0080028D" w:rsidP="00057711">
      <w:r w:rsidRPr="00F27E28">
        <w:t>According to the Bureau of Economic Analysis</w:t>
      </w:r>
      <w:r w:rsidR="002608F3" w:rsidRPr="00F27E28">
        <w:t xml:space="preserve"> (BEA)</w:t>
      </w:r>
      <w:r w:rsidRPr="00F27E28">
        <w:t>, real gross domestic product (GDP)</w:t>
      </w:r>
      <w:r w:rsidR="00A8559D" w:rsidRPr="00F27E28">
        <w:rPr>
          <w:rStyle w:val="FootnoteReference"/>
        </w:rPr>
        <w:footnoteReference w:id="3"/>
      </w:r>
      <w:r w:rsidRPr="00F27E28">
        <w:t xml:space="preserve"> </w:t>
      </w:r>
      <w:r w:rsidR="00BD0BA8" w:rsidRPr="00F27E28">
        <w:t xml:space="preserve">for the </w:t>
      </w:r>
      <w:r w:rsidR="00CD10EB">
        <w:t>3</w:t>
      </w:r>
      <w:r w:rsidR="00CD10EB" w:rsidRPr="00CD10EB">
        <w:rPr>
          <w:vertAlign w:val="superscript"/>
        </w:rPr>
        <w:t>rd</w:t>
      </w:r>
      <w:r w:rsidR="00CD10EB">
        <w:t xml:space="preserve"> </w:t>
      </w:r>
      <w:r w:rsidR="00BD0BA8" w:rsidRPr="00F27E28">
        <w:t>quarter of 201</w:t>
      </w:r>
      <w:r w:rsidR="00700166" w:rsidRPr="00F27E28">
        <w:t xml:space="preserve">9 </w:t>
      </w:r>
      <w:r w:rsidR="00BD0BA8" w:rsidRPr="00F27E28">
        <w:t xml:space="preserve">grew </w:t>
      </w:r>
      <w:r w:rsidRPr="00F27E28">
        <w:t xml:space="preserve">at an annual rate of </w:t>
      </w:r>
      <w:r w:rsidR="00237901">
        <w:t>1.9</w:t>
      </w:r>
      <w:r w:rsidR="00321AA2" w:rsidRPr="00F27E28">
        <w:t>%</w:t>
      </w:r>
      <w:r w:rsidR="001756EC" w:rsidRPr="00F27E28">
        <w:t>,</w:t>
      </w:r>
      <w:r w:rsidRPr="00F27E28">
        <w:t xml:space="preserve"> </w:t>
      </w:r>
      <w:r w:rsidR="00A41316">
        <w:t xml:space="preserve">below both </w:t>
      </w:r>
      <w:r w:rsidR="00AE7215">
        <w:t>last quarter’s</w:t>
      </w:r>
      <w:r w:rsidR="00A41316">
        <w:t xml:space="preserve"> </w:t>
      </w:r>
      <w:r w:rsidR="00CD10EB">
        <w:t>2.</w:t>
      </w:r>
      <w:r w:rsidR="00237901">
        <w:t>0</w:t>
      </w:r>
      <w:r w:rsidR="00A41316">
        <w:t xml:space="preserve">% rate </w:t>
      </w:r>
      <w:r w:rsidR="00700166" w:rsidRPr="00F27E28">
        <w:t xml:space="preserve">and </w:t>
      </w:r>
      <w:r w:rsidR="00B40AF8" w:rsidRPr="00F27E28">
        <w:t xml:space="preserve">the 30-year average rate of </w:t>
      </w:r>
      <w:r w:rsidR="00B40AF8" w:rsidRPr="004F67A9">
        <w:t>2.</w:t>
      </w:r>
      <w:r w:rsidR="004F67A9" w:rsidRPr="004F67A9">
        <w:t>5</w:t>
      </w:r>
      <w:r w:rsidRPr="004F67A9">
        <w:t>%.</w:t>
      </w:r>
      <w:r w:rsidR="001756EC" w:rsidRPr="00F27E28">
        <w:t xml:space="preserve"> </w:t>
      </w:r>
      <w:r w:rsidR="00DA5A96">
        <w:t>Still, t</w:t>
      </w:r>
      <w:r w:rsidR="00CF10AF" w:rsidRPr="00F27E28">
        <w:t xml:space="preserve">he </w:t>
      </w:r>
      <w:r w:rsidR="0041138E" w:rsidRPr="00F27E28">
        <w:t xml:space="preserve">growth </w:t>
      </w:r>
      <w:r w:rsidR="00CF10AF" w:rsidRPr="00F27E28">
        <w:t xml:space="preserve">rate </w:t>
      </w:r>
      <w:r w:rsidR="00700166" w:rsidRPr="00F27E28">
        <w:t>exceeded economists’ expectations</w:t>
      </w:r>
      <w:r w:rsidR="00CD10EB">
        <w:t xml:space="preserve"> as </w:t>
      </w:r>
      <w:r w:rsidR="00237901">
        <w:t xml:space="preserve">continued </w:t>
      </w:r>
      <w:r w:rsidR="00DA5A96">
        <w:t>personal consumption spending and government spending</w:t>
      </w:r>
      <w:r w:rsidR="00237901">
        <w:t xml:space="preserve"> outweighed declining</w:t>
      </w:r>
      <w:r w:rsidR="00DA5A96">
        <w:t xml:space="preserve"> </w:t>
      </w:r>
      <w:r w:rsidR="00237901">
        <w:t>domestic business investment and a worsening trade deficit</w:t>
      </w:r>
      <w:r w:rsidR="00F27E28" w:rsidRPr="00F27E28">
        <w:t>.</w:t>
      </w:r>
    </w:p>
    <w:p w14:paraId="7810A9C6" w14:textId="7EFC92E3" w:rsidR="00A96A6A" w:rsidRDefault="002308A9" w:rsidP="005117CA">
      <w:pPr>
        <w:jc w:val="center"/>
      </w:pPr>
      <w:r>
        <w:rPr>
          <w:noProof/>
        </w:rPr>
        <w:drawing>
          <wp:inline distT="0" distB="0" distL="0" distR="0" wp14:anchorId="265FF9D7" wp14:editId="647F340C">
            <wp:extent cx="4097020" cy="2749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E9155B" w14:textId="41B9C48B" w:rsidR="00D55969" w:rsidRDefault="000D5719" w:rsidP="00CD643D">
      <w:r>
        <w:t>P</w:t>
      </w:r>
      <w:r w:rsidR="00CD643D">
        <w:t xml:space="preserve">ersonal </w:t>
      </w:r>
      <w:r w:rsidR="00237901">
        <w:t xml:space="preserve">and government </w:t>
      </w:r>
      <w:r w:rsidR="00CD643D">
        <w:t>consumption expenditure</w:t>
      </w:r>
      <w:r>
        <w:t xml:space="preserve">s drove real GDP growth in the </w:t>
      </w:r>
      <w:r w:rsidR="00237901">
        <w:t>3</w:t>
      </w:r>
      <w:r w:rsidR="00237901" w:rsidRPr="00237901">
        <w:rPr>
          <w:vertAlign w:val="superscript"/>
        </w:rPr>
        <w:t>rd</w:t>
      </w:r>
      <w:r w:rsidR="00237901">
        <w:t xml:space="preserve"> </w:t>
      </w:r>
      <w:r>
        <w:t>quarter</w:t>
      </w:r>
      <w:r w:rsidR="00CD643D">
        <w:t xml:space="preserve">, </w:t>
      </w:r>
      <w:r w:rsidR="00237901">
        <w:t xml:space="preserve">particularly </w:t>
      </w:r>
      <w:r w:rsidR="000A79DC">
        <w:t xml:space="preserve">personal spending on </w:t>
      </w:r>
      <w:r w:rsidR="00237901">
        <w:t xml:space="preserve">durable and nondurable goods </w:t>
      </w:r>
      <w:r w:rsidR="000A79DC">
        <w:t xml:space="preserve">as well as </w:t>
      </w:r>
      <w:r w:rsidR="00237901">
        <w:t>federal nondefense spending</w:t>
      </w:r>
      <w:r w:rsidR="00CD643D">
        <w:t xml:space="preserve">. </w:t>
      </w:r>
      <w:r>
        <w:t>Gross domestic private investment</w:t>
      </w:r>
      <w:r w:rsidR="00C742C8">
        <w:t>, led by nonresidential fixed investments,</w:t>
      </w:r>
      <w:r>
        <w:t xml:space="preserve"> tempered the</w:t>
      </w:r>
      <w:r w:rsidR="000A79DC">
        <w:t xml:space="preserve"> 3</w:t>
      </w:r>
      <w:r w:rsidR="000A79DC" w:rsidRPr="000A79DC">
        <w:rPr>
          <w:vertAlign w:val="superscript"/>
        </w:rPr>
        <w:t>rd</w:t>
      </w:r>
      <w:r w:rsidR="000A79DC">
        <w:t xml:space="preserve"> </w:t>
      </w:r>
      <w:r>
        <w:t>quarter rise in real GDP</w:t>
      </w:r>
      <w:r w:rsidR="000A79DC">
        <w:t>. Growth in exports was offset by a larger gain in imports</w:t>
      </w:r>
      <w:r>
        <w:t>.</w:t>
      </w:r>
    </w:p>
    <w:p w14:paraId="74EC7CAF" w14:textId="2AFE8AB4" w:rsidR="004D1C9D" w:rsidRDefault="002308A9" w:rsidP="005117CA">
      <w:pPr>
        <w:jc w:val="center"/>
      </w:pPr>
      <w:r>
        <w:rPr>
          <w:noProof/>
        </w:rPr>
        <w:lastRenderedPageBreak/>
        <w:drawing>
          <wp:inline distT="0" distB="0" distL="0" distR="0" wp14:anchorId="67B6DDDB" wp14:editId="651D2AC4">
            <wp:extent cx="4231005" cy="34874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05" cy="348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033888" w14:textId="197B5D22" w:rsidR="004D1C9D" w:rsidRDefault="00EF008E" w:rsidP="00174BCD">
      <w:r w:rsidRPr="00F20F1B">
        <w:t xml:space="preserve">As of </w:t>
      </w:r>
      <w:r w:rsidR="00DA5A96">
        <w:t>June</w:t>
      </w:r>
      <w:r w:rsidRPr="00F20F1B">
        <w:t>, the Industrial Production Index</w:t>
      </w:r>
      <w:r w:rsidR="006A114D">
        <w:rPr>
          <w:rStyle w:val="FootnoteReference"/>
        </w:rPr>
        <w:footnoteReference w:id="4"/>
      </w:r>
      <w:r w:rsidRPr="00F20F1B">
        <w:t xml:space="preserve"> </w:t>
      </w:r>
      <w:r w:rsidR="00B00E83">
        <w:t>stood</w:t>
      </w:r>
      <w:r w:rsidR="00DA5A96">
        <w:t xml:space="preserve"> at</w:t>
      </w:r>
      <w:r w:rsidR="008636F9">
        <w:t xml:space="preserve"> </w:t>
      </w:r>
      <w:r w:rsidR="00DA5A96">
        <w:t>109.</w:t>
      </w:r>
      <w:r w:rsidR="00030ECA">
        <w:t>52</w:t>
      </w:r>
      <w:r w:rsidR="00AA651C">
        <w:t xml:space="preserve">, </w:t>
      </w:r>
      <w:r w:rsidR="00030ECA">
        <w:t>edging up</w:t>
      </w:r>
      <w:r w:rsidR="00AA651C">
        <w:t xml:space="preserve"> 0.</w:t>
      </w:r>
      <w:r w:rsidR="00030ECA">
        <w:t>2</w:t>
      </w:r>
      <w:r w:rsidR="001C1070">
        <w:t xml:space="preserve">% for the </w:t>
      </w:r>
      <w:r w:rsidR="00030ECA">
        <w:t>3</w:t>
      </w:r>
      <w:r w:rsidR="00030ECA" w:rsidRPr="00030ECA">
        <w:rPr>
          <w:vertAlign w:val="superscript"/>
        </w:rPr>
        <w:t>rd</w:t>
      </w:r>
      <w:r w:rsidR="00030ECA">
        <w:t xml:space="preserve"> </w:t>
      </w:r>
      <w:r w:rsidR="001C1070">
        <w:t>quarter of 2019.</w:t>
      </w:r>
      <w:r w:rsidR="008636F9">
        <w:t xml:space="preserve"> </w:t>
      </w:r>
      <w:r w:rsidR="00030ECA">
        <w:t>Warm</w:t>
      </w:r>
      <w:r w:rsidR="0045097E">
        <w:t xml:space="preserve"> weather </w:t>
      </w:r>
      <w:r w:rsidR="00030ECA">
        <w:t>increased</w:t>
      </w:r>
      <w:r w:rsidR="0045097E">
        <w:t xml:space="preserve"> demand for air conditioning, </w:t>
      </w:r>
      <w:r w:rsidR="00030ECA">
        <w:t>boosting</w:t>
      </w:r>
      <w:r w:rsidR="00DA5A96">
        <w:t xml:space="preserve"> </w:t>
      </w:r>
      <w:r w:rsidR="0045097E">
        <w:t xml:space="preserve">utilities </w:t>
      </w:r>
      <w:r w:rsidR="00DA5A96">
        <w:t>output</w:t>
      </w:r>
      <w:r w:rsidR="0045097E">
        <w:t>.</w:t>
      </w:r>
      <w:r w:rsidR="00DA5A96">
        <w:t xml:space="preserve"> </w:t>
      </w:r>
      <w:r w:rsidR="00FA283E">
        <w:t>M</w:t>
      </w:r>
      <w:r w:rsidR="00DA5A96">
        <w:t>anufacturing</w:t>
      </w:r>
      <w:r w:rsidR="00FA283E">
        <w:t xml:space="preserve"> production decreased</w:t>
      </w:r>
      <w:r w:rsidR="00DA5A96">
        <w:t>,</w:t>
      </w:r>
      <w:r w:rsidR="00FA283E">
        <w:t xml:space="preserve"> especially in automobiles, due to a strike at General Motors as well as broader uncertainty over U.S.-China trade relations</w:t>
      </w:r>
      <w:r w:rsidR="0041138E">
        <w:t xml:space="preserve">. </w:t>
      </w:r>
      <w:r w:rsidR="00FA283E">
        <w:t>T</w:t>
      </w:r>
      <w:r w:rsidR="001A6C86">
        <w:t>he</w:t>
      </w:r>
      <w:r w:rsidR="00332197">
        <w:t xml:space="preserve"> Industrial Production Index </w:t>
      </w:r>
      <w:r w:rsidR="00FA283E">
        <w:t>was 0.1% lower</w:t>
      </w:r>
      <w:r w:rsidR="00332197">
        <w:t xml:space="preserve"> </w:t>
      </w:r>
      <w:r w:rsidR="00FA283E">
        <w:t>than</w:t>
      </w:r>
      <w:r w:rsidR="00332197">
        <w:t xml:space="preserve"> the same period last year.</w:t>
      </w:r>
    </w:p>
    <w:p w14:paraId="149D5F1F" w14:textId="2308CDF8" w:rsidR="00172307" w:rsidRDefault="002308A9" w:rsidP="00BA7A2C">
      <w:pPr>
        <w:jc w:val="center"/>
      </w:pPr>
      <w:r>
        <w:rPr>
          <w:noProof/>
        </w:rPr>
        <w:drawing>
          <wp:inline distT="0" distB="0" distL="0" distR="0" wp14:anchorId="1CA4B533" wp14:editId="004CF2BC">
            <wp:extent cx="3816350" cy="273748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73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9D5F20" w14:textId="72147876" w:rsidR="00005111" w:rsidRPr="005261C1" w:rsidRDefault="00005111" w:rsidP="005261C1">
      <w:pPr>
        <w:pStyle w:val="Heading1"/>
      </w:pPr>
      <w:r w:rsidRPr="005261C1">
        <w:lastRenderedPageBreak/>
        <w:t>Interest Rates</w:t>
      </w:r>
    </w:p>
    <w:p w14:paraId="472CBB47" w14:textId="7CD88536" w:rsidR="00A96A6A" w:rsidRPr="00AE64EF" w:rsidRDefault="00022BB4" w:rsidP="00005111">
      <w:pPr>
        <w:rPr>
          <w:color w:val="000000" w:themeColor="text1"/>
        </w:rPr>
      </w:pPr>
      <w:r>
        <w:t>Long-term treasury bond yields continued to fall in the 3</w:t>
      </w:r>
      <w:r w:rsidRPr="00022BB4">
        <w:rPr>
          <w:vertAlign w:val="superscript"/>
        </w:rPr>
        <w:t>rd</w:t>
      </w:r>
      <w:r>
        <w:t xml:space="preserve"> quarter 2019 as investors fretted over soft inflation and uncertain trade conditions. </w:t>
      </w:r>
      <w:r w:rsidR="00AE64EF">
        <w:t xml:space="preserve">The </w:t>
      </w:r>
      <w:r w:rsidR="0061080D" w:rsidRPr="0005726F">
        <w:t>U.S. treasury yield curve</w:t>
      </w:r>
      <w:r w:rsidR="00833A07">
        <w:rPr>
          <w:rStyle w:val="FootnoteReference"/>
        </w:rPr>
        <w:footnoteReference w:id="5"/>
      </w:r>
      <w:r w:rsidR="0061080D" w:rsidRPr="0005726F">
        <w:t xml:space="preserve"> </w:t>
      </w:r>
      <w:r w:rsidR="0080666E">
        <w:t xml:space="preserve">ended the </w:t>
      </w:r>
      <w:r>
        <w:t>3</w:t>
      </w:r>
      <w:r w:rsidRPr="00022BB4">
        <w:rPr>
          <w:vertAlign w:val="superscript"/>
        </w:rPr>
        <w:t>rd</w:t>
      </w:r>
      <w:r>
        <w:t xml:space="preserve"> </w:t>
      </w:r>
      <w:r w:rsidR="0080666E">
        <w:t xml:space="preserve">quarter </w:t>
      </w:r>
      <w:r>
        <w:t>partially inverted</w:t>
      </w:r>
      <w:r w:rsidR="0080666E">
        <w:t xml:space="preserve">, with </w:t>
      </w:r>
      <w:r>
        <w:t>3-month</w:t>
      </w:r>
      <w:r w:rsidR="0061080D" w:rsidRPr="0005726F">
        <w:t xml:space="preserve"> treasury </w:t>
      </w:r>
      <w:r w:rsidR="0080666E">
        <w:t xml:space="preserve">bonds </w:t>
      </w:r>
      <w:r w:rsidR="0061080D" w:rsidRPr="0005726F">
        <w:t>yield</w:t>
      </w:r>
      <w:r w:rsidR="0080666E">
        <w:t>ing</w:t>
      </w:r>
      <w:r w:rsidR="0061080D" w:rsidRPr="0005726F">
        <w:t xml:space="preserve"> </w:t>
      </w:r>
      <w:r w:rsidR="0045097E">
        <w:t>1.</w:t>
      </w:r>
      <w:r>
        <w:t>88</w:t>
      </w:r>
      <w:r w:rsidR="0061080D" w:rsidRPr="0005726F">
        <w:t xml:space="preserve">% and the </w:t>
      </w:r>
      <w:r>
        <w:t>1</w:t>
      </w:r>
      <w:r w:rsidR="0061080D" w:rsidRPr="0005726F">
        <w:t>0-year treasury yield</w:t>
      </w:r>
      <w:r w:rsidR="0080666E">
        <w:t>ing</w:t>
      </w:r>
      <w:r w:rsidR="0061080D" w:rsidRPr="0005726F">
        <w:t xml:space="preserve"> </w:t>
      </w:r>
      <w:r>
        <w:t>1.68</w:t>
      </w:r>
      <w:r w:rsidR="0061080D" w:rsidRPr="0005726F">
        <w:t>%.</w:t>
      </w:r>
      <w:r w:rsidR="00E75ECD" w:rsidRPr="0005726F">
        <w:t xml:space="preserve"> </w:t>
      </w:r>
      <w:r w:rsidR="00D851AB" w:rsidRPr="0005726F">
        <w:t xml:space="preserve">The annual yield on the </w:t>
      </w:r>
      <w:r>
        <w:t>3</w:t>
      </w:r>
      <w:r w:rsidR="00D851AB" w:rsidRPr="0005726F">
        <w:t xml:space="preserve">0-year treasury ended the quarter at </w:t>
      </w:r>
      <w:r>
        <w:t>2.12</w:t>
      </w:r>
      <w:r w:rsidR="00D851AB" w:rsidRPr="0005726F">
        <w:t xml:space="preserve">%. </w:t>
      </w:r>
      <w:r>
        <w:rPr>
          <w:color w:val="000000" w:themeColor="text1"/>
        </w:rPr>
        <w:t>The 2-year yield outpaced the 10-year yield for part of August</w:t>
      </w:r>
      <w:r w:rsidR="00951DAA">
        <w:rPr>
          <w:color w:val="000000" w:themeColor="text1"/>
        </w:rPr>
        <w:t xml:space="preserve">, </w:t>
      </w:r>
      <w:r>
        <w:rPr>
          <w:color w:val="000000" w:themeColor="text1"/>
        </w:rPr>
        <w:t>a condition widely regarded as an indicator of impending</w:t>
      </w:r>
      <w:r w:rsidR="001C0F2A">
        <w:t xml:space="preserve"> economic </w:t>
      </w:r>
      <w:r>
        <w:t>recession</w:t>
      </w:r>
      <w:r w:rsidR="00AE64EF" w:rsidRPr="007807DE">
        <w:rPr>
          <w:color w:val="000000" w:themeColor="text1"/>
        </w:rPr>
        <w:t>.</w:t>
      </w:r>
    </w:p>
    <w:p w14:paraId="0614E8BB" w14:textId="519E52B0" w:rsidR="004D1C9D" w:rsidRDefault="002308A9" w:rsidP="005117CA">
      <w:pPr>
        <w:jc w:val="center"/>
      </w:pPr>
      <w:r>
        <w:rPr>
          <w:noProof/>
        </w:rPr>
        <w:drawing>
          <wp:inline distT="0" distB="0" distL="0" distR="0" wp14:anchorId="34074EFE" wp14:editId="0A7BFCCF">
            <wp:extent cx="3493135" cy="2749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1CA932" w14:textId="438227B8" w:rsidR="00B00681" w:rsidRDefault="00171C8E" w:rsidP="00005111">
      <w:r w:rsidRPr="004709B0">
        <w:t xml:space="preserve">In </w:t>
      </w:r>
      <w:r w:rsidR="00BB096A">
        <w:t>September</w:t>
      </w:r>
      <w:r w:rsidR="00FE4D42">
        <w:t>,</w:t>
      </w:r>
      <w:r w:rsidRPr="004709B0">
        <w:t xml:space="preserve"> the Federal Reserve </w:t>
      </w:r>
      <w:r w:rsidR="00BB096A">
        <w:t>lowered</w:t>
      </w:r>
      <w:r w:rsidR="003376CD" w:rsidRPr="004709B0">
        <w:t xml:space="preserve"> </w:t>
      </w:r>
      <w:r w:rsidR="00D851AB" w:rsidRPr="004709B0">
        <w:t>the federal funds target rate</w:t>
      </w:r>
      <w:r w:rsidR="00740863">
        <w:t xml:space="preserve"> </w:t>
      </w:r>
      <w:r w:rsidR="00BB096A">
        <w:t>to</w:t>
      </w:r>
      <w:r w:rsidR="004709B0" w:rsidRPr="004709B0">
        <w:t xml:space="preserve"> </w:t>
      </w:r>
      <w:r w:rsidR="00624AEF">
        <w:t xml:space="preserve">a range of </w:t>
      </w:r>
      <w:r w:rsidR="00BB096A">
        <w:t>1.75</w:t>
      </w:r>
      <w:r w:rsidR="00624AEF">
        <w:t xml:space="preserve"> to </w:t>
      </w:r>
      <w:r w:rsidR="004709B0" w:rsidRPr="004709B0">
        <w:t>2.</w:t>
      </w:r>
      <w:r w:rsidR="00BB096A">
        <w:t>0</w:t>
      </w:r>
      <w:r w:rsidR="00AE64EF">
        <w:t>0</w:t>
      </w:r>
      <w:r w:rsidR="004709B0" w:rsidRPr="004709B0">
        <w:t xml:space="preserve"> percent</w:t>
      </w:r>
      <w:r w:rsidR="00BB096A">
        <w:t>, the second target rate cut in the 3</w:t>
      </w:r>
      <w:r w:rsidR="00BB096A" w:rsidRPr="00BB096A">
        <w:rPr>
          <w:vertAlign w:val="superscript"/>
        </w:rPr>
        <w:t>rd</w:t>
      </w:r>
      <w:r w:rsidR="00BB096A">
        <w:t xml:space="preserve"> quarter</w:t>
      </w:r>
      <w:r w:rsidR="00AE64EF">
        <w:t xml:space="preserve">. </w:t>
      </w:r>
      <w:r w:rsidR="00CA112C">
        <w:t xml:space="preserve">The </w:t>
      </w:r>
      <w:r w:rsidR="00084608">
        <w:t>decision</w:t>
      </w:r>
      <w:r w:rsidR="00CA112C">
        <w:t xml:space="preserve"> </w:t>
      </w:r>
      <w:r w:rsidR="00BB096A">
        <w:t>came amid</w:t>
      </w:r>
      <w:r w:rsidR="00084608">
        <w:t xml:space="preserve"> mixed opinions on </w:t>
      </w:r>
      <w:r w:rsidR="00BB096A">
        <w:t>global</w:t>
      </w:r>
      <w:r w:rsidR="00084608">
        <w:t xml:space="preserve"> economic </w:t>
      </w:r>
      <w:r w:rsidR="00BB096A">
        <w:t>softening and cooing domestic inflation</w:t>
      </w:r>
      <w:r w:rsidR="000B0583">
        <w:t xml:space="preserve">. </w:t>
      </w:r>
      <w:r w:rsidR="003F5061">
        <w:t>The effective federal funds rate</w:t>
      </w:r>
      <w:r w:rsidR="003F5061">
        <w:rPr>
          <w:rStyle w:val="FootnoteReference"/>
        </w:rPr>
        <w:footnoteReference w:id="6"/>
      </w:r>
      <w:r w:rsidR="003F5061">
        <w:t xml:space="preserve"> as of </w:t>
      </w:r>
      <w:r w:rsidR="00BB096A">
        <w:t>September</w:t>
      </w:r>
      <w:r w:rsidR="00D55969">
        <w:t xml:space="preserve"> 30</w:t>
      </w:r>
      <w:r w:rsidR="00D55969" w:rsidRPr="00D55969">
        <w:rPr>
          <w:vertAlign w:val="superscript"/>
        </w:rPr>
        <w:t>th</w:t>
      </w:r>
      <w:r w:rsidR="00D55969">
        <w:t xml:space="preserve"> </w:t>
      </w:r>
      <w:r w:rsidR="00B00E83">
        <w:t>wa</w:t>
      </w:r>
      <w:r w:rsidR="003F5061">
        <w:t xml:space="preserve">s </w:t>
      </w:r>
      <w:r w:rsidR="000B0583">
        <w:t>2.</w:t>
      </w:r>
      <w:r w:rsidR="00BB096A">
        <w:t>04</w:t>
      </w:r>
      <w:r w:rsidR="003F5061">
        <w:t>%.</w:t>
      </w:r>
    </w:p>
    <w:p w14:paraId="515AD2F7" w14:textId="5FFEAFD5" w:rsidR="004D1C9D" w:rsidRDefault="002308A9" w:rsidP="00166C08">
      <w:pPr>
        <w:jc w:val="center"/>
      </w:pPr>
      <w:r>
        <w:rPr>
          <w:noProof/>
        </w:rPr>
        <w:lastRenderedPageBreak/>
        <w:drawing>
          <wp:inline distT="0" distB="0" distL="0" distR="0" wp14:anchorId="334150E6" wp14:editId="6604C4CC">
            <wp:extent cx="3499485" cy="2743200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026DBE" w14:textId="7A4B0140" w:rsidR="004D1C9D" w:rsidRDefault="005117CA" w:rsidP="005261C1">
      <w:r>
        <w:t>T</w:t>
      </w:r>
      <w:r w:rsidR="002978F9" w:rsidRPr="003376CD">
        <w:t>he yield on the 10-year U.S. treasury</w:t>
      </w:r>
      <w:r w:rsidR="004759DB">
        <w:rPr>
          <w:rStyle w:val="FootnoteReference"/>
        </w:rPr>
        <w:footnoteReference w:id="7"/>
      </w:r>
      <w:r w:rsidR="002978F9" w:rsidRPr="003376CD">
        <w:t xml:space="preserve"> </w:t>
      </w:r>
      <w:r>
        <w:t>fell 0.32 percentage points throughout the 3</w:t>
      </w:r>
      <w:r w:rsidRPr="005117CA">
        <w:rPr>
          <w:vertAlign w:val="superscript"/>
        </w:rPr>
        <w:t>rd</w:t>
      </w:r>
      <w:r>
        <w:t xml:space="preserve"> quarter</w:t>
      </w:r>
      <w:r w:rsidR="00B00E83">
        <w:t xml:space="preserve"> </w:t>
      </w:r>
      <w:r w:rsidR="000B0583">
        <w:t xml:space="preserve">to end </w:t>
      </w:r>
      <w:r>
        <w:t>September</w:t>
      </w:r>
      <w:r w:rsidR="00CA112C">
        <w:t xml:space="preserve"> at </w:t>
      </w:r>
      <w:r>
        <w:t>1.68</w:t>
      </w:r>
      <w:r w:rsidR="00CA112C">
        <w:t>%</w:t>
      </w:r>
      <w:r w:rsidR="002978F9" w:rsidRPr="003376CD">
        <w:t>.</w:t>
      </w:r>
      <w:r w:rsidR="004965CE" w:rsidRPr="003376CD">
        <w:t xml:space="preserve"> This is </w:t>
      </w:r>
      <w:r w:rsidR="00071875" w:rsidRPr="003376CD">
        <w:t xml:space="preserve">below the average yield of </w:t>
      </w:r>
      <w:r w:rsidR="003376CD" w:rsidRPr="003376CD">
        <w:t>4.</w:t>
      </w:r>
      <w:r>
        <w:t>56</w:t>
      </w:r>
      <w:r w:rsidR="004965CE" w:rsidRPr="003376CD">
        <w:t>% over the last 30 years</w:t>
      </w:r>
      <w:r w:rsidR="00CA112C">
        <w:t xml:space="preserve"> and</w:t>
      </w:r>
      <w:r w:rsidR="000874E3" w:rsidRPr="003376CD">
        <w:t xml:space="preserve"> the </w:t>
      </w:r>
      <w:r>
        <w:t>3.0</w:t>
      </w:r>
      <w:r w:rsidR="00B00E83">
        <w:t>5</w:t>
      </w:r>
      <w:r w:rsidR="000874E3" w:rsidRPr="003376CD">
        <w:t xml:space="preserve">% </w:t>
      </w:r>
      <w:r w:rsidR="0016688A" w:rsidRPr="003376CD">
        <w:t xml:space="preserve">yield </w:t>
      </w:r>
      <w:r w:rsidR="00C9379B">
        <w:t xml:space="preserve">from </w:t>
      </w:r>
      <w:r w:rsidR="00F3628D">
        <w:t>the same period last year</w:t>
      </w:r>
      <w:r w:rsidR="00CB629F" w:rsidRPr="003376CD">
        <w:t>.</w:t>
      </w:r>
    </w:p>
    <w:p w14:paraId="67433862" w14:textId="4FF4508F" w:rsidR="004D1C9D" w:rsidRDefault="002308A9" w:rsidP="005117CA">
      <w:pPr>
        <w:jc w:val="center"/>
      </w:pPr>
      <w:r>
        <w:rPr>
          <w:noProof/>
        </w:rPr>
        <w:drawing>
          <wp:inline distT="0" distB="0" distL="0" distR="0" wp14:anchorId="17979E56" wp14:editId="70E9AF3B">
            <wp:extent cx="3499485" cy="2749550"/>
            <wp:effectExtent l="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B8B6AA" w14:textId="792F38ED" w:rsidR="00A96A6A" w:rsidRDefault="00F02B3A" w:rsidP="00460436">
      <w:r w:rsidRPr="007E5B14">
        <w:t xml:space="preserve">Corporate bond yields </w:t>
      </w:r>
      <w:r w:rsidR="00C9379B">
        <w:t xml:space="preserve">also </w:t>
      </w:r>
      <w:r w:rsidR="00823E2B">
        <w:t>de</w:t>
      </w:r>
      <w:r w:rsidRPr="007E5B14">
        <w:t>creased this quarter, with the Moody’s Baa Corpor</w:t>
      </w:r>
      <w:r w:rsidR="00102080" w:rsidRPr="007E5B14">
        <w:t xml:space="preserve">ate Bond Yield </w:t>
      </w:r>
      <w:r w:rsidR="004E3393" w:rsidRPr="007E5B14">
        <w:t>Index</w:t>
      </w:r>
      <w:r w:rsidR="004E5EC0">
        <w:rPr>
          <w:rStyle w:val="FootnoteReference"/>
        </w:rPr>
        <w:footnoteReference w:id="8"/>
      </w:r>
      <w:r w:rsidR="004E3393" w:rsidRPr="007E5B14">
        <w:t xml:space="preserve"> </w:t>
      </w:r>
      <w:r w:rsidR="00102080" w:rsidRPr="007E5B14">
        <w:t xml:space="preserve">ending the </w:t>
      </w:r>
      <w:r w:rsidR="005117CA">
        <w:t>3</w:t>
      </w:r>
      <w:r w:rsidR="005117CA" w:rsidRPr="005117CA">
        <w:rPr>
          <w:vertAlign w:val="superscript"/>
        </w:rPr>
        <w:t>rd</w:t>
      </w:r>
      <w:r w:rsidR="005117CA">
        <w:t xml:space="preserve"> </w:t>
      </w:r>
      <w:r w:rsidR="00102080" w:rsidRPr="007E5B14">
        <w:t>quarter</w:t>
      </w:r>
      <w:r w:rsidRPr="007E5B14">
        <w:t xml:space="preserve"> at </w:t>
      </w:r>
      <w:r w:rsidR="005117CA">
        <w:t>3.91</w:t>
      </w:r>
      <w:r w:rsidR="004965CE" w:rsidRPr="007E5B14">
        <w:t xml:space="preserve">% compared to </w:t>
      </w:r>
      <w:r w:rsidR="00B00E83">
        <w:t>4.</w:t>
      </w:r>
      <w:r w:rsidR="005117CA">
        <w:t>46</w:t>
      </w:r>
      <w:r w:rsidRPr="007E5B14">
        <w:t xml:space="preserve">% for the </w:t>
      </w:r>
      <w:r w:rsidR="005117CA">
        <w:t>2</w:t>
      </w:r>
      <w:r w:rsidR="005117CA" w:rsidRPr="005117CA">
        <w:rPr>
          <w:vertAlign w:val="superscript"/>
        </w:rPr>
        <w:t>nd</w:t>
      </w:r>
      <w:r w:rsidR="005117CA">
        <w:t xml:space="preserve"> </w:t>
      </w:r>
      <w:r w:rsidRPr="007E5B14">
        <w:t>quarter</w:t>
      </w:r>
      <w:r w:rsidR="00823E2B">
        <w:t xml:space="preserve">. Rates </w:t>
      </w:r>
      <w:r w:rsidR="00285F67">
        <w:t>were below both</w:t>
      </w:r>
      <w:r w:rsidR="004965CE" w:rsidRPr="007E5B14">
        <w:t xml:space="preserve"> the </w:t>
      </w:r>
      <w:r w:rsidR="00823E2B">
        <w:t>4.</w:t>
      </w:r>
      <w:r w:rsidR="00285F67">
        <w:t>8</w:t>
      </w:r>
      <w:r w:rsidR="005117CA">
        <w:t>8</w:t>
      </w:r>
      <w:r w:rsidR="00823E2B">
        <w:t xml:space="preserve">% yield from the </w:t>
      </w:r>
      <w:r w:rsidR="004965CE" w:rsidRPr="007E5B14">
        <w:t>same period last year</w:t>
      </w:r>
      <w:r w:rsidR="00102080" w:rsidRPr="00AF6040">
        <w:t xml:space="preserve"> </w:t>
      </w:r>
      <w:r w:rsidR="00285F67">
        <w:t xml:space="preserve">and </w:t>
      </w:r>
      <w:r w:rsidR="00855A46" w:rsidRPr="00AF6040">
        <w:t>the index’s</w:t>
      </w:r>
      <w:r w:rsidRPr="00AF6040">
        <w:t xml:space="preserve"> </w:t>
      </w:r>
      <w:r w:rsidR="008A5F7F" w:rsidRPr="00AF6040">
        <w:t xml:space="preserve">average </w:t>
      </w:r>
      <w:r w:rsidR="00174B44" w:rsidRPr="00AF6040">
        <w:t xml:space="preserve">yield </w:t>
      </w:r>
      <w:r w:rsidR="006A0819">
        <w:t xml:space="preserve">of </w:t>
      </w:r>
      <w:r w:rsidR="00285F67">
        <w:t>6.9</w:t>
      </w:r>
      <w:r w:rsidR="005117CA">
        <w:t>2</w:t>
      </w:r>
      <w:r w:rsidR="008A5F7F" w:rsidRPr="00AF6040">
        <w:t>%</w:t>
      </w:r>
      <w:r w:rsidR="004965CE" w:rsidRPr="00AF6040">
        <w:t xml:space="preserve"> for the last 30 years</w:t>
      </w:r>
      <w:r w:rsidRPr="00AF6040">
        <w:t>.</w:t>
      </w:r>
    </w:p>
    <w:p w14:paraId="7CE57D35" w14:textId="4295629E" w:rsidR="005117CA" w:rsidRDefault="002308A9" w:rsidP="005117CA">
      <w:pPr>
        <w:jc w:val="center"/>
      </w:pPr>
      <w:r>
        <w:rPr>
          <w:noProof/>
        </w:rPr>
        <w:lastRenderedPageBreak/>
        <w:drawing>
          <wp:inline distT="0" distB="0" distL="0" distR="0" wp14:anchorId="54250C1C" wp14:editId="266D1A44">
            <wp:extent cx="3493135" cy="2743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9D5F2F" w14:textId="479C442E" w:rsidR="00005111" w:rsidRDefault="00005111" w:rsidP="005261C1">
      <w:pPr>
        <w:pStyle w:val="Heading1"/>
      </w:pPr>
      <w:r>
        <w:t>Employment</w:t>
      </w:r>
    </w:p>
    <w:p w14:paraId="149D5F31" w14:textId="29730968" w:rsidR="00C05052" w:rsidRPr="00D74F6D" w:rsidRDefault="00322C58" w:rsidP="00B84330">
      <w:pPr>
        <w:rPr>
          <w:color w:val="000000" w:themeColor="text1"/>
        </w:rPr>
      </w:pPr>
      <w:r>
        <w:t xml:space="preserve">In the </w:t>
      </w:r>
      <w:r w:rsidR="007C4944">
        <w:t>3</w:t>
      </w:r>
      <w:r w:rsidR="007C4944" w:rsidRPr="007C4944">
        <w:rPr>
          <w:vertAlign w:val="superscript"/>
        </w:rPr>
        <w:t>rd</w:t>
      </w:r>
      <w:r w:rsidR="007C4944">
        <w:t xml:space="preserve"> </w:t>
      </w:r>
      <w:r>
        <w:t>quarter</w:t>
      </w:r>
      <w:r w:rsidR="00D57C94">
        <w:t xml:space="preserve"> of 2019</w:t>
      </w:r>
      <w:r>
        <w:t>, t</w:t>
      </w:r>
      <w:r w:rsidR="00D03F0F">
        <w:t xml:space="preserve">he </w:t>
      </w:r>
      <w:r w:rsidR="00F24605">
        <w:t>U</w:t>
      </w:r>
      <w:r w:rsidR="00BC00A7">
        <w:t>.</w:t>
      </w:r>
      <w:r w:rsidR="00F24605">
        <w:t>S</w:t>
      </w:r>
      <w:r w:rsidR="00BC00A7">
        <w:t>.</w:t>
      </w:r>
      <w:r w:rsidR="00F24605">
        <w:t xml:space="preserve"> </w:t>
      </w:r>
      <w:r w:rsidR="00D74F6D">
        <w:t>unemployment rate</w:t>
      </w:r>
      <w:r w:rsidR="00D03F0F">
        <w:t xml:space="preserve"> </w:t>
      </w:r>
      <w:r w:rsidR="005D43B8">
        <w:t>fell</w:t>
      </w:r>
      <w:r w:rsidR="00D74F6D">
        <w:t xml:space="preserve"> to its</w:t>
      </w:r>
      <w:r w:rsidR="00621173">
        <w:t xml:space="preserve"> lowest </w:t>
      </w:r>
      <w:r w:rsidR="00D74F6D">
        <w:t xml:space="preserve">level </w:t>
      </w:r>
      <w:r>
        <w:t xml:space="preserve">since </w:t>
      </w:r>
      <w:r w:rsidR="005D43B8">
        <w:t xml:space="preserve">December </w:t>
      </w:r>
      <w:r>
        <w:t>1969</w:t>
      </w:r>
      <w:r w:rsidR="00105413">
        <w:rPr>
          <w:color w:val="000000" w:themeColor="text1"/>
        </w:rPr>
        <w:t xml:space="preserve">. </w:t>
      </w:r>
      <w:r w:rsidR="00865CE8" w:rsidRPr="00865CE8">
        <w:rPr>
          <w:color w:val="000000" w:themeColor="text1"/>
        </w:rPr>
        <w:t>T</w:t>
      </w:r>
      <w:r w:rsidR="00102080" w:rsidRPr="00865CE8">
        <w:rPr>
          <w:color w:val="000000" w:themeColor="text1"/>
        </w:rPr>
        <w:t xml:space="preserve">otal </w:t>
      </w:r>
      <w:r w:rsidR="00DB663A" w:rsidRPr="00D74F6D">
        <w:rPr>
          <w:color w:val="000000" w:themeColor="text1"/>
        </w:rPr>
        <w:t>nonfarm payrolls</w:t>
      </w:r>
      <w:r w:rsidR="0052077C" w:rsidRPr="00D74F6D">
        <w:rPr>
          <w:rStyle w:val="FootnoteReference"/>
          <w:color w:val="000000" w:themeColor="text1"/>
        </w:rPr>
        <w:footnoteReference w:id="9"/>
      </w:r>
      <w:r w:rsidR="00DB663A" w:rsidRPr="00D74F6D">
        <w:rPr>
          <w:color w:val="000000" w:themeColor="text1"/>
        </w:rPr>
        <w:t xml:space="preserve"> increased</w:t>
      </w:r>
      <w:r w:rsidR="00D501BC" w:rsidRPr="00D74F6D">
        <w:rPr>
          <w:color w:val="000000" w:themeColor="text1"/>
        </w:rPr>
        <w:t xml:space="preserve"> by 2.</w:t>
      </w:r>
      <w:r w:rsidR="007C4944">
        <w:rPr>
          <w:color w:val="000000" w:themeColor="text1"/>
        </w:rPr>
        <w:t>2</w:t>
      </w:r>
      <w:r w:rsidR="00C05052" w:rsidRPr="00D74F6D">
        <w:rPr>
          <w:color w:val="000000" w:themeColor="text1"/>
        </w:rPr>
        <w:t xml:space="preserve"> million over the same period last yea</w:t>
      </w:r>
      <w:r w:rsidR="005D43B8">
        <w:rPr>
          <w:color w:val="000000" w:themeColor="text1"/>
        </w:rPr>
        <w:t xml:space="preserve">r as </w:t>
      </w:r>
      <w:r w:rsidR="005D43B8" w:rsidRPr="008E72E3">
        <w:rPr>
          <w:color w:val="000000" w:themeColor="text1"/>
        </w:rPr>
        <w:t>underwhelming</w:t>
      </w:r>
      <w:r w:rsidR="005D43B8">
        <w:rPr>
          <w:color w:val="000000" w:themeColor="text1"/>
        </w:rPr>
        <w:t xml:space="preserve"> initial estimates were revised significantly higher in November’s jobs report</w:t>
      </w:r>
      <w:r w:rsidR="00D57C94">
        <w:rPr>
          <w:color w:val="000000" w:themeColor="text1"/>
        </w:rPr>
        <w:t>.</w:t>
      </w:r>
    </w:p>
    <w:p w14:paraId="149D5F33" w14:textId="0E757F38" w:rsidR="00B84330" w:rsidRDefault="002308A9" w:rsidP="004D099A">
      <w:pPr>
        <w:jc w:val="center"/>
      </w:pPr>
      <w:r>
        <w:rPr>
          <w:noProof/>
        </w:rPr>
        <w:drawing>
          <wp:inline distT="0" distB="0" distL="0" distR="0" wp14:anchorId="21D1DC3C" wp14:editId="25D24388">
            <wp:extent cx="3846830" cy="2743200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3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3BFDA8" w14:textId="0FF40A7A" w:rsidR="00A96A6A" w:rsidRDefault="00D74F6D" w:rsidP="00005111">
      <w:r>
        <w:t>The</w:t>
      </w:r>
      <w:r w:rsidR="00C05052" w:rsidRPr="00925F58">
        <w:t xml:space="preserve"> unemp</w:t>
      </w:r>
      <w:r w:rsidR="00F81F49" w:rsidRPr="00925F58">
        <w:t>loyment rate</w:t>
      </w:r>
      <w:r w:rsidR="00C937ED">
        <w:rPr>
          <w:rStyle w:val="FootnoteReference"/>
        </w:rPr>
        <w:footnoteReference w:id="10"/>
      </w:r>
      <w:r w:rsidR="00F81F49" w:rsidRPr="00925F58">
        <w:t xml:space="preserve"> </w:t>
      </w:r>
      <w:r>
        <w:t>end</w:t>
      </w:r>
      <w:r w:rsidR="00D57C94">
        <w:t>ed</w:t>
      </w:r>
      <w:r>
        <w:t xml:space="preserve"> the </w:t>
      </w:r>
      <w:r w:rsidR="005D43B8">
        <w:t>3</w:t>
      </w:r>
      <w:r w:rsidR="005D43B8" w:rsidRPr="005D43B8">
        <w:rPr>
          <w:vertAlign w:val="superscript"/>
        </w:rPr>
        <w:t>rd</w:t>
      </w:r>
      <w:r w:rsidR="005D43B8">
        <w:t xml:space="preserve"> </w:t>
      </w:r>
      <w:r>
        <w:t xml:space="preserve">quarter </w:t>
      </w:r>
      <w:r w:rsidR="005D43B8">
        <w:t>down</w:t>
      </w:r>
      <w:r w:rsidR="00285F67">
        <w:t xml:space="preserve"> slightly</w:t>
      </w:r>
      <w:r w:rsidR="00D57C94">
        <w:t xml:space="preserve"> </w:t>
      </w:r>
      <w:r>
        <w:t>at 3.</w:t>
      </w:r>
      <w:r w:rsidR="005D43B8">
        <w:t>5</w:t>
      </w:r>
      <w:r>
        <w:t>%</w:t>
      </w:r>
      <w:r w:rsidR="00285F67">
        <w:t xml:space="preserve"> </w:t>
      </w:r>
      <w:r w:rsidR="005D43B8">
        <w:t>with steady</w:t>
      </w:r>
      <w:r w:rsidR="00285F67">
        <w:t xml:space="preserve"> labor force participation</w:t>
      </w:r>
      <w:r>
        <w:t xml:space="preserve">. </w:t>
      </w:r>
      <w:r w:rsidR="00D57C94">
        <w:t>T</w:t>
      </w:r>
      <w:r>
        <w:t>he rate was d</w:t>
      </w:r>
      <w:r w:rsidR="00F81F49" w:rsidRPr="00925F58">
        <w:t>own 0.</w:t>
      </w:r>
      <w:r w:rsidR="005D43B8">
        <w:t>2</w:t>
      </w:r>
      <w:r w:rsidR="00072C36">
        <w:t xml:space="preserve">% </w:t>
      </w:r>
      <w:r w:rsidR="001744C6" w:rsidRPr="00925F58">
        <w:t xml:space="preserve">from the same period a year ago and </w:t>
      </w:r>
      <w:r>
        <w:t xml:space="preserve">remained </w:t>
      </w:r>
      <w:r w:rsidR="001744C6" w:rsidRPr="00925F58">
        <w:t xml:space="preserve">well </w:t>
      </w:r>
      <w:r w:rsidR="001744C6" w:rsidRPr="00925F58">
        <w:lastRenderedPageBreak/>
        <w:t xml:space="preserve">below the 30-year average </w:t>
      </w:r>
      <w:r w:rsidR="00D644B7" w:rsidRPr="00925F58">
        <w:t xml:space="preserve">unemployment rate </w:t>
      </w:r>
      <w:r w:rsidR="001744C6" w:rsidRPr="00925F58">
        <w:t xml:space="preserve">of </w:t>
      </w:r>
      <w:r w:rsidR="00D501BC" w:rsidRPr="00925F58">
        <w:t>5.9</w:t>
      </w:r>
      <w:r w:rsidR="001744C6" w:rsidRPr="00925F58">
        <w:t>%.</w:t>
      </w:r>
      <w:r w:rsidR="00D644B7" w:rsidRPr="00925F58">
        <w:t xml:space="preserve"> </w:t>
      </w:r>
      <w:r w:rsidR="00065E14">
        <w:t>The unemployment rate has been falling stea</w:t>
      </w:r>
      <w:r w:rsidR="004E2AB3">
        <w:t>dily since the Great Recessio</w:t>
      </w:r>
      <w:r w:rsidR="00D20BA9">
        <w:t>n</w:t>
      </w:r>
      <w:r w:rsidR="00A57EA4">
        <w:t>.</w:t>
      </w:r>
    </w:p>
    <w:p w14:paraId="1926EEEC" w14:textId="0E9693D2" w:rsidR="0017576B" w:rsidRDefault="002308A9" w:rsidP="00D57C94">
      <w:pPr>
        <w:jc w:val="center"/>
      </w:pPr>
      <w:r>
        <w:rPr>
          <w:noProof/>
        </w:rPr>
        <w:drawing>
          <wp:inline distT="0" distB="0" distL="0" distR="0" wp14:anchorId="30EFBB54" wp14:editId="3777EB9C">
            <wp:extent cx="3493135" cy="27432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9D5F38" w14:textId="77777777" w:rsidR="00005111" w:rsidRDefault="00005111" w:rsidP="001475FF">
      <w:pPr>
        <w:pStyle w:val="Heading1"/>
      </w:pPr>
      <w:r>
        <w:t>Inflation</w:t>
      </w:r>
    </w:p>
    <w:p w14:paraId="149D5F3A" w14:textId="7FEB3E7A" w:rsidR="00172307" w:rsidRDefault="00C90C6F" w:rsidP="00005111">
      <w:r>
        <w:t xml:space="preserve">Inflation </w:t>
      </w:r>
      <w:r w:rsidR="009C74AB">
        <w:t>decelerated</w:t>
      </w:r>
      <w:r>
        <w:t xml:space="preserve"> </w:t>
      </w:r>
      <w:r w:rsidR="009C74AB">
        <w:t>during</w:t>
      </w:r>
      <w:r>
        <w:t xml:space="preserve"> the </w:t>
      </w:r>
      <w:r w:rsidR="009C74AB">
        <w:t>3</w:t>
      </w:r>
      <w:r w:rsidR="009C74AB" w:rsidRPr="009C74AB">
        <w:rPr>
          <w:vertAlign w:val="superscript"/>
        </w:rPr>
        <w:t>rd</w:t>
      </w:r>
      <w:r w:rsidR="009C74AB">
        <w:t xml:space="preserve"> </w:t>
      </w:r>
      <w:r>
        <w:t xml:space="preserve">quarter due largely to lower </w:t>
      </w:r>
      <w:r w:rsidR="009C74AB">
        <w:t>energy</w:t>
      </w:r>
      <w:r>
        <w:t xml:space="preserve"> prices</w:t>
      </w:r>
      <w:r w:rsidR="009C74AB">
        <w:t>, especially those for gasoline</w:t>
      </w:r>
      <w:r w:rsidR="001E7445">
        <w:t xml:space="preserve">. </w:t>
      </w:r>
      <w:r w:rsidR="006F7FB2" w:rsidRPr="0016088B">
        <w:t>The Consumer Price Index (CPI)</w:t>
      </w:r>
      <w:r w:rsidR="0076678E">
        <w:rPr>
          <w:rStyle w:val="FootnoteReference"/>
        </w:rPr>
        <w:footnoteReference w:id="11"/>
      </w:r>
      <w:r w:rsidR="006F7FB2" w:rsidRPr="0016088B">
        <w:t xml:space="preserve"> </w:t>
      </w:r>
      <w:r w:rsidR="00CD3F6E">
        <w:t xml:space="preserve">has </w:t>
      </w:r>
      <w:r w:rsidR="006F7FB2" w:rsidRPr="0016088B">
        <w:t xml:space="preserve">increased </w:t>
      </w:r>
      <w:r w:rsidR="0016088B" w:rsidRPr="0016088B">
        <w:t xml:space="preserve">by </w:t>
      </w:r>
      <w:r w:rsidR="00D36CBD">
        <w:t>1</w:t>
      </w:r>
      <w:r w:rsidR="0016088B" w:rsidRPr="0016088B">
        <w:t>.</w:t>
      </w:r>
      <w:r w:rsidR="009C74AB">
        <w:t>73</w:t>
      </w:r>
      <w:r w:rsidR="0016088B" w:rsidRPr="0016088B">
        <w:t>%</w:t>
      </w:r>
      <w:r w:rsidR="00CD3F6E">
        <w:t xml:space="preserve"> since</w:t>
      </w:r>
      <w:r>
        <w:t xml:space="preserve"> </w:t>
      </w:r>
      <w:r w:rsidR="00072C36">
        <w:t xml:space="preserve">last </w:t>
      </w:r>
      <w:r w:rsidR="009C74AB">
        <w:t>September</w:t>
      </w:r>
      <w:r w:rsidR="006F7FB2" w:rsidRPr="0016088B">
        <w:t>.</w:t>
      </w:r>
      <w:r w:rsidR="00B071DB" w:rsidRPr="0016088B">
        <w:t xml:space="preserve"> </w:t>
      </w:r>
      <w:r w:rsidR="00BD3693">
        <w:t>According to Federal Reserve Bank of New York’s S</w:t>
      </w:r>
      <w:r w:rsidR="00A82B9E">
        <w:t>urvey of Consumer Expectations,</w:t>
      </w:r>
      <w:r w:rsidR="00BD3693">
        <w:t xml:space="preserve"> inflation</w:t>
      </w:r>
      <w:r w:rsidR="00A82B9E">
        <w:t xml:space="preserve"> </w:t>
      </w:r>
      <w:r w:rsidR="001E7445">
        <w:t>expectations</w:t>
      </w:r>
      <w:r w:rsidR="00E274D8">
        <w:t xml:space="preserve"> </w:t>
      </w:r>
      <w:r w:rsidR="009C74AB">
        <w:t xml:space="preserve">fell to 2.5% </w:t>
      </w:r>
      <w:r w:rsidR="00E274D8">
        <w:t xml:space="preserve">for the </w:t>
      </w:r>
      <w:r w:rsidR="00BD3693">
        <w:t>one</w:t>
      </w:r>
      <w:r w:rsidR="00E274D8">
        <w:t>-</w:t>
      </w:r>
      <w:r w:rsidR="00BD3693">
        <w:t>year</w:t>
      </w:r>
      <w:r>
        <w:t xml:space="preserve"> </w:t>
      </w:r>
      <w:r w:rsidR="009C74AB">
        <w:t xml:space="preserve">horizon </w:t>
      </w:r>
      <w:r w:rsidR="00E274D8">
        <w:t xml:space="preserve">and </w:t>
      </w:r>
      <w:r w:rsidR="009C74AB">
        <w:t xml:space="preserve">2.4% for the </w:t>
      </w:r>
      <w:r w:rsidR="00E274D8">
        <w:t>three-year</w:t>
      </w:r>
      <w:r w:rsidR="009C74AB">
        <w:t xml:space="preserve"> horizon in September</w:t>
      </w:r>
      <w:r w:rsidR="00BD3693">
        <w:t xml:space="preserve">. </w:t>
      </w:r>
    </w:p>
    <w:p w14:paraId="149D5F3C" w14:textId="21CCCFD3" w:rsidR="00B94E68" w:rsidRDefault="002308A9" w:rsidP="0026599C">
      <w:pPr>
        <w:jc w:val="center"/>
      </w:pPr>
      <w:r>
        <w:rPr>
          <w:noProof/>
        </w:rPr>
        <w:drawing>
          <wp:inline distT="0" distB="0" distL="0" distR="0" wp14:anchorId="775DC3BF" wp14:editId="6F0805A0">
            <wp:extent cx="3493135" cy="27432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9D5F3E" w14:textId="692607C6" w:rsidR="00A11CAC" w:rsidRDefault="006F7FB2" w:rsidP="006F7FB2">
      <w:r w:rsidRPr="004E4B6F">
        <w:lastRenderedPageBreak/>
        <w:t>Prices at the prod</w:t>
      </w:r>
      <w:r w:rsidR="000E6A61" w:rsidRPr="004E4B6F">
        <w:t>ucer level</w:t>
      </w:r>
      <w:r w:rsidR="00E274D8">
        <w:t xml:space="preserve"> fell over the </w:t>
      </w:r>
      <w:r w:rsidR="00FE5B60">
        <w:t>3</w:t>
      </w:r>
      <w:r w:rsidR="00FE5B60" w:rsidRPr="00FE5B60">
        <w:rPr>
          <w:vertAlign w:val="superscript"/>
        </w:rPr>
        <w:t>rd</w:t>
      </w:r>
      <w:r w:rsidR="00FE5B60">
        <w:t xml:space="preserve"> </w:t>
      </w:r>
      <w:r w:rsidR="00E274D8">
        <w:t>quarter</w:t>
      </w:r>
      <w:r w:rsidR="00FE5B60">
        <w:t>, with September price</w:t>
      </w:r>
      <w:r w:rsidR="002435D7">
        <w:t>s</w:t>
      </w:r>
      <w:r w:rsidR="00FE5B60">
        <w:t xml:space="preserve"> d</w:t>
      </w:r>
      <w:r w:rsidR="002435D7">
        <w:t>own</w:t>
      </w:r>
      <w:r w:rsidR="00FE5B60">
        <w:t xml:space="preserve"> for both goods and services. T</w:t>
      </w:r>
      <w:r w:rsidRPr="004E4B6F">
        <w:t>he Producer Pr</w:t>
      </w:r>
      <w:r w:rsidR="00174B44" w:rsidRPr="004E4B6F">
        <w:t>ice Index (PPI)</w:t>
      </w:r>
      <w:r w:rsidR="00CB1375">
        <w:rPr>
          <w:rStyle w:val="FootnoteReference"/>
        </w:rPr>
        <w:footnoteReference w:id="12"/>
      </w:r>
      <w:r w:rsidR="00174B44" w:rsidRPr="004E4B6F">
        <w:t xml:space="preserve"> </w:t>
      </w:r>
      <w:r w:rsidR="002435D7">
        <w:t>was</w:t>
      </w:r>
      <w:r w:rsidR="007B7D73" w:rsidRPr="004E4B6F">
        <w:t xml:space="preserve"> </w:t>
      </w:r>
      <w:r w:rsidR="00FE5B60">
        <w:t>2.65</w:t>
      </w:r>
      <w:r w:rsidR="00174B44" w:rsidRPr="004E4B6F">
        <w:t>%</w:t>
      </w:r>
      <w:r w:rsidRPr="004E4B6F">
        <w:t xml:space="preserve"> </w:t>
      </w:r>
      <w:r w:rsidR="002435D7">
        <w:t xml:space="preserve">lower </w:t>
      </w:r>
      <w:r w:rsidR="0039736B">
        <w:t xml:space="preserve">in </w:t>
      </w:r>
      <w:r w:rsidR="00FE5B60">
        <w:t>September</w:t>
      </w:r>
      <w:r w:rsidR="0039736B">
        <w:t xml:space="preserve"> </w:t>
      </w:r>
      <w:r w:rsidRPr="004E4B6F">
        <w:t>compared to the same period last year</w:t>
      </w:r>
      <w:r w:rsidR="00FE5B60">
        <w:t>, falling</w:t>
      </w:r>
      <w:r w:rsidR="00E274D8">
        <w:t xml:space="preserve"> well</w:t>
      </w:r>
      <w:r w:rsidR="0039736B">
        <w:t xml:space="preserve"> </w:t>
      </w:r>
      <w:r w:rsidR="002435D7">
        <w:t>below</w:t>
      </w:r>
      <w:r w:rsidR="001E7445">
        <w:t xml:space="preserve"> </w:t>
      </w:r>
      <w:r w:rsidR="0031179D" w:rsidRPr="004E4B6F">
        <w:t xml:space="preserve">the 30-year average of </w:t>
      </w:r>
      <w:r w:rsidR="00FE5B60">
        <w:t xml:space="preserve">a </w:t>
      </w:r>
      <w:r w:rsidR="0039736B">
        <w:t>2.</w:t>
      </w:r>
      <w:r w:rsidR="00E274D8">
        <w:t>1</w:t>
      </w:r>
      <w:r w:rsidR="00FE5B60">
        <w:t>1</w:t>
      </w:r>
      <w:r w:rsidR="0031179D" w:rsidRPr="004E4B6F">
        <w:t>%</w:t>
      </w:r>
      <w:r w:rsidR="00FE5B60">
        <w:t xml:space="preserve"> annual increase</w:t>
      </w:r>
      <w:r w:rsidR="0031179D" w:rsidRPr="004E4B6F">
        <w:t xml:space="preserve">. </w:t>
      </w:r>
    </w:p>
    <w:p w14:paraId="149D5F40" w14:textId="178A6F00" w:rsidR="00B94E68" w:rsidRDefault="002308A9" w:rsidP="00166C08">
      <w:pPr>
        <w:jc w:val="center"/>
      </w:pPr>
      <w:r>
        <w:rPr>
          <w:noProof/>
        </w:rPr>
        <w:drawing>
          <wp:inline distT="0" distB="0" distL="0" distR="0" wp14:anchorId="386C0A4C" wp14:editId="3E31CCCB">
            <wp:extent cx="3493135" cy="2743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9D5F41" w14:textId="77777777" w:rsidR="00005111" w:rsidRDefault="00005111" w:rsidP="001475FF">
      <w:pPr>
        <w:pStyle w:val="Heading1"/>
      </w:pPr>
      <w:r>
        <w:t>Housing</w:t>
      </w:r>
    </w:p>
    <w:p w14:paraId="7135DBE1" w14:textId="5C749DA8" w:rsidR="00A96A6A" w:rsidRDefault="00B0395F">
      <w:r w:rsidRPr="0094654A">
        <w:t xml:space="preserve">During the </w:t>
      </w:r>
      <w:r w:rsidR="00A07D5A">
        <w:t>3</w:t>
      </w:r>
      <w:r w:rsidR="00A07D5A" w:rsidRPr="00A07D5A">
        <w:rPr>
          <w:vertAlign w:val="superscript"/>
        </w:rPr>
        <w:t>rd</w:t>
      </w:r>
      <w:r w:rsidR="00A07D5A">
        <w:t xml:space="preserve"> </w:t>
      </w:r>
      <w:r w:rsidRPr="0094654A">
        <w:t>quarter, the h</w:t>
      </w:r>
      <w:r w:rsidR="00CD0AEC" w:rsidRPr="0094654A">
        <w:t xml:space="preserve">ousing </w:t>
      </w:r>
      <w:r w:rsidRPr="0094654A">
        <w:t xml:space="preserve">market </w:t>
      </w:r>
      <w:r w:rsidR="00DC1920">
        <w:t>continued</w:t>
      </w:r>
      <w:r w:rsidR="002B16D0" w:rsidRPr="0094654A">
        <w:t xml:space="preserve"> to show </w:t>
      </w:r>
      <w:r w:rsidR="008B65B4" w:rsidRPr="0094654A">
        <w:t>sign</w:t>
      </w:r>
      <w:r w:rsidR="00B60178" w:rsidRPr="00773B5B">
        <w:t>s</w:t>
      </w:r>
      <w:r w:rsidRPr="0094654A">
        <w:t xml:space="preserve"> of </w:t>
      </w:r>
      <w:r w:rsidR="00A07D5A">
        <w:t>instability.</w:t>
      </w:r>
      <w:r w:rsidRPr="0094654A">
        <w:t xml:space="preserve"> </w:t>
      </w:r>
      <w:r w:rsidR="00A07D5A">
        <w:t>N</w:t>
      </w:r>
      <w:r w:rsidRPr="0094654A">
        <w:t>ew home starts</w:t>
      </w:r>
      <w:r w:rsidR="00C828B0">
        <w:rPr>
          <w:rStyle w:val="FootnoteReference"/>
        </w:rPr>
        <w:footnoteReference w:id="13"/>
      </w:r>
      <w:r w:rsidRPr="0094654A">
        <w:t xml:space="preserve"> </w:t>
      </w:r>
      <w:r w:rsidR="00A07D5A">
        <w:t>fell in two of the last three months</w:t>
      </w:r>
      <w:r w:rsidR="0028237E">
        <w:t xml:space="preserve">, </w:t>
      </w:r>
      <w:r w:rsidR="00A07D5A">
        <w:t>sliding to</w:t>
      </w:r>
      <w:r w:rsidRPr="0094654A">
        <w:t xml:space="preserve"> 1.</w:t>
      </w:r>
      <w:r w:rsidR="0028237E">
        <w:t>2</w:t>
      </w:r>
      <w:r w:rsidR="00A07D5A">
        <w:t>6</w:t>
      </w:r>
      <w:r w:rsidRPr="0094654A">
        <w:t xml:space="preserve"> million in </w:t>
      </w:r>
      <w:r w:rsidR="00A07D5A">
        <w:t>September</w:t>
      </w:r>
      <w:r w:rsidRPr="0094654A">
        <w:t xml:space="preserve">. </w:t>
      </w:r>
      <w:r w:rsidR="0028237E">
        <w:t xml:space="preserve">Still, total housing starts were up </w:t>
      </w:r>
      <w:r w:rsidR="00A07D5A">
        <w:t>2.1</w:t>
      </w:r>
      <w:r w:rsidR="0028237E">
        <w:t xml:space="preserve">% over last quarter. </w:t>
      </w:r>
      <w:r w:rsidR="0039736B">
        <w:t>Single</w:t>
      </w:r>
      <w:r w:rsidR="0026329B">
        <w:t xml:space="preserve">-family </w:t>
      </w:r>
      <w:r w:rsidR="0039736B">
        <w:t>home</w:t>
      </w:r>
      <w:r w:rsidR="00204D9D">
        <w:t xml:space="preserve"> </w:t>
      </w:r>
      <w:r w:rsidR="0039736B">
        <w:t>s</w:t>
      </w:r>
      <w:r w:rsidR="00204D9D">
        <w:t>tarts</w:t>
      </w:r>
      <w:r w:rsidR="0026329B">
        <w:t xml:space="preserve"> </w:t>
      </w:r>
      <w:r w:rsidR="00670FB1">
        <w:t>have been rising for four straight months</w:t>
      </w:r>
      <w:r w:rsidR="0028237E">
        <w:t xml:space="preserve">, while </w:t>
      </w:r>
      <w:r w:rsidR="00FB0F9F">
        <w:t>building p</w:t>
      </w:r>
      <w:r w:rsidR="00394236">
        <w:t xml:space="preserve">ermits </w:t>
      </w:r>
      <w:r w:rsidR="00204D9D">
        <w:t>dropped 2.7%</w:t>
      </w:r>
      <w:r w:rsidR="00670FB1">
        <w:t xml:space="preserve"> in September from their 12-year high</w:t>
      </w:r>
      <w:r w:rsidRPr="0094654A">
        <w:t xml:space="preserve">. </w:t>
      </w:r>
      <w:r w:rsidR="00670FB1">
        <w:t>Although lower interest rates have boosted the housing sector in recent months, l</w:t>
      </w:r>
      <w:r w:rsidR="0028237E">
        <w:t xml:space="preserve">abor shortages </w:t>
      </w:r>
      <w:r w:rsidR="00670FB1">
        <w:t>continue to constrain growth</w:t>
      </w:r>
      <w:r w:rsidR="0028237E">
        <w:t xml:space="preserve">. </w:t>
      </w:r>
      <w:r w:rsidRPr="0094654A">
        <w:t>T</w:t>
      </w:r>
      <w:r w:rsidR="00424E74" w:rsidRPr="0094654A">
        <w:t>he</w:t>
      </w:r>
      <w:r w:rsidRPr="0094654A">
        <w:t xml:space="preserve"> current</w:t>
      </w:r>
      <w:r w:rsidR="00424E74" w:rsidRPr="0094654A">
        <w:t xml:space="preserve"> level </w:t>
      </w:r>
      <w:r w:rsidRPr="0094654A">
        <w:t xml:space="preserve">is </w:t>
      </w:r>
      <w:r w:rsidR="00424E74" w:rsidRPr="0094654A">
        <w:t xml:space="preserve">well above the lows seen in 2009 when only 0.5 million new homes were </w:t>
      </w:r>
      <w:r w:rsidR="00670FB1" w:rsidRPr="0094654A">
        <w:t>built</w:t>
      </w:r>
      <w:r w:rsidR="00670FB1">
        <w:t xml:space="preserve"> yet</w:t>
      </w:r>
      <w:r w:rsidR="00424E74" w:rsidRPr="0094654A">
        <w:t xml:space="preserve"> </w:t>
      </w:r>
      <w:r w:rsidR="0028237E">
        <w:t xml:space="preserve">continues to fall </w:t>
      </w:r>
      <w:r w:rsidR="00424E74" w:rsidRPr="0094654A">
        <w:t>below the 30-year average of 1.</w:t>
      </w:r>
      <w:r w:rsidR="005E3622" w:rsidRPr="0094654A">
        <w:t>3</w:t>
      </w:r>
      <w:r w:rsidR="00394236">
        <w:t>0</w:t>
      </w:r>
      <w:r w:rsidR="00424E74" w:rsidRPr="0094654A">
        <w:t xml:space="preserve"> </w:t>
      </w:r>
      <w:r w:rsidR="00424E74" w:rsidRPr="004F1527">
        <w:t>million</w:t>
      </w:r>
      <w:r w:rsidR="00D55969">
        <w:t xml:space="preserve"> units per month</w:t>
      </w:r>
      <w:r w:rsidR="00424E74" w:rsidRPr="004F1527">
        <w:t>.</w:t>
      </w:r>
      <w:r w:rsidR="00F80395">
        <w:t xml:space="preserve"> </w:t>
      </w:r>
    </w:p>
    <w:p w14:paraId="149D5F44" w14:textId="1B5D15EE" w:rsidR="00B5315D" w:rsidRDefault="002308A9" w:rsidP="001B4B76">
      <w:pPr>
        <w:jc w:val="center"/>
      </w:pPr>
      <w:r>
        <w:rPr>
          <w:noProof/>
        </w:rPr>
        <w:lastRenderedPageBreak/>
        <w:drawing>
          <wp:inline distT="0" distB="0" distL="0" distR="0" wp14:anchorId="2D1C67D4" wp14:editId="0D1C8D15">
            <wp:extent cx="3816350" cy="27432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9D5F46" w14:textId="7452ECCB" w:rsidR="00A96795" w:rsidRDefault="00A223EC" w:rsidP="000A1224">
      <w:r>
        <w:t xml:space="preserve">The cost </w:t>
      </w:r>
      <w:r w:rsidR="00BC00A7">
        <w:t xml:space="preserve">of financing </w:t>
      </w:r>
      <w:r>
        <w:t xml:space="preserve">for </w:t>
      </w:r>
      <w:r w:rsidR="001B4B76">
        <w:t xml:space="preserve">would-be homebuyers </w:t>
      </w:r>
      <w:r w:rsidR="0028237E">
        <w:t>continued to decline</w:t>
      </w:r>
      <w:r w:rsidR="00394236">
        <w:t xml:space="preserve"> </w:t>
      </w:r>
      <w:r w:rsidR="00670FB1">
        <w:t>during</w:t>
      </w:r>
      <w:r w:rsidR="00394236">
        <w:t xml:space="preserve"> the </w:t>
      </w:r>
      <w:r w:rsidR="00670FB1">
        <w:t>3</w:t>
      </w:r>
      <w:r w:rsidR="00670FB1" w:rsidRPr="00670FB1">
        <w:rPr>
          <w:vertAlign w:val="superscript"/>
        </w:rPr>
        <w:t>rd</w:t>
      </w:r>
      <w:r w:rsidR="00670FB1">
        <w:t xml:space="preserve"> </w:t>
      </w:r>
      <w:r w:rsidR="00394236">
        <w:t>quarter</w:t>
      </w:r>
      <w:r w:rsidR="0026329B">
        <w:t xml:space="preserve"> </w:t>
      </w:r>
      <w:r w:rsidR="001B4B76">
        <w:t>as the 30-year fixed-rate mortgage</w:t>
      </w:r>
      <w:r w:rsidR="00250313">
        <w:rPr>
          <w:rStyle w:val="FootnoteReference"/>
        </w:rPr>
        <w:footnoteReference w:id="14"/>
      </w:r>
      <w:r w:rsidR="001B4B76">
        <w:t xml:space="preserve"> </w:t>
      </w:r>
      <w:r w:rsidR="00BE4FA9">
        <w:t>slipped</w:t>
      </w:r>
      <w:r w:rsidR="0026329B">
        <w:t xml:space="preserve"> to </w:t>
      </w:r>
      <w:r w:rsidR="0028237E">
        <w:t>3.</w:t>
      </w:r>
      <w:r w:rsidR="00670FB1">
        <w:t>64</w:t>
      </w:r>
      <w:r w:rsidR="00BE4FA9">
        <w:t>%</w:t>
      </w:r>
      <w:r w:rsidR="00670FB1">
        <w:t xml:space="preserve"> despite a late-September rise</w:t>
      </w:r>
      <w:r w:rsidR="001B4B76">
        <w:t>.</w:t>
      </w:r>
      <w:r w:rsidR="00A730DC">
        <w:t xml:space="preserve"> </w:t>
      </w:r>
      <w:r w:rsidR="00670FB1">
        <w:t>The</w:t>
      </w:r>
      <w:r w:rsidR="00A730DC">
        <w:t xml:space="preserve"> Fed announced </w:t>
      </w:r>
      <w:r w:rsidR="00670FB1">
        <w:t>two target rate cuts in the 3</w:t>
      </w:r>
      <w:r w:rsidR="00670FB1" w:rsidRPr="00670FB1">
        <w:rPr>
          <w:vertAlign w:val="superscript"/>
        </w:rPr>
        <w:t>rd</w:t>
      </w:r>
      <w:r w:rsidR="00670FB1">
        <w:t xml:space="preserve"> quarter totaling 50 basis points</w:t>
      </w:r>
      <w:r w:rsidR="00A730DC">
        <w:t>.</w:t>
      </w:r>
    </w:p>
    <w:p w14:paraId="0D0A69F6" w14:textId="615A8B54" w:rsidR="00A96A6A" w:rsidRDefault="002308A9" w:rsidP="00453708">
      <w:pPr>
        <w:jc w:val="center"/>
      </w:pPr>
      <w:r>
        <w:rPr>
          <w:noProof/>
        </w:rPr>
        <w:drawing>
          <wp:inline distT="0" distB="0" distL="0" distR="0" wp14:anchorId="0CD126A7" wp14:editId="4F433BD0">
            <wp:extent cx="3816350" cy="2737485"/>
            <wp:effectExtent l="0" t="0" r="0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73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2DE37C" w14:textId="263EAF9D" w:rsidR="00A96A6A" w:rsidRDefault="00B767AE" w:rsidP="00773B5B">
      <w:r>
        <w:t>The S&amp;</w:t>
      </w:r>
      <w:r w:rsidR="00BD1AF4">
        <w:t>P Case-Shiller Home Price Index (20-city)</w:t>
      </w:r>
      <w:r w:rsidR="00B2585A">
        <w:rPr>
          <w:rStyle w:val="FootnoteReference"/>
        </w:rPr>
        <w:footnoteReference w:id="15"/>
      </w:r>
      <w:r w:rsidR="00BD1AF4">
        <w:t xml:space="preserve"> </w:t>
      </w:r>
      <w:r w:rsidR="00BE4FA9">
        <w:t>for</w:t>
      </w:r>
      <w:r w:rsidR="00BD1AF4">
        <w:t xml:space="preserve"> </w:t>
      </w:r>
      <w:r w:rsidR="003A0447">
        <w:t>August</w:t>
      </w:r>
      <w:r w:rsidR="00BD1AF4">
        <w:t xml:space="preserve"> 201</w:t>
      </w:r>
      <w:r w:rsidR="00A730DC">
        <w:t>9</w:t>
      </w:r>
      <w:r w:rsidR="00BD1AF4">
        <w:t xml:space="preserve"> </w:t>
      </w:r>
      <w:r w:rsidR="001868CB">
        <w:t>increased</w:t>
      </w:r>
      <w:r w:rsidR="00E2306A">
        <w:t xml:space="preserve"> </w:t>
      </w:r>
      <w:r w:rsidR="001868CB">
        <w:t xml:space="preserve">by </w:t>
      </w:r>
      <w:r w:rsidR="0028237E">
        <w:t>2</w:t>
      </w:r>
      <w:r w:rsidR="00A730DC">
        <w:t>.</w:t>
      </w:r>
      <w:r w:rsidR="003A0447">
        <w:t>1</w:t>
      </w:r>
      <w:r w:rsidR="00E2306A">
        <w:t>%</w:t>
      </w:r>
      <w:r w:rsidR="003A0447">
        <w:t xml:space="preserve"> over the year</w:t>
      </w:r>
      <w:r w:rsidR="00E2306A">
        <w:t xml:space="preserve">, the </w:t>
      </w:r>
      <w:r w:rsidR="00BE4FA9">
        <w:t>lowest</w:t>
      </w:r>
      <w:r w:rsidR="001868CB">
        <w:t xml:space="preserve"> rate of growth</w:t>
      </w:r>
      <w:r w:rsidR="00BE4FA9">
        <w:t xml:space="preserve"> since </w:t>
      </w:r>
      <w:r w:rsidR="0028237E">
        <w:t>August</w:t>
      </w:r>
      <w:r w:rsidR="00BE4FA9">
        <w:t xml:space="preserve"> 2012</w:t>
      </w:r>
      <w:r w:rsidR="00933213">
        <w:t>, with mixed results among the 20 cities included</w:t>
      </w:r>
      <w:r w:rsidR="0096732C">
        <w:t>.</w:t>
      </w:r>
      <w:r w:rsidR="00933213">
        <w:t xml:space="preserve"> </w:t>
      </w:r>
      <w:r w:rsidR="00873466">
        <w:t xml:space="preserve">Last </w:t>
      </w:r>
      <w:r w:rsidR="003A0447">
        <w:t>August</w:t>
      </w:r>
      <w:r w:rsidR="00873466">
        <w:t xml:space="preserve">, home prices were increasing at a </w:t>
      </w:r>
      <w:r w:rsidR="003A0447">
        <w:t>5.6</w:t>
      </w:r>
      <w:r w:rsidR="00873466">
        <w:t>% annual rate.</w:t>
      </w:r>
      <w:r w:rsidR="00933213">
        <w:t xml:space="preserve"> </w:t>
      </w:r>
      <w:r w:rsidR="003A0447">
        <w:t xml:space="preserve">The 20-city composite lagged the national index. </w:t>
      </w:r>
      <w:r w:rsidR="00140763">
        <w:t>Overheated markets and</w:t>
      </w:r>
      <w:r w:rsidR="003A0447">
        <w:t xml:space="preserve"> new tax laws limiting homeownership-related deductions may be constraining growth in some areas</w:t>
      </w:r>
      <w:r w:rsidR="00933213">
        <w:t>.</w:t>
      </w:r>
    </w:p>
    <w:p w14:paraId="149D5F4C" w14:textId="55E04F2B" w:rsidR="0064538F" w:rsidRDefault="002308A9" w:rsidP="002775DB">
      <w:pPr>
        <w:jc w:val="center"/>
      </w:pPr>
      <w:r>
        <w:rPr>
          <w:noProof/>
        </w:rPr>
        <w:lastRenderedPageBreak/>
        <w:drawing>
          <wp:inline distT="0" distB="0" distL="0" distR="0" wp14:anchorId="1DFED7A9" wp14:editId="6E6C9014">
            <wp:extent cx="3493135" cy="27432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9D5F4D" w14:textId="52E84594" w:rsidR="00005111" w:rsidRDefault="0079609A" w:rsidP="001475FF">
      <w:pPr>
        <w:pStyle w:val="Heading1"/>
      </w:pPr>
      <w:r>
        <w:t>Consumer Spending</w:t>
      </w:r>
    </w:p>
    <w:p w14:paraId="149D5F51" w14:textId="36338B1F" w:rsidR="0079609A" w:rsidRDefault="00873466" w:rsidP="00A04AD3">
      <w:r>
        <w:t>T</w:t>
      </w:r>
      <w:r w:rsidR="0079609A" w:rsidRPr="00FD4516">
        <w:t>he</w:t>
      </w:r>
      <w:r w:rsidR="0079609A" w:rsidRPr="00971553">
        <w:t xml:space="preserve"> level of Personal Consumption Expenditures (PCE)</w:t>
      </w:r>
      <w:r w:rsidR="00421F60">
        <w:rPr>
          <w:rStyle w:val="FootnoteReference"/>
        </w:rPr>
        <w:footnoteReference w:id="16"/>
      </w:r>
      <w:r w:rsidR="0079609A" w:rsidRPr="00971553">
        <w:t xml:space="preserve"> </w:t>
      </w:r>
      <w:r w:rsidR="00933213">
        <w:t>rose</w:t>
      </w:r>
      <w:r w:rsidR="0079609A" w:rsidRPr="00971553">
        <w:t xml:space="preserve"> </w:t>
      </w:r>
      <w:r w:rsidR="00914EA8">
        <w:t xml:space="preserve">by </w:t>
      </w:r>
      <w:r w:rsidR="00A04AD3">
        <w:t>3.95</w:t>
      </w:r>
      <w:r w:rsidR="0079609A" w:rsidRPr="00971553">
        <w:t xml:space="preserve">% </w:t>
      </w:r>
      <w:r w:rsidR="005C532B">
        <w:t xml:space="preserve">from </w:t>
      </w:r>
      <w:r w:rsidR="00A04AD3">
        <w:t>September 2018 to September 2019</w:t>
      </w:r>
      <w:r w:rsidR="002F6282">
        <w:t xml:space="preserve">. </w:t>
      </w:r>
      <w:r w:rsidR="00933213">
        <w:t>Increased</w:t>
      </w:r>
      <w:r w:rsidR="00155E88">
        <w:t xml:space="preserve"> spending on motor vehicles</w:t>
      </w:r>
      <w:r w:rsidR="00933213">
        <w:t xml:space="preserve"> </w:t>
      </w:r>
      <w:r w:rsidR="00A04AD3">
        <w:t>and healthcare</w:t>
      </w:r>
      <w:r w:rsidR="00155E88">
        <w:t xml:space="preserve"> </w:t>
      </w:r>
      <w:r w:rsidR="00933213">
        <w:t>contributed to</w:t>
      </w:r>
      <w:r w:rsidR="00155E88">
        <w:t xml:space="preserve"> the recent expenditure gain</w:t>
      </w:r>
      <w:r w:rsidR="002A0B80">
        <w:t xml:space="preserve">. Still, </w:t>
      </w:r>
      <w:r w:rsidR="00A04AD3">
        <w:t>September’s</w:t>
      </w:r>
      <w:r w:rsidR="002A0B80">
        <w:t xml:space="preserve"> gain fell</w:t>
      </w:r>
      <w:r w:rsidR="00576484" w:rsidRPr="00971553">
        <w:t xml:space="preserve"> </w:t>
      </w:r>
      <w:r w:rsidR="008129B2">
        <w:t>below</w:t>
      </w:r>
      <w:r w:rsidR="00971553" w:rsidRPr="00971553">
        <w:t xml:space="preserve"> </w:t>
      </w:r>
      <w:r w:rsidR="0079609A" w:rsidRPr="00971553">
        <w:t xml:space="preserve">both the 30-year average level of </w:t>
      </w:r>
      <w:r>
        <w:t>4.</w:t>
      </w:r>
      <w:r w:rsidR="002A0B80">
        <w:t>8</w:t>
      </w:r>
      <w:r w:rsidR="00A04AD3">
        <w:t>3</w:t>
      </w:r>
      <w:r w:rsidR="0079609A" w:rsidRPr="00971553">
        <w:t xml:space="preserve">% and </w:t>
      </w:r>
      <w:r w:rsidR="001E7445">
        <w:t xml:space="preserve">the </w:t>
      </w:r>
      <w:r w:rsidR="00A04AD3">
        <w:t>5.16</w:t>
      </w:r>
      <w:r w:rsidR="0079609A" w:rsidRPr="00971553">
        <w:t xml:space="preserve">% </w:t>
      </w:r>
      <w:r w:rsidR="008B1963">
        <w:t>level</w:t>
      </w:r>
      <w:r w:rsidR="00CA2DA3">
        <w:t xml:space="preserve"> from </w:t>
      </w:r>
      <w:r w:rsidR="0079609A" w:rsidRPr="00971553">
        <w:t xml:space="preserve">the same period </w:t>
      </w:r>
      <w:r w:rsidR="005C532B">
        <w:t>a</w:t>
      </w:r>
      <w:r w:rsidR="0079609A" w:rsidRPr="00971553">
        <w:t xml:space="preserve"> year</w:t>
      </w:r>
      <w:r w:rsidR="005C532B">
        <w:t xml:space="preserve"> ago</w:t>
      </w:r>
      <w:r w:rsidR="0079609A" w:rsidRPr="00971553">
        <w:t>.</w:t>
      </w:r>
    </w:p>
    <w:p w14:paraId="419D69CE" w14:textId="074822BD" w:rsidR="00A96A6A" w:rsidRDefault="002308A9" w:rsidP="00CF06AE">
      <w:pPr>
        <w:jc w:val="center"/>
      </w:pPr>
      <w:r>
        <w:rPr>
          <w:noProof/>
        </w:rPr>
        <w:drawing>
          <wp:inline distT="0" distB="0" distL="0" distR="0" wp14:anchorId="42A1B206" wp14:editId="30389F68">
            <wp:extent cx="3493135" cy="27432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9D5F53" w14:textId="29AACF2D" w:rsidR="0079609A" w:rsidRDefault="00515DB3" w:rsidP="00F92FD1">
      <w:r>
        <w:lastRenderedPageBreak/>
        <w:t xml:space="preserve">Automotive companies </w:t>
      </w:r>
      <w:r w:rsidR="00695980">
        <w:t xml:space="preserve">reported </w:t>
      </w:r>
      <w:r w:rsidR="008B37F0" w:rsidRPr="008B37F0">
        <w:t>17.</w:t>
      </w:r>
      <w:r w:rsidR="00A04AD3">
        <w:t>2</w:t>
      </w:r>
      <w:r w:rsidR="0079609A" w:rsidRPr="008B37F0">
        <w:t xml:space="preserve"> million autos and light trucks sold</w:t>
      </w:r>
      <w:r w:rsidR="00933E80">
        <w:rPr>
          <w:rStyle w:val="FootnoteReference"/>
        </w:rPr>
        <w:footnoteReference w:id="17"/>
      </w:r>
      <w:r w:rsidR="0079609A" w:rsidRPr="008B37F0">
        <w:t xml:space="preserve"> in </w:t>
      </w:r>
      <w:r w:rsidR="00A04AD3">
        <w:t>September</w:t>
      </w:r>
      <w:r w:rsidR="008B3E4E">
        <w:t>,</w:t>
      </w:r>
      <w:r w:rsidR="005B40E5">
        <w:t xml:space="preserve"> </w:t>
      </w:r>
      <w:r w:rsidR="00A04AD3">
        <w:t>up</w:t>
      </w:r>
      <w:r w:rsidR="008B3E4E">
        <w:t xml:space="preserve"> </w:t>
      </w:r>
      <w:r w:rsidR="002361FB">
        <w:t>0</w:t>
      </w:r>
      <w:r w:rsidR="00155E88">
        <w:t>.</w:t>
      </w:r>
      <w:r w:rsidR="00A04AD3">
        <w:t>2</w:t>
      </w:r>
      <w:r w:rsidR="0079609A" w:rsidRPr="008B37F0">
        <w:t xml:space="preserve"> million </w:t>
      </w:r>
      <w:r w:rsidR="00155E88">
        <w:t xml:space="preserve">units </w:t>
      </w:r>
      <w:r w:rsidR="00CF06AE">
        <w:t xml:space="preserve">from </w:t>
      </w:r>
      <w:r w:rsidR="00A04AD3">
        <w:t>Augus</w:t>
      </w:r>
      <w:r w:rsidR="003A679B">
        <w:t>t</w:t>
      </w:r>
      <w:r w:rsidR="002361FB">
        <w:t xml:space="preserve"> yet </w:t>
      </w:r>
      <w:r w:rsidR="003A679B">
        <w:t>down</w:t>
      </w:r>
      <w:r w:rsidR="002361FB">
        <w:t xml:space="preserve"> </w:t>
      </w:r>
      <w:r w:rsidR="00155E88">
        <w:t>0.</w:t>
      </w:r>
      <w:r w:rsidR="002361FB">
        <w:t>1</w:t>
      </w:r>
      <w:r w:rsidR="00155E88">
        <w:t xml:space="preserve"> million </w:t>
      </w:r>
      <w:r w:rsidR="003A679B">
        <w:t>over the year</w:t>
      </w:r>
      <w:r w:rsidR="00155E88">
        <w:t>.</w:t>
      </w:r>
      <w:r w:rsidR="0079609A" w:rsidRPr="008B37F0">
        <w:t xml:space="preserve"> </w:t>
      </w:r>
      <w:r w:rsidR="003A679B">
        <w:t>September</w:t>
      </w:r>
      <w:r w:rsidR="00155E88">
        <w:t xml:space="preserve"> sales were</w:t>
      </w:r>
      <w:r w:rsidR="0079609A" w:rsidRPr="008B37F0">
        <w:t xml:space="preserve"> </w:t>
      </w:r>
      <w:r w:rsidR="003A679B">
        <w:t>1.9</w:t>
      </w:r>
      <w:r w:rsidR="0079609A" w:rsidRPr="008B37F0">
        <w:t xml:space="preserve"> million units a</w:t>
      </w:r>
      <w:r w:rsidR="008B37F0" w:rsidRPr="008B37F0">
        <w:t>bove the 30-year average of 15.</w:t>
      </w:r>
      <w:r w:rsidR="008B3E4E">
        <w:t>3</w:t>
      </w:r>
      <w:r w:rsidR="0079609A" w:rsidRPr="008B37F0">
        <w:t xml:space="preserve"> million</w:t>
      </w:r>
      <w:r w:rsidR="00354195">
        <w:t xml:space="preserve"> units per month</w:t>
      </w:r>
      <w:r w:rsidR="00F92FD1">
        <w:t>.</w:t>
      </w:r>
    </w:p>
    <w:p w14:paraId="571A905C" w14:textId="3E350D74" w:rsidR="002E3647" w:rsidRDefault="002308A9" w:rsidP="003A679B">
      <w:pPr>
        <w:jc w:val="center"/>
      </w:pPr>
      <w:r>
        <w:rPr>
          <w:noProof/>
        </w:rPr>
        <w:drawing>
          <wp:inline distT="0" distB="0" distL="0" distR="0" wp14:anchorId="53FD05CB" wp14:editId="4AC33780">
            <wp:extent cx="4090670" cy="2743200"/>
            <wp:effectExtent l="0" t="0" r="508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7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B475FF" w14:textId="32E297C4" w:rsidR="002E3647" w:rsidRDefault="008A581A" w:rsidP="00354195">
      <w:r w:rsidRPr="002E3647">
        <w:t>The c</w:t>
      </w:r>
      <w:r w:rsidR="008C5503" w:rsidRPr="002E3647">
        <w:t>onsumer sentiment</w:t>
      </w:r>
      <w:r w:rsidR="00291FFB" w:rsidRPr="002E3647">
        <w:rPr>
          <w:rStyle w:val="FootnoteReference"/>
        </w:rPr>
        <w:footnoteReference w:id="18"/>
      </w:r>
      <w:r w:rsidR="008C5503" w:rsidRPr="002E3647">
        <w:t xml:space="preserve"> </w:t>
      </w:r>
      <w:r w:rsidRPr="002E3647">
        <w:t>index ended</w:t>
      </w:r>
      <w:r w:rsidR="008C5503" w:rsidRPr="002E3647">
        <w:t xml:space="preserve"> </w:t>
      </w:r>
      <w:r w:rsidR="003A679B">
        <w:t>September</w:t>
      </w:r>
      <w:r w:rsidRPr="002E3647">
        <w:t xml:space="preserve"> at </w:t>
      </w:r>
      <w:r w:rsidR="003A679B">
        <w:t>93.2, rebounding slightly from a drop of over 8 points in August</w:t>
      </w:r>
      <w:r w:rsidRPr="002E3647">
        <w:t xml:space="preserve">. </w:t>
      </w:r>
      <w:r w:rsidR="003A679B">
        <w:t>The rally came despite an increase in worries over the impact of</w:t>
      </w:r>
      <w:r w:rsidR="006970E9" w:rsidRPr="002E3647">
        <w:t xml:space="preserve"> tariffs </w:t>
      </w:r>
      <w:r w:rsidR="003A679B">
        <w:t>on</w:t>
      </w:r>
      <w:r w:rsidR="006970E9" w:rsidRPr="002E3647">
        <w:t xml:space="preserve"> inflation</w:t>
      </w:r>
      <w:r w:rsidR="003A679B">
        <w:t xml:space="preserve"> and unemployment</w:t>
      </w:r>
      <w:r w:rsidR="006970E9" w:rsidRPr="002E3647">
        <w:t xml:space="preserve">. </w:t>
      </w:r>
      <w:r w:rsidR="003A679B">
        <w:t>September’s</w:t>
      </w:r>
      <w:r w:rsidR="006970E9" w:rsidRPr="002E3647">
        <w:t xml:space="preserve"> consumer sentiment </w:t>
      </w:r>
      <w:r w:rsidR="003A679B">
        <w:t xml:space="preserve">reading </w:t>
      </w:r>
      <w:r w:rsidR="006970E9" w:rsidRPr="002E3647">
        <w:t xml:space="preserve">was </w:t>
      </w:r>
      <w:r w:rsidR="003A679B">
        <w:t xml:space="preserve">below </w:t>
      </w:r>
      <w:r w:rsidR="00316E8F">
        <w:t xml:space="preserve">its level of 100.1 one year prior yet </w:t>
      </w:r>
      <w:r w:rsidR="006970E9" w:rsidRPr="002E3647">
        <w:t xml:space="preserve">above the 30-year average of </w:t>
      </w:r>
      <w:r w:rsidRPr="002E3647">
        <w:t>87.5</w:t>
      </w:r>
      <w:r w:rsidR="00291FFB" w:rsidRPr="002E3647">
        <w:t>.</w:t>
      </w:r>
    </w:p>
    <w:p w14:paraId="182CF22B" w14:textId="102217DF" w:rsidR="000D5719" w:rsidRPr="00960B49" w:rsidRDefault="002308A9" w:rsidP="002E3647">
      <w:pPr>
        <w:jc w:val="center"/>
      </w:pPr>
      <w:r>
        <w:rPr>
          <w:noProof/>
        </w:rPr>
        <w:drawing>
          <wp:inline distT="0" distB="0" distL="0" distR="0" wp14:anchorId="67752C6E" wp14:editId="16853A81">
            <wp:extent cx="4090670" cy="2743200"/>
            <wp:effectExtent l="0" t="0" r="508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7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9D5F56" w14:textId="77777777" w:rsidR="0091664E" w:rsidRDefault="0091664E" w:rsidP="0091664E">
      <w:pPr>
        <w:pStyle w:val="Heading1"/>
      </w:pPr>
      <w:r>
        <w:lastRenderedPageBreak/>
        <w:t>Capital Markets</w:t>
      </w:r>
    </w:p>
    <w:p w14:paraId="79C54A89" w14:textId="6F7451DC" w:rsidR="002E3647" w:rsidRDefault="00FB7EF9" w:rsidP="00B875CA">
      <w:r>
        <w:t>U</w:t>
      </w:r>
      <w:r w:rsidR="00BC00A7">
        <w:t>.</w:t>
      </w:r>
      <w:r>
        <w:t>S</w:t>
      </w:r>
      <w:r w:rsidR="00BC00A7">
        <w:t>.</w:t>
      </w:r>
      <w:r>
        <w:t xml:space="preserve"> </w:t>
      </w:r>
      <w:r w:rsidR="008B3E4E">
        <w:t xml:space="preserve">stock </w:t>
      </w:r>
      <w:r w:rsidR="00890B68">
        <w:t>indices</w:t>
      </w:r>
      <w:r w:rsidR="002A14C5">
        <w:t xml:space="preserve"> </w:t>
      </w:r>
      <w:r w:rsidR="00580F92">
        <w:t>widely rebounded in September</w:t>
      </w:r>
      <w:r w:rsidR="002A14C5">
        <w:t xml:space="preserve"> of 201</w:t>
      </w:r>
      <w:r w:rsidR="006167DB">
        <w:t>9</w:t>
      </w:r>
      <w:r w:rsidR="00580F92">
        <w:t xml:space="preserve"> after decreases in August. </w:t>
      </w:r>
      <w:r w:rsidR="00F27237">
        <w:t xml:space="preserve">Strong tech sector performance and better-than-expected economic data from China relieved investor anxiety at the end of the quarter. Additionally, </w:t>
      </w:r>
      <w:r w:rsidR="00822897">
        <w:t xml:space="preserve">the central bank made policy moves to support economic growth throughout the quarter. </w:t>
      </w:r>
      <w:r w:rsidR="00F27237">
        <w:t>However, concerns still loomed</w:t>
      </w:r>
      <w:r w:rsidR="00580F92">
        <w:t xml:space="preserve"> over the weakening global economy</w:t>
      </w:r>
      <w:r w:rsidR="00822897">
        <w:t>,</w:t>
      </w:r>
      <w:r w:rsidR="00580F92">
        <w:t xml:space="preserve"> </w:t>
      </w:r>
      <w:r w:rsidR="00F27237">
        <w:t xml:space="preserve">escalating tensions between the </w:t>
      </w:r>
      <w:r w:rsidR="00E2557A">
        <w:t>U.S.</w:t>
      </w:r>
      <w:r w:rsidR="00F27237">
        <w:t xml:space="preserve"> and </w:t>
      </w:r>
      <w:r w:rsidR="00822897">
        <w:t>China, and mounting presidential impeachment pressures.</w:t>
      </w:r>
      <w:r w:rsidR="00F27237">
        <w:t xml:space="preserve"> </w:t>
      </w:r>
      <w:r w:rsidR="004778D8" w:rsidRPr="00093D9A">
        <w:t xml:space="preserve">The S&amp;P 500 </w:t>
      </w:r>
      <w:r w:rsidR="00953DDB" w:rsidRPr="00093D9A">
        <w:t xml:space="preserve">closed the quarter at </w:t>
      </w:r>
      <w:r w:rsidR="009878F0" w:rsidRPr="00093D9A">
        <w:t>2</w:t>
      </w:r>
      <w:r w:rsidR="00953DDB" w:rsidRPr="00093D9A">
        <w:t>,</w:t>
      </w:r>
      <w:r w:rsidR="00F27237">
        <w:t>976</w:t>
      </w:r>
      <w:r w:rsidR="00953DDB" w:rsidRPr="00093D9A">
        <w:t>.</w:t>
      </w:r>
      <w:r w:rsidR="00E2557A">
        <w:t>7</w:t>
      </w:r>
      <w:r w:rsidR="00F27237">
        <w:t>4</w:t>
      </w:r>
      <w:r w:rsidR="00BC00A7">
        <w:t>,</w:t>
      </w:r>
      <w:r w:rsidR="004476DE" w:rsidRPr="00093D9A">
        <w:t xml:space="preserve"> </w:t>
      </w:r>
      <w:r w:rsidR="009C4651">
        <w:t>up</w:t>
      </w:r>
      <w:r w:rsidR="002A14C5">
        <w:t xml:space="preserve"> </w:t>
      </w:r>
      <w:r w:rsidR="00F27237">
        <w:t>1</w:t>
      </w:r>
      <w:r w:rsidR="002A14C5">
        <w:t>.</w:t>
      </w:r>
      <w:r w:rsidR="00F27237">
        <w:t>2</w:t>
      </w:r>
      <w:r w:rsidR="00953DDB" w:rsidRPr="00093D9A">
        <w:t xml:space="preserve">% </w:t>
      </w:r>
      <w:r w:rsidR="008972D1" w:rsidRPr="00093D9A">
        <w:t xml:space="preserve">from </w:t>
      </w:r>
      <w:r w:rsidR="00953DDB" w:rsidRPr="00093D9A">
        <w:t xml:space="preserve">the </w:t>
      </w:r>
      <w:r w:rsidR="008972D1" w:rsidRPr="00093D9A">
        <w:t xml:space="preserve">previous </w:t>
      </w:r>
      <w:r w:rsidR="00953DDB" w:rsidRPr="00093D9A">
        <w:t xml:space="preserve">quarter and </w:t>
      </w:r>
      <w:r w:rsidR="00F27237">
        <w:t>2</w:t>
      </w:r>
      <w:r w:rsidR="00E2557A">
        <w:t>.2</w:t>
      </w:r>
      <w:r w:rsidR="002A14C5">
        <w:t xml:space="preserve">% </w:t>
      </w:r>
      <w:r w:rsidR="00CD3F6E">
        <w:t>from</w:t>
      </w:r>
      <w:r w:rsidR="009C4651">
        <w:t xml:space="preserve"> the same period last year</w:t>
      </w:r>
      <w:r w:rsidR="00953DDB" w:rsidRPr="00093D9A">
        <w:t xml:space="preserve">. </w:t>
      </w:r>
      <w:r w:rsidR="002A14C5">
        <w:t xml:space="preserve">The Dow Jones </w:t>
      </w:r>
      <w:r w:rsidR="009445E7">
        <w:t>was</w:t>
      </w:r>
      <w:r w:rsidR="002A14C5">
        <w:t xml:space="preserve"> </w:t>
      </w:r>
      <w:r w:rsidR="009C4651">
        <w:t>up</w:t>
      </w:r>
      <w:r w:rsidR="002A14C5">
        <w:t xml:space="preserve"> </w:t>
      </w:r>
      <w:r w:rsidR="00822897">
        <w:t>1.2</w:t>
      </w:r>
      <w:r w:rsidR="002A14C5">
        <w:t xml:space="preserve">% in the </w:t>
      </w:r>
      <w:r w:rsidR="00822897">
        <w:t>3</w:t>
      </w:r>
      <w:r w:rsidR="00822897" w:rsidRPr="00822897">
        <w:rPr>
          <w:vertAlign w:val="superscript"/>
        </w:rPr>
        <w:t>rd</w:t>
      </w:r>
      <w:r w:rsidR="00822897">
        <w:t xml:space="preserve"> </w:t>
      </w:r>
      <w:r w:rsidR="002A14C5">
        <w:t xml:space="preserve">quarter and </w:t>
      </w:r>
      <w:r w:rsidR="00822897">
        <w:t>1</w:t>
      </w:r>
      <w:r w:rsidR="002A14C5">
        <w:t>.</w:t>
      </w:r>
      <w:r w:rsidR="00822897">
        <w:t>7</w:t>
      </w:r>
      <w:r w:rsidR="002A14C5">
        <w:t xml:space="preserve">% </w:t>
      </w:r>
      <w:r w:rsidR="009C4651">
        <w:t>over the year</w:t>
      </w:r>
      <w:r w:rsidR="002A14C5">
        <w:t xml:space="preserve">. </w:t>
      </w:r>
      <w:r w:rsidR="00822897">
        <w:t xml:space="preserve">However, the NASDAQ Composite ended the quarter down 0.1% and the year </w:t>
      </w:r>
      <w:r w:rsidR="00E2557A">
        <w:t>down</w:t>
      </w:r>
      <w:r w:rsidR="00822897">
        <w:t xml:space="preserve"> 0.6</w:t>
      </w:r>
      <w:r w:rsidR="00E2557A">
        <w:t>%</w:t>
      </w:r>
      <w:r w:rsidR="00953DDB" w:rsidRPr="00093D9A">
        <w:t>.</w:t>
      </w:r>
      <w:r w:rsidR="002A14C5">
        <w:t xml:space="preserve"> </w:t>
      </w:r>
    </w:p>
    <w:p w14:paraId="3C77E48B" w14:textId="157A0660" w:rsidR="002E3647" w:rsidRDefault="002308A9" w:rsidP="002308A9">
      <w:pPr>
        <w:jc w:val="center"/>
      </w:pPr>
      <w:r w:rsidRPr="002308A9">
        <w:drawing>
          <wp:inline distT="0" distB="0" distL="0" distR="0" wp14:anchorId="7850230D" wp14:editId="72788B04">
            <wp:extent cx="4791075" cy="153352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3084E" w14:textId="02E0CD68" w:rsidR="00857079" w:rsidRDefault="002308A9" w:rsidP="00BB3B04">
      <w:pPr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20D4EF4D" wp14:editId="539B2B81">
            <wp:extent cx="4097020" cy="274955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9D1768" w14:textId="7F34ADA0" w:rsidR="0007515A" w:rsidRDefault="00100DF8" w:rsidP="00354195">
      <w:r>
        <w:t>Stock market v</w:t>
      </w:r>
      <w:r w:rsidR="0007515A">
        <w:t>olatility</w:t>
      </w:r>
      <w:r w:rsidR="0007515A">
        <w:rPr>
          <w:rStyle w:val="FootnoteReference"/>
        </w:rPr>
        <w:footnoteReference w:id="19"/>
      </w:r>
      <w:r>
        <w:t xml:space="preserve"> ended the </w:t>
      </w:r>
      <w:r w:rsidR="00822897">
        <w:t>3</w:t>
      </w:r>
      <w:r w:rsidR="00822897" w:rsidRPr="00822897">
        <w:rPr>
          <w:vertAlign w:val="superscript"/>
        </w:rPr>
        <w:t>rd</w:t>
      </w:r>
      <w:r w:rsidR="00822897">
        <w:t xml:space="preserve"> </w:t>
      </w:r>
      <w:r>
        <w:t>quarter at 1</w:t>
      </w:r>
      <w:r w:rsidR="00822897">
        <w:t>6</w:t>
      </w:r>
      <w:r>
        <w:t>.</w:t>
      </w:r>
      <w:r w:rsidR="00822897">
        <w:t>24</w:t>
      </w:r>
      <w:r>
        <w:t xml:space="preserve">, up </w:t>
      </w:r>
      <w:r w:rsidR="00822897">
        <w:t>7.7</w:t>
      </w:r>
      <w:r>
        <w:t>% since last quarter but below the 10-year average of 17.</w:t>
      </w:r>
      <w:r w:rsidR="00822897">
        <w:t>09</w:t>
      </w:r>
      <w:r>
        <w:t xml:space="preserve">. </w:t>
      </w:r>
      <w:r w:rsidR="002F1B4B">
        <w:t>August spikes</w:t>
      </w:r>
      <w:r w:rsidR="00C01B26">
        <w:t xml:space="preserve"> in t</w:t>
      </w:r>
      <w:r>
        <w:t>he volatility index, a proxy for investor anxiety derived from tracking options prices on S&amp;P 500 stocks</w:t>
      </w:r>
      <w:r w:rsidR="00C01B26">
        <w:t>, reflected</w:t>
      </w:r>
      <w:r>
        <w:t xml:space="preserve"> </w:t>
      </w:r>
      <w:r w:rsidR="002F1B4B">
        <w:t>escalating</w:t>
      </w:r>
      <w:r w:rsidR="00C01B26">
        <w:t xml:space="preserve"> trade </w:t>
      </w:r>
      <w:r w:rsidR="002F1B4B">
        <w:t xml:space="preserve">tensions </w:t>
      </w:r>
      <w:r w:rsidR="00C01B26">
        <w:t xml:space="preserve">with China and </w:t>
      </w:r>
      <w:r w:rsidR="002F1B4B">
        <w:t>recession concerns over inversion of the treasury yield curve</w:t>
      </w:r>
      <w:r w:rsidR="00C01B26">
        <w:t xml:space="preserve">. </w:t>
      </w:r>
      <w:r w:rsidR="007A0574">
        <w:t xml:space="preserve">The volatility index </w:t>
      </w:r>
      <w:r w:rsidR="007A0574">
        <w:lastRenderedPageBreak/>
        <w:t>reached a seven-month high of 24.59 in August; h</w:t>
      </w:r>
      <w:r w:rsidR="00C01B26">
        <w:t xml:space="preserve">owever, </w:t>
      </w:r>
      <w:r w:rsidR="002F1B4B">
        <w:t xml:space="preserve">the </w:t>
      </w:r>
      <w:r w:rsidR="001545F2">
        <w:t>tumult alleviated in</w:t>
      </w:r>
      <w:r w:rsidR="002F1B4B">
        <w:t xml:space="preserve"> September</w:t>
      </w:r>
      <w:r w:rsidR="00C01B26">
        <w:t xml:space="preserve">, with the volatility index decreasing </w:t>
      </w:r>
      <w:r w:rsidR="007A0574">
        <w:t>throughout</w:t>
      </w:r>
      <w:r w:rsidR="00C01B26">
        <w:t xml:space="preserve"> the month.</w:t>
      </w:r>
    </w:p>
    <w:p w14:paraId="0420E509" w14:textId="50EDCDB4" w:rsidR="00100DF8" w:rsidRPr="00354195" w:rsidRDefault="002308A9" w:rsidP="00FD0160">
      <w:pPr>
        <w:jc w:val="center"/>
      </w:pPr>
      <w:r>
        <w:rPr>
          <w:noProof/>
        </w:rPr>
        <w:drawing>
          <wp:inline distT="0" distB="0" distL="0" distR="0" wp14:anchorId="66CE2F11" wp14:editId="42D7192E">
            <wp:extent cx="4097020" cy="274955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9D5F93" w14:textId="77777777" w:rsidR="00E44639" w:rsidRDefault="00E44639" w:rsidP="00E44639">
      <w:pPr>
        <w:pStyle w:val="Heading1"/>
      </w:pPr>
      <w:r>
        <w:t>Outlook</w:t>
      </w:r>
    </w:p>
    <w:p w14:paraId="149D5F95" w14:textId="211668E3" w:rsidR="0022226D" w:rsidRDefault="00886D3A" w:rsidP="00E44639">
      <w:r w:rsidRPr="00090DA6">
        <w:t xml:space="preserve">The </w:t>
      </w:r>
      <w:r w:rsidR="00F60736" w:rsidRPr="00090DA6">
        <w:t xml:space="preserve">U.S. </w:t>
      </w:r>
      <w:r w:rsidRPr="00090DA6">
        <w:t>Federal</w:t>
      </w:r>
      <w:r w:rsidR="00F60736" w:rsidRPr="00090DA6">
        <w:t xml:space="preserve"> Open Market Committee is projecting real GDP growth</w:t>
      </w:r>
      <w:r w:rsidR="00BF5CE2">
        <w:rPr>
          <w:rStyle w:val="FootnoteReference"/>
        </w:rPr>
        <w:footnoteReference w:id="20"/>
      </w:r>
      <w:r w:rsidR="00F60736" w:rsidRPr="00090DA6">
        <w:t xml:space="preserve"> to slow </w:t>
      </w:r>
      <w:r w:rsidR="00265131">
        <w:t>steadily</w:t>
      </w:r>
      <w:r w:rsidR="00AB6F46">
        <w:t xml:space="preserve"> </w:t>
      </w:r>
      <w:r w:rsidR="00F60736" w:rsidRPr="00090DA6">
        <w:t xml:space="preserve">to </w:t>
      </w:r>
      <w:r w:rsidR="00090DA6" w:rsidRPr="00090DA6">
        <w:t>1</w:t>
      </w:r>
      <w:r w:rsidR="00F60736" w:rsidRPr="00090DA6">
        <w:t>.</w:t>
      </w:r>
      <w:r w:rsidR="00090DA6" w:rsidRPr="00090DA6">
        <w:t>8</w:t>
      </w:r>
      <w:r w:rsidR="00140FEE">
        <w:t>5</w:t>
      </w:r>
      <w:r w:rsidR="00F60736" w:rsidRPr="00090DA6">
        <w:t>% by 20</w:t>
      </w:r>
      <w:r w:rsidR="00090DA6" w:rsidRPr="00090DA6">
        <w:t>2</w:t>
      </w:r>
      <w:r w:rsidR="00140FEE">
        <w:t>2</w:t>
      </w:r>
      <w:r w:rsidR="00F60736" w:rsidRPr="00090DA6">
        <w:t>. They expect growth in Personal Consumption Expendit</w:t>
      </w:r>
      <w:r w:rsidR="00090DA6" w:rsidRPr="00090DA6">
        <w:t>ures (PCE)</w:t>
      </w:r>
      <w:r w:rsidR="005D3CEF">
        <w:rPr>
          <w:rStyle w:val="FootnoteReference"/>
        </w:rPr>
        <w:footnoteReference w:id="21"/>
      </w:r>
      <w:r w:rsidR="00090DA6" w:rsidRPr="00090DA6">
        <w:t xml:space="preserve"> to accelerate </w:t>
      </w:r>
      <w:r w:rsidR="00F60736" w:rsidRPr="00090DA6">
        <w:t>to 2.</w:t>
      </w:r>
      <w:r w:rsidR="00140FEE">
        <w:t>10</w:t>
      </w:r>
      <w:r w:rsidR="00090DA6" w:rsidRPr="00090DA6">
        <w:t xml:space="preserve">% by </w:t>
      </w:r>
      <w:r w:rsidR="00AB6F46">
        <w:t>202</w:t>
      </w:r>
      <w:r w:rsidR="00140FEE">
        <w:t>2</w:t>
      </w:r>
      <w:r w:rsidR="00F60736" w:rsidRPr="00090DA6">
        <w:t>. Their forecast for the unemployment rate</w:t>
      </w:r>
      <w:r w:rsidR="00E72196">
        <w:rPr>
          <w:rStyle w:val="FootnoteReference"/>
        </w:rPr>
        <w:footnoteReference w:id="22"/>
      </w:r>
      <w:r w:rsidR="00F60736" w:rsidRPr="00090DA6">
        <w:t xml:space="preserve"> is a </w:t>
      </w:r>
      <w:r w:rsidR="00E2557A">
        <w:t xml:space="preserve">gradual </w:t>
      </w:r>
      <w:r w:rsidR="00265131">
        <w:t>climb</w:t>
      </w:r>
      <w:r w:rsidR="00F60736" w:rsidRPr="00090DA6">
        <w:t xml:space="preserve"> to </w:t>
      </w:r>
      <w:r w:rsidR="00090DA6" w:rsidRPr="00090DA6">
        <w:t>3</w:t>
      </w:r>
      <w:r w:rsidR="00F60736" w:rsidRPr="00090DA6">
        <w:t>.</w:t>
      </w:r>
      <w:r w:rsidR="00E2557A">
        <w:t>8</w:t>
      </w:r>
      <w:r w:rsidR="00140FEE">
        <w:t>5</w:t>
      </w:r>
      <w:r w:rsidR="00F60736" w:rsidRPr="00090DA6">
        <w:t xml:space="preserve">% </w:t>
      </w:r>
      <w:r w:rsidR="00F11B2B">
        <w:t>by</w:t>
      </w:r>
      <w:r w:rsidR="00F60736" w:rsidRPr="00090DA6">
        <w:t xml:space="preserve"> 20</w:t>
      </w:r>
      <w:r w:rsidR="00090DA6" w:rsidRPr="00090DA6">
        <w:t>2</w:t>
      </w:r>
      <w:r w:rsidR="00140FEE">
        <w:t>2</w:t>
      </w:r>
      <w:r w:rsidR="00F60736" w:rsidRPr="00090DA6">
        <w:t>.</w:t>
      </w:r>
    </w:p>
    <w:p w14:paraId="4D630423" w14:textId="702AE3A9" w:rsidR="00FD0160" w:rsidRDefault="002308A9" w:rsidP="002308A9">
      <w:pPr>
        <w:jc w:val="center"/>
      </w:pPr>
      <w:r w:rsidRPr="002308A9">
        <w:drawing>
          <wp:inline distT="0" distB="0" distL="0" distR="0" wp14:anchorId="2F6A0999" wp14:editId="3BCADA71">
            <wp:extent cx="3762375" cy="1152525"/>
            <wp:effectExtent l="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5A3C9" w14:textId="77777777" w:rsidR="002308A9" w:rsidRDefault="002308A9">
      <w:pPr>
        <w:rPr>
          <w:rFonts w:asciiTheme="majorHAnsi" w:eastAsiaTheme="majorEastAsia" w:hAnsiTheme="majorHAnsi" w:cstheme="majorBidi"/>
          <w:color w:val="008FD5"/>
          <w:sz w:val="36"/>
          <w:szCs w:val="32"/>
        </w:rPr>
      </w:pPr>
      <w:r>
        <w:br w:type="page"/>
      </w:r>
    </w:p>
    <w:p w14:paraId="149D5FB3" w14:textId="386CB697" w:rsidR="00005111" w:rsidRPr="0017465F" w:rsidRDefault="00005111" w:rsidP="001475FF">
      <w:pPr>
        <w:pStyle w:val="Heading1"/>
      </w:pPr>
      <w:r w:rsidRPr="0017465F">
        <w:lastRenderedPageBreak/>
        <w:t>About This Report</w:t>
      </w:r>
    </w:p>
    <w:p w14:paraId="149D5FB4" w14:textId="3496FD82" w:rsidR="002F3682" w:rsidRDefault="00BB34CA" w:rsidP="00005111">
      <w:r w:rsidRPr="0017465F">
        <w:t xml:space="preserve">The </w:t>
      </w:r>
      <w:r w:rsidRPr="0017465F">
        <w:rPr>
          <w:i/>
        </w:rPr>
        <w:t>Quarterly Economic Update</w:t>
      </w:r>
      <w:r w:rsidRPr="0017465F">
        <w:t xml:space="preserve"> is a free publication sponsored by </w:t>
      </w:r>
      <w:proofErr w:type="spellStart"/>
      <w:r w:rsidRPr="0017465F">
        <w:t>TagniFi</w:t>
      </w:r>
      <w:proofErr w:type="spellEnd"/>
      <w:r w:rsidRPr="0017465F">
        <w:t>. You are free to share this report and include its contents in the economic outlook section of your valuation reports</w:t>
      </w:r>
      <w:r w:rsidR="00DF67C7" w:rsidRPr="0017465F">
        <w:t xml:space="preserve"> as required by </w:t>
      </w:r>
      <w:r w:rsidR="00DF67C7" w:rsidRPr="0017465F">
        <w:rPr>
          <w:i/>
        </w:rPr>
        <w:t>Revenue Ruling 59-60</w:t>
      </w:r>
      <w:r w:rsidRPr="0017465F">
        <w:t xml:space="preserve">. Please forward this </w:t>
      </w:r>
      <w:r w:rsidR="00DF67C7" w:rsidRPr="0017465F">
        <w:t xml:space="preserve">free </w:t>
      </w:r>
      <w:r w:rsidRPr="0017465F">
        <w:t>report to a c</w:t>
      </w:r>
      <w:r w:rsidR="00DF67C7" w:rsidRPr="0017465F">
        <w:t xml:space="preserve">olleague to help us spread the word about </w:t>
      </w:r>
      <w:proofErr w:type="spellStart"/>
      <w:r w:rsidR="00DF67C7" w:rsidRPr="0017465F">
        <w:t>TagniFi</w:t>
      </w:r>
      <w:proofErr w:type="spellEnd"/>
      <w:r w:rsidRPr="0017465F">
        <w:t>.</w:t>
      </w:r>
    </w:p>
    <w:p w14:paraId="149D5FB5" w14:textId="77777777" w:rsidR="001475FF" w:rsidRDefault="001475FF" w:rsidP="001475FF">
      <w:pPr>
        <w:pStyle w:val="Heading1"/>
      </w:pPr>
      <w:r>
        <w:t xml:space="preserve">About </w:t>
      </w:r>
      <w:proofErr w:type="spellStart"/>
      <w:r>
        <w:t>TagniFi</w:t>
      </w:r>
      <w:proofErr w:type="spellEnd"/>
    </w:p>
    <w:p w14:paraId="149D5FB6" w14:textId="0808FF1D" w:rsidR="003E5CFB" w:rsidRDefault="003E5CFB" w:rsidP="00230D29">
      <w:proofErr w:type="spellStart"/>
      <w:r w:rsidRPr="0017465F">
        <w:t>TagniFi</w:t>
      </w:r>
      <w:proofErr w:type="spellEnd"/>
      <w:r w:rsidRPr="0017465F">
        <w:t xml:space="preserve"> helps business valuation professionals</w:t>
      </w:r>
      <w:r w:rsidR="00107AB4" w:rsidRPr="0017465F">
        <w:t xml:space="preserve"> automate</w:t>
      </w:r>
      <w:r w:rsidR="009B2A0E" w:rsidRPr="0017465F">
        <w:t xml:space="preserve"> </w:t>
      </w:r>
      <w:r w:rsidR="00D70F48" w:rsidRPr="0017465F">
        <w:t>the</w:t>
      </w:r>
      <w:r w:rsidR="009B2A0E" w:rsidRPr="0017465F">
        <w:t xml:space="preserve"> guideline public company method. </w:t>
      </w:r>
      <w:r w:rsidR="00EA58FE" w:rsidRPr="0017465F">
        <w:t xml:space="preserve">With </w:t>
      </w:r>
      <w:proofErr w:type="spellStart"/>
      <w:r w:rsidR="00EA58FE" w:rsidRPr="0017465F">
        <w:t>TagniFi</w:t>
      </w:r>
      <w:proofErr w:type="spellEnd"/>
      <w:r w:rsidR="00EA58FE" w:rsidRPr="0017465F">
        <w:t xml:space="preserve"> for Excel, simply e</w:t>
      </w:r>
      <w:r w:rsidRPr="0017465F">
        <w:t xml:space="preserve">nter the valuation date and tickers into your Excel model then watch the data populate </w:t>
      </w:r>
      <w:r w:rsidR="00C36857" w:rsidRPr="0017465F">
        <w:t xml:space="preserve">your </w:t>
      </w:r>
      <w:r w:rsidR="00C36857" w:rsidRPr="0017465F">
        <w:rPr>
          <w:rStyle w:val="Hyperlink"/>
          <w:color w:val="auto"/>
          <w:u w:val="none"/>
        </w:rPr>
        <w:t>guideline public company analysis</w:t>
      </w:r>
      <w:r w:rsidR="00C36857" w:rsidRPr="0017465F">
        <w:t xml:space="preserve"> </w:t>
      </w:r>
      <w:r w:rsidR="008860FC" w:rsidRPr="0017465F">
        <w:t>within seconds</w:t>
      </w:r>
      <w:r w:rsidRPr="0017465F">
        <w:t>.</w:t>
      </w:r>
      <w:r w:rsidR="00EA58FE" w:rsidRPr="0017465F">
        <w:t xml:space="preserve"> </w:t>
      </w:r>
      <w:r w:rsidR="009B2A0E" w:rsidRPr="0017465F">
        <w:t xml:space="preserve">All </w:t>
      </w:r>
      <w:proofErr w:type="spellStart"/>
      <w:r w:rsidR="009B2A0E" w:rsidRPr="0017465F">
        <w:t>TagniFi</w:t>
      </w:r>
      <w:proofErr w:type="spellEnd"/>
      <w:r w:rsidR="009B2A0E" w:rsidRPr="0017465F">
        <w:t xml:space="preserve"> data passes through hundreds of quality checks to ensure that you are using the industry’s most accurate data in your </w:t>
      </w:r>
      <w:r w:rsidR="001819E6">
        <w:t xml:space="preserve">valuation </w:t>
      </w:r>
      <w:r w:rsidR="009B2A0E" w:rsidRPr="0017465F">
        <w:t xml:space="preserve">reports. </w:t>
      </w:r>
      <w:r w:rsidR="00C36857" w:rsidRPr="0017465F">
        <w:t xml:space="preserve">For more information on </w:t>
      </w:r>
      <w:proofErr w:type="spellStart"/>
      <w:r w:rsidR="00C36857" w:rsidRPr="0017465F">
        <w:t>TagniFi</w:t>
      </w:r>
      <w:proofErr w:type="spellEnd"/>
      <w:r w:rsidR="00C36857" w:rsidRPr="0017465F">
        <w:t>, please visit</w:t>
      </w:r>
      <w:r w:rsidR="00230D29" w:rsidRPr="0017465F">
        <w:t xml:space="preserve"> </w:t>
      </w:r>
      <w:hyperlink r:id="rId33" w:history="1">
        <w:r w:rsidR="00E602D0" w:rsidRPr="0017465F">
          <w:rPr>
            <w:rStyle w:val="Hyperlink"/>
          </w:rPr>
          <w:t>www.tagnifi.com</w:t>
        </w:r>
      </w:hyperlink>
      <w:r w:rsidRPr="0017465F">
        <w:t>.</w:t>
      </w:r>
    </w:p>
    <w:sectPr w:rsidR="003E5CFB" w:rsidSect="00005111">
      <w:headerReference w:type="default" r:id="rId34"/>
      <w:footerReference w:type="default" r:id="rId35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83302" w14:textId="77777777" w:rsidR="000C6EEB" w:rsidRDefault="000C6EEB" w:rsidP="00171C8E">
      <w:pPr>
        <w:spacing w:after="0" w:line="240" w:lineRule="auto"/>
      </w:pPr>
      <w:r>
        <w:separator/>
      </w:r>
    </w:p>
  </w:endnote>
  <w:endnote w:type="continuationSeparator" w:id="0">
    <w:p w14:paraId="13AC3377" w14:textId="77777777" w:rsidR="000C6EEB" w:rsidRDefault="000C6EEB" w:rsidP="0017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D5FE8" w14:textId="540E2733" w:rsidR="00E171BC" w:rsidRDefault="00E171BC">
    <w:pPr>
      <w:pStyle w:val="Footer"/>
    </w:pPr>
    <w:r>
      <w:t xml:space="preserve">© 2019 </w:t>
    </w:r>
    <w:proofErr w:type="spellStart"/>
    <w:r>
      <w:t>TagniFi</w:t>
    </w:r>
    <w:proofErr w:type="spellEnd"/>
    <w:r>
      <w:t>, LLC. All rights reserved.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47B2E" w14:textId="77777777" w:rsidR="000C6EEB" w:rsidRDefault="000C6EEB" w:rsidP="00171C8E">
      <w:pPr>
        <w:spacing w:after="0" w:line="240" w:lineRule="auto"/>
      </w:pPr>
      <w:r>
        <w:separator/>
      </w:r>
    </w:p>
  </w:footnote>
  <w:footnote w:type="continuationSeparator" w:id="0">
    <w:p w14:paraId="4439C1B2" w14:textId="77777777" w:rsidR="000C6EEB" w:rsidRDefault="000C6EEB" w:rsidP="00171C8E">
      <w:pPr>
        <w:spacing w:after="0" w:line="240" w:lineRule="auto"/>
      </w:pPr>
      <w:r>
        <w:continuationSeparator/>
      </w:r>
    </w:p>
  </w:footnote>
  <w:footnote w:id="1">
    <w:p w14:paraId="34146366" w14:textId="029EF095" w:rsidR="00E171BC" w:rsidRPr="000322F4" w:rsidRDefault="00E171BC">
      <w:pPr>
        <w:pStyle w:val="FootnoteText"/>
        <w:rPr>
          <w:rFonts w:cstheme="minorHAnsi"/>
          <w:sz w:val="16"/>
          <w:szCs w:val="16"/>
          <w:lang w:val="en-PH"/>
        </w:rPr>
      </w:pPr>
      <w:r w:rsidRPr="000322F4">
        <w:rPr>
          <w:rStyle w:val="FootnoteReference"/>
          <w:rFonts w:cstheme="minorHAnsi"/>
          <w:sz w:val="16"/>
          <w:szCs w:val="16"/>
        </w:rPr>
        <w:footnoteRef/>
      </w:r>
      <w:r w:rsidRPr="000322F4">
        <w:rPr>
          <w:rFonts w:cstheme="minorHAnsi"/>
          <w:sz w:val="16"/>
          <w:szCs w:val="16"/>
        </w:rPr>
        <w:t xml:space="preserve"> </w:t>
      </w:r>
      <w:r w:rsidRPr="000322F4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U.S. Energy Information Administration, Crude Oil Prices: West Texas Intermediate (WTI) – Cushing, Oklahoma [MCOILWTICO], retrieved from FRED, Federal Reserve Bank of St. Louis; </w:t>
      </w:r>
      <w:hyperlink r:id="rId1" w:history="1">
        <w:r w:rsidRPr="000322F4">
          <w:rPr>
            <w:rStyle w:val="Hyperlink"/>
            <w:rFonts w:cstheme="minorHAnsi"/>
            <w:i/>
            <w:iCs/>
            <w:sz w:val="16"/>
            <w:szCs w:val="16"/>
            <w:shd w:val="clear" w:color="auto" w:fill="FFFFFF"/>
          </w:rPr>
          <w:t>https://fred.stlouisfed.org/series/MCOILWTICO</w:t>
        </w:r>
      </w:hyperlink>
      <w:r w:rsidRPr="000322F4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 xml:space="preserve">, </w:t>
      </w:r>
      <w:r w:rsidR="006068F7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Nov 2</w:t>
      </w:r>
      <w:r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, 2019</w:t>
      </w:r>
      <w:r w:rsidRPr="000322F4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.</w:t>
      </w:r>
    </w:p>
  </w:footnote>
  <w:footnote w:id="2">
    <w:p w14:paraId="04EBBD96" w14:textId="1BBC6EC8" w:rsidR="00E171BC" w:rsidRPr="000322F4" w:rsidRDefault="00E171BC">
      <w:pPr>
        <w:pStyle w:val="FootnoteText"/>
        <w:rPr>
          <w:sz w:val="16"/>
          <w:szCs w:val="16"/>
          <w:lang w:val="en-PH"/>
        </w:rPr>
      </w:pPr>
      <w:r w:rsidRPr="000322F4">
        <w:rPr>
          <w:rStyle w:val="FootnoteReference"/>
          <w:sz w:val="16"/>
          <w:szCs w:val="16"/>
        </w:rPr>
        <w:footnoteRef/>
      </w:r>
      <w:r w:rsidRPr="000322F4">
        <w:rPr>
          <w:sz w:val="16"/>
          <w:szCs w:val="16"/>
        </w:rPr>
        <w:t xml:space="preserve"> </w:t>
      </w:r>
      <w:r w:rsidRPr="000322F4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Board of Governors of the Federal Reserve System (US), Trade Weighted U.S. Dollar Index: Broad [TWEXB], retrieved from FRED, Federal Reserve Bank of St. Louis; </w:t>
      </w:r>
      <w:hyperlink r:id="rId2" w:history="1">
        <w:r w:rsidRPr="000322F4">
          <w:rPr>
            <w:rStyle w:val="Hyperlink"/>
            <w:rFonts w:cstheme="minorHAnsi"/>
            <w:i/>
            <w:iCs/>
            <w:sz w:val="16"/>
            <w:szCs w:val="16"/>
            <w:shd w:val="clear" w:color="auto" w:fill="FFFFFF"/>
          </w:rPr>
          <w:t>https://fred.stlouisfed.org/series/TWEXB</w:t>
        </w:r>
      </w:hyperlink>
      <w:r w:rsidRPr="000322F4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 xml:space="preserve">, </w:t>
      </w:r>
      <w:r w:rsidR="006068F7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Nov 2</w:t>
      </w:r>
      <w:r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, 2019</w:t>
      </w:r>
      <w:r w:rsidRPr="000322F4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.</w:t>
      </w:r>
    </w:p>
  </w:footnote>
  <w:footnote w:id="3">
    <w:p w14:paraId="517776FA" w14:textId="6BC2D09B" w:rsidR="00E171BC" w:rsidRPr="00BF5CE2" w:rsidRDefault="00E171BC">
      <w:pPr>
        <w:pStyle w:val="FootnoteText"/>
        <w:rPr>
          <w:sz w:val="16"/>
          <w:szCs w:val="16"/>
          <w:lang w:val="en-PH"/>
        </w:rPr>
      </w:pPr>
      <w:r w:rsidRPr="00BF5CE2">
        <w:rPr>
          <w:rStyle w:val="FootnoteReference"/>
          <w:sz w:val="16"/>
          <w:szCs w:val="16"/>
        </w:rPr>
        <w:footnoteRef/>
      </w:r>
      <w:r w:rsidRPr="00BF5CE2">
        <w:rPr>
          <w:sz w:val="16"/>
          <w:szCs w:val="16"/>
        </w:rPr>
        <w:t xml:space="preserve"> </w:t>
      </w:r>
      <w:r w:rsidRPr="00BF5CE2">
        <w:rPr>
          <w:sz w:val="16"/>
          <w:szCs w:val="16"/>
          <w:lang w:val="en-PH"/>
        </w:rPr>
        <w:t>U.S. Bureau of Economic Analysis, Real Gross Domestic Product [GDPC1],</w:t>
      </w:r>
      <w:r w:rsidRPr="00BF5CE2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 xml:space="preserve"> retrieved from FRED, Federal Reserve Bank of St. Louis; </w:t>
      </w:r>
      <w:hyperlink r:id="rId3" w:history="1">
        <w:r w:rsidRPr="00BF5CE2">
          <w:rPr>
            <w:rStyle w:val="Hyperlink"/>
            <w:rFonts w:cstheme="minorHAnsi"/>
            <w:i/>
            <w:iCs/>
            <w:sz w:val="16"/>
            <w:szCs w:val="16"/>
            <w:shd w:val="clear" w:color="auto" w:fill="FFFFFF"/>
          </w:rPr>
          <w:t>https://fred.stlouisfed.org/series/GDPC1</w:t>
        </w:r>
      </w:hyperlink>
      <w:r w:rsidRPr="00BF5CE2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 xml:space="preserve">, </w:t>
      </w:r>
      <w:r w:rsidR="006068F7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Nov 2</w:t>
      </w:r>
      <w:r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, 2019</w:t>
      </w:r>
      <w:r w:rsidRPr="00BF5CE2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.</w:t>
      </w:r>
    </w:p>
  </w:footnote>
  <w:footnote w:id="4">
    <w:p w14:paraId="502F649B" w14:textId="08830654" w:rsidR="00E171BC" w:rsidRPr="006A114D" w:rsidRDefault="00E171BC">
      <w:pPr>
        <w:pStyle w:val="FootnoteText"/>
        <w:rPr>
          <w:lang w:val="en-PH"/>
        </w:rPr>
      </w:pPr>
      <w:r w:rsidRPr="00BF5CE2">
        <w:rPr>
          <w:rStyle w:val="FootnoteReference"/>
          <w:sz w:val="16"/>
          <w:szCs w:val="16"/>
        </w:rPr>
        <w:footnoteRef/>
      </w:r>
      <w:r w:rsidRPr="00BF5CE2">
        <w:rPr>
          <w:sz w:val="16"/>
          <w:szCs w:val="16"/>
        </w:rPr>
        <w:t xml:space="preserve"> </w:t>
      </w:r>
      <w:r w:rsidRPr="00BF5CE2">
        <w:rPr>
          <w:sz w:val="16"/>
          <w:szCs w:val="16"/>
          <w:lang w:val="en-PH"/>
        </w:rPr>
        <w:t>Board of Governors of the Federal Reserve System (US), Industrial Production Index [INDPRO],</w:t>
      </w:r>
      <w:r w:rsidRPr="00BF5CE2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 xml:space="preserve"> retrieved from FRED, Federal Reserve Bank of St. Louis; </w:t>
      </w:r>
      <w:hyperlink r:id="rId4" w:history="1">
        <w:r w:rsidRPr="00BF5CE2">
          <w:rPr>
            <w:rStyle w:val="Hyperlink"/>
            <w:rFonts w:cstheme="minorHAnsi"/>
            <w:i/>
            <w:iCs/>
            <w:sz w:val="16"/>
            <w:szCs w:val="16"/>
            <w:shd w:val="clear" w:color="auto" w:fill="FFFFFF"/>
          </w:rPr>
          <w:t>https://fred.stlouisfed.org/series/INDPRO</w:t>
        </w:r>
      </w:hyperlink>
      <w:r w:rsidRPr="00BF5CE2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 xml:space="preserve">, </w:t>
      </w:r>
      <w:r w:rsidR="006068F7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Nov 2</w:t>
      </w:r>
      <w:r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, 2019</w:t>
      </w:r>
      <w:r w:rsidRPr="00BF5CE2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.</w:t>
      </w:r>
    </w:p>
  </w:footnote>
  <w:footnote w:id="5">
    <w:p w14:paraId="7E280A3C" w14:textId="446D54F9" w:rsidR="00E171BC" w:rsidRPr="00BF5CE2" w:rsidRDefault="00E171BC">
      <w:pPr>
        <w:pStyle w:val="FootnoteText"/>
        <w:rPr>
          <w:sz w:val="16"/>
          <w:szCs w:val="16"/>
          <w:lang w:val="en-PH"/>
        </w:rPr>
      </w:pPr>
      <w:r w:rsidRPr="00BF5CE2">
        <w:rPr>
          <w:rStyle w:val="FootnoteReference"/>
          <w:sz w:val="16"/>
          <w:szCs w:val="16"/>
        </w:rPr>
        <w:footnoteRef/>
      </w:r>
      <w:r w:rsidRPr="00BF5CE2">
        <w:rPr>
          <w:sz w:val="16"/>
          <w:szCs w:val="16"/>
        </w:rPr>
        <w:t xml:space="preserve"> </w:t>
      </w:r>
      <w:r w:rsidRPr="00BF5CE2">
        <w:rPr>
          <w:sz w:val="16"/>
          <w:szCs w:val="16"/>
          <w:lang w:val="en-PH"/>
        </w:rPr>
        <w:t xml:space="preserve">Board of Governors of the Federal Reserve System (US), 1-Year </w:t>
      </w:r>
      <w:r>
        <w:rPr>
          <w:sz w:val="16"/>
          <w:szCs w:val="16"/>
          <w:lang w:val="en-PH"/>
        </w:rPr>
        <w:t xml:space="preserve">to 10-Year </w:t>
      </w:r>
      <w:r w:rsidRPr="00BF5CE2">
        <w:rPr>
          <w:sz w:val="16"/>
          <w:szCs w:val="16"/>
          <w:lang w:val="en-PH"/>
        </w:rPr>
        <w:t>Treasury Constant Maturity Rate [IDGS1</w:t>
      </w:r>
      <w:r>
        <w:rPr>
          <w:sz w:val="16"/>
          <w:szCs w:val="16"/>
          <w:lang w:val="en-PH"/>
        </w:rPr>
        <w:t xml:space="preserve"> – IDGS30</w:t>
      </w:r>
      <w:r w:rsidRPr="00BF5CE2">
        <w:rPr>
          <w:sz w:val="16"/>
          <w:szCs w:val="16"/>
          <w:lang w:val="en-PH"/>
        </w:rPr>
        <w:t>],</w:t>
      </w:r>
      <w:r w:rsidRPr="00BF5CE2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 xml:space="preserve"> retrieved from FRED, Federal Reserve Bank of St. Louis; </w:t>
      </w:r>
      <w:hyperlink r:id="rId5" w:history="1">
        <w:r w:rsidRPr="00BF5CE2">
          <w:rPr>
            <w:rStyle w:val="Hyperlink"/>
            <w:rFonts w:cstheme="minorHAnsi"/>
            <w:i/>
            <w:iCs/>
            <w:sz w:val="16"/>
            <w:szCs w:val="16"/>
            <w:shd w:val="clear" w:color="auto" w:fill="FFFFFF"/>
          </w:rPr>
          <w:t>https://fred.stlouisfed.org</w:t>
        </w:r>
      </w:hyperlink>
      <w:r w:rsidRPr="00BF5CE2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 xml:space="preserve">, </w:t>
      </w:r>
      <w:r w:rsidR="006068F7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Nov 2</w:t>
      </w:r>
      <w:r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, 2019</w:t>
      </w:r>
      <w:r w:rsidRPr="00BF5CE2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.</w:t>
      </w:r>
    </w:p>
  </w:footnote>
  <w:footnote w:id="6">
    <w:p w14:paraId="35FA6FE7" w14:textId="532B3F9F" w:rsidR="00E171BC" w:rsidRPr="00BF5CE2" w:rsidRDefault="00E171BC">
      <w:pPr>
        <w:pStyle w:val="FootnoteText"/>
        <w:rPr>
          <w:sz w:val="16"/>
          <w:szCs w:val="16"/>
          <w:lang w:val="en-PH"/>
        </w:rPr>
      </w:pPr>
      <w:r w:rsidRPr="00BF5CE2">
        <w:rPr>
          <w:rStyle w:val="FootnoteReference"/>
          <w:sz w:val="16"/>
          <w:szCs w:val="16"/>
        </w:rPr>
        <w:footnoteRef/>
      </w:r>
      <w:r w:rsidRPr="00BF5CE2">
        <w:rPr>
          <w:sz w:val="16"/>
          <w:szCs w:val="16"/>
        </w:rPr>
        <w:t xml:space="preserve"> </w:t>
      </w:r>
      <w:r w:rsidRPr="00BF5CE2">
        <w:rPr>
          <w:sz w:val="16"/>
          <w:szCs w:val="16"/>
          <w:lang w:val="en-PH"/>
        </w:rPr>
        <w:t>Board of Governors of the Federal Reserve System (US), Effective Federal Funds Rate [FEDFUNDS],</w:t>
      </w:r>
      <w:r w:rsidRPr="00BF5CE2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 xml:space="preserve"> retrieved from FRED, Federal Reserve Bank of St. Louis; </w:t>
      </w:r>
      <w:hyperlink r:id="rId6" w:history="1">
        <w:r w:rsidRPr="00BF5CE2">
          <w:rPr>
            <w:rStyle w:val="Hyperlink"/>
            <w:rFonts w:cstheme="minorHAnsi"/>
            <w:i/>
            <w:iCs/>
            <w:sz w:val="16"/>
            <w:szCs w:val="16"/>
            <w:shd w:val="clear" w:color="auto" w:fill="FFFFFF"/>
          </w:rPr>
          <w:t>https://fred.stlouisfed.org/series/FEDFUNDS</w:t>
        </w:r>
      </w:hyperlink>
      <w:r w:rsidRPr="00BF5CE2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 xml:space="preserve">, </w:t>
      </w:r>
      <w:r w:rsidR="006068F7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Nov 2</w:t>
      </w:r>
      <w:r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, 2019</w:t>
      </w:r>
      <w:r w:rsidRPr="00BF5CE2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.</w:t>
      </w:r>
    </w:p>
  </w:footnote>
  <w:footnote w:id="7">
    <w:p w14:paraId="5D92A033" w14:textId="68107BD4" w:rsidR="00E171BC" w:rsidRPr="004759DB" w:rsidRDefault="00E171BC">
      <w:pPr>
        <w:pStyle w:val="FootnoteText"/>
        <w:rPr>
          <w:lang w:val="en-PH"/>
        </w:rPr>
      </w:pPr>
      <w:r w:rsidRPr="00BF5CE2">
        <w:rPr>
          <w:rStyle w:val="FootnoteReference"/>
          <w:sz w:val="16"/>
          <w:szCs w:val="16"/>
        </w:rPr>
        <w:footnoteRef/>
      </w:r>
      <w:r w:rsidRPr="00BF5CE2">
        <w:rPr>
          <w:sz w:val="16"/>
          <w:szCs w:val="16"/>
        </w:rPr>
        <w:t xml:space="preserve"> </w:t>
      </w:r>
      <w:r w:rsidRPr="00BF5CE2">
        <w:rPr>
          <w:sz w:val="16"/>
          <w:szCs w:val="16"/>
          <w:lang w:val="en-PH"/>
        </w:rPr>
        <w:t>Board of Governors of the Federal Reserve System (US), 10-Year Treasury Constant Maturity Rate [DGS10],</w:t>
      </w:r>
      <w:r w:rsidRPr="00BF5CE2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 xml:space="preserve"> retrieved from FRED, Federal Reserve Bank of St. Louis; </w:t>
      </w:r>
      <w:hyperlink r:id="rId7" w:history="1">
        <w:r w:rsidRPr="00BF5CE2">
          <w:rPr>
            <w:rStyle w:val="Hyperlink"/>
            <w:rFonts w:cstheme="minorHAnsi"/>
            <w:i/>
            <w:iCs/>
            <w:sz w:val="16"/>
            <w:szCs w:val="16"/>
            <w:shd w:val="clear" w:color="auto" w:fill="FFFFFF"/>
          </w:rPr>
          <w:t>https://fred.stlouisfed.org/series/DGS10</w:t>
        </w:r>
      </w:hyperlink>
      <w:r w:rsidRPr="00BF5CE2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 xml:space="preserve">, </w:t>
      </w:r>
      <w:r w:rsidR="006068F7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Nov 2</w:t>
      </w:r>
      <w:r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, 2019</w:t>
      </w:r>
      <w:r w:rsidRPr="00BF5CE2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.</w:t>
      </w:r>
    </w:p>
  </w:footnote>
  <w:footnote w:id="8">
    <w:p w14:paraId="29E4EDD1" w14:textId="22E03E96" w:rsidR="00E171BC" w:rsidRPr="00BF5CE2" w:rsidRDefault="00E171BC">
      <w:pPr>
        <w:pStyle w:val="FootnoteText"/>
        <w:rPr>
          <w:sz w:val="16"/>
          <w:szCs w:val="16"/>
          <w:lang w:val="en-PH"/>
        </w:rPr>
      </w:pPr>
      <w:r w:rsidRPr="00BF5CE2">
        <w:rPr>
          <w:rStyle w:val="FootnoteReference"/>
          <w:sz w:val="16"/>
          <w:szCs w:val="16"/>
        </w:rPr>
        <w:footnoteRef/>
      </w:r>
      <w:r w:rsidRPr="00BF5CE2">
        <w:rPr>
          <w:sz w:val="16"/>
          <w:szCs w:val="16"/>
        </w:rPr>
        <w:t xml:space="preserve"> </w:t>
      </w:r>
      <w:r w:rsidRPr="00BF5CE2">
        <w:rPr>
          <w:sz w:val="16"/>
          <w:szCs w:val="16"/>
          <w:lang w:val="en-PH"/>
        </w:rPr>
        <w:t>Moody’s, Moody’s Seasoned Baa Corporate Bond Yield [BAAS],</w:t>
      </w:r>
      <w:r w:rsidRPr="00BF5CE2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 xml:space="preserve"> retrieved from FRED, Federal Reserve Bank of St. Louis; </w:t>
      </w:r>
      <w:hyperlink r:id="rId8" w:history="1">
        <w:r w:rsidRPr="00BF5CE2">
          <w:rPr>
            <w:rStyle w:val="Hyperlink"/>
            <w:rFonts w:cstheme="minorHAnsi"/>
            <w:i/>
            <w:iCs/>
            <w:sz w:val="16"/>
            <w:szCs w:val="16"/>
            <w:shd w:val="clear" w:color="auto" w:fill="FFFFFF"/>
          </w:rPr>
          <w:t>https://fred.stlouisfed.org/series/BAA</w:t>
        </w:r>
      </w:hyperlink>
      <w:r w:rsidRPr="00BF5CE2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 xml:space="preserve">, </w:t>
      </w:r>
      <w:r w:rsidR="006068F7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Nov 2</w:t>
      </w:r>
      <w:r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, 2019</w:t>
      </w:r>
      <w:r w:rsidRPr="00BF5CE2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.</w:t>
      </w:r>
    </w:p>
  </w:footnote>
  <w:footnote w:id="9">
    <w:p w14:paraId="4C9DB6C9" w14:textId="7F734849" w:rsidR="00E171BC" w:rsidRPr="0052077C" w:rsidRDefault="00E171BC">
      <w:pPr>
        <w:pStyle w:val="FootnoteText"/>
        <w:rPr>
          <w:lang w:val="en-PH"/>
        </w:rPr>
      </w:pPr>
      <w:r w:rsidRPr="00BF5CE2">
        <w:rPr>
          <w:rStyle w:val="FootnoteReference"/>
          <w:sz w:val="16"/>
          <w:szCs w:val="16"/>
        </w:rPr>
        <w:footnoteRef/>
      </w:r>
      <w:r w:rsidRPr="00BF5CE2">
        <w:rPr>
          <w:sz w:val="16"/>
          <w:szCs w:val="16"/>
        </w:rPr>
        <w:t xml:space="preserve"> </w:t>
      </w:r>
      <w:r w:rsidRPr="00BF5CE2">
        <w:rPr>
          <w:sz w:val="16"/>
          <w:szCs w:val="16"/>
          <w:lang w:val="en-PH"/>
        </w:rPr>
        <w:t>U.S. Bureau of Labor Statistics, All Employees: Total Nonfarm Payrolls [PAYEMS],</w:t>
      </w:r>
      <w:r w:rsidRPr="00BF5CE2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 xml:space="preserve"> retrieved from FRED, Federal Reserve Bank of St. Louis; </w:t>
      </w:r>
      <w:hyperlink r:id="rId9" w:history="1">
        <w:r w:rsidRPr="00BF5CE2">
          <w:rPr>
            <w:rStyle w:val="Hyperlink"/>
            <w:rFonts w:cstheme="minorHAnsi"/>
            <w:i/>
            <w:iCs/>
            <w:sz w:val="16"/>
            <w:szCs w:val="16"/>
            <w:shd w:val="clear" w:color="auto" w:fill="FFFFFF"/>
          </w:rPr>
          <w:t>https://fred.stlouisfed.org/series/PAYEMS</w:t>
        </w:r>
      </w:hyperlink>
      <w:r w:rsidRPr="00BF5CE2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 xml:space="preserve">, </w:t>
      </w:r>
      <w:r w:rsidR="006068F7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Nov 2</w:t>
      </w:r>
      <w:r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, 2019</w:t>
      </w:r>
      <w:r w:rsidRPr="00BF5CE2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.</w:t>
      </w:r>
    </w:p>
  </w:footnote>
  <w:footnote w:id="10">
    <w:p w14:paraId="7DEAA574" w14:textId="63877739" w:rsidR="00E171BC" w:rsidRPr="00BF5CE2" w:rsidRDefault="00E171BC">
      <w:pPr>
        <w:pStyle w:val="FootnoteText"/>
        <w:rPr>
          <w:sz w:val="16"/>
          <w:szCs w:val="16"/>
          <w:lang w:val="en-PH"/>
        </w:rPr>
      </w:pPr>
      <w:r w:rsidRPr="00BF5CE2">
        <w:rPr>
          <w:rStyle w:val="FootnoteReference"/>
          <w:sz w:val="16"/>
          <w:szCs w:val="16"/>
        </w:rPr>
        <w:footnoteRef/>
      </w:r>
      <w:r w:rsidRPr="00BF5CE2">
        <w:rPr>
          <w:sz w:val="16"/>
          <w:szCs w:val="16"/>
        </w:rPr>
        <w:t xml:space="preserve"> </w:t>
      </w:r>
      <w:r w:rsidRPr="00BF5CE2">
        <w:rPr>
          <w:sz w:val="16"/>
          <w:szCs w:val="16"/>
          <w:lang w:val="en-PH"/>
        </w:rPr>
        <w:t>U.S. Bureau of Labor Statistics, Civilian Unemployment Rate [UNRATE],</w:t>
      </w:r>
      <w:r w:rsidRPr="00BF5CE2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 xml:space="preserve"> retrieved from FRED, Federal Reserve Bank of St. Louis; </w:t>
      </w:r>
      <w:hyperlink r:id="rId10" w:history="1">
        <w:r w:rsidRPr="00BF5CE2">
          <w:rPr>
            <w:rStyle w:val="Hyperlink"/>
            <w:rFonts w:cstheme="minorHAnsi"/>
            <w:i/>
            <w:iCs/>
            <w:sz w:val="16"/>
            <w:szCs w:val="16"/>
            <w:shd w:val="clear" w:color="auto" w:fill="FFFFFF"/>
          </w:rPr>
          <w:t>https://fred.stlouisfed.org/series/UNRATE</w:t>
        </w:r>
      </w:hyperlink>
      <w:r w:rsidRPr="00BF5CE2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 xml:space="preserve">, </w:t>
      </w:r>
      <w:r w:rsidR="006068F7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Nov 2</w:t>
      </w:r>
      <w:r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, 2019</w:t>
      </w:r>
      <w:r w:rsidRPr="00BF5CE2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.</w:t>
      </w:r>
    </w:p>
  </w:footnote>
  <w:footnote w:id="11">
    <w:p w14:paraId="4135366E" w14:textId="78FC42B2" w:rsidR="00E171BC" w:rsidRPr="00BF5CE2" w:rsidRDefault="00E171BC">
      <w:pPr>
        <w:pStyle w:val="FootnoteText"/>
        <w:rPr>
          <w:sz w:val="16"/>
          <w:szCs w:val="16"/>
          <w:lang w:val="en-PH"/>
        </w:rPr>
      </w:pPr>
      <w:r w:rsidRPr="00BF5CE2">
        <w:rPr>
          <w:rStyle w:val="FootnoteReference"/>
          <w:sz w:val="16"/>
          <w:szCs w:val="16"/>
        </w:rPr>
        <w:footnoteRef/>
      </w:r>
      <w:r w:rsidRPr="00BF5CE2">
        <w:rPr>
          <w:sz w:val="16"/>
          <w:szCs w:val="16"/>
        </w:rPr>
        <w:t xml:space="preserve"> </w:t>
      </w:r>
      <w:r w:rsidRPr="00BF5CE2">
        <w:rPr>
          <w:sz w:val="16"/>
          <w:szCs w:val="16"/>
          <w:lang w:val="en-PH"/>
        </w:rPr>
        <w:t>U.S. Bureau of Labor Statistics, Consumer Price Index for All Urban Consumers: All Items [CPIAUCSL],</w:t>
      </w:r>
      <w:r w:rsidRPr="00BF5CE2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 xml:space="preserve"> retrieved from FRED, Federal Reserve Bank of St. Louis; </w:t>
      </w:r>
      <w:hyperlink r:id="rId11" w:history="1">
        <w:r w:rsidRPr="00BF5CE2">
          <w:rPr>
            <w:rStyle w:val="Hyperlink"/>
            <w:rFonts w:cstheme="minorHAnsi"/>
            <w:i/>
            <w:iCs/>
            <w:sz w:val="16"/>
            <w:szCs w:val="16"/>
            <w:shd w:val="clear" w:color="auto" w:fill="FFFFFF"/>
          </w:rPr>
          <w:t>https://fred.stlouisfed.org/series/CPIAUCSL</w:t>
        </w:r>
      </w:hyperlink>
      <w:r w:rsidRPr="00BF5CE2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 xml:space="preserve">, </w:t>
      </w:r>
      <w:r w:rsidR="006068F7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Nov 2</w:t>
      </w:r>
      <w:r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, 2019</w:t>
      </w:r>
      <w:r w:rsidRPr="00BF5CE2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.</w:t>
      </w:r>
    </w:p>
  </w:footnote>
  <w:footnote w:id="12">
    <w:p w14:paraId="2CF101DC" w14:textId="765BAFC6" w:rsidR="00E171BC" w:rsidRPr="00CB1375" w:rsidRDefault="00E171BC">
      <w:pPr>
        <w:pStyle w:val="FootnoteText"/>
        <w:rPr>
          <w:lang w:val="en-PH"/>
        </w:rPr>
      </w:pPr>
      <w:r w:rsidRPr="00BF5CE2">
        <w:rPr>
          <w:rStyle w:val="FootnoteReference"/>
          <w:sz w:val="16"/>
          <w:szCs w:val="16"/>
        </w:rPr>
        <w:footnoteRef/>
      </w:r>
      <w:r w:rsidRPr="00BF5CE2">
        <w:rPr>
          <w:sz w:val="16"/>
          <w:szCs w:val="16"/>
        </w:rPr>
        <w:t xml:space="preserve"> </w:t>
      </w:r>
      <w:r w:rsidRPr="00BF5CE2">
        <w:rPr>
          <w:sz w:val="16"/>
          <w:szCs w:val="16"/>
          <w:lang w:val="en-PH"/>
        </w:rPr>
        <w:t>U.S. Bureau of Labor Statistics, Producer Price Index for All Commodities [PPIACO],</w:t>
      </w:r>
      <w:r w:rsidRPr="00BF5CE2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 xml:space="preserve"> retrieved from FRED, Federal Reserve Bank of St. Louis; </w:t>
      </w:r>
      <w:hyperlink r:id="rId12" w:history="1">
        <w:r w:rsidRPr="00BF5CE2">
          <w:rPr>
            <w:rStyle w:val="Hyperlink"/>
            <w:rFonts w:cstheme="minorHAnsi"/>
            <w:i/>
            <w:iCs/>
            <w:sz w:val="16"/>
            <w:szCs w:val="16"/>
            <w:shd w:val="clear" w:color="auto" w:fill="FFFFFF"/>
          </w:rPr>
          <w:t>https://fred.stlouisfed.org/series/PPIACO</w:t>
        </w:r>
      </w:hyperlink>
      <w:r w:rsidRPr="00BF5CE2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 xml:space="preserve">, </w:t>
      </w:r>
      <w:r w:rsidR="006068F7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Nov 2</w:t>
      </w:r>
      <w:r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, 2019</w:t>
      </w:r>
      <w:r w:rsidRPr="00BF5CE2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.</w:t>
      </w:r>
    </w:p>
  </w:footnote>
  <w:footnote w:id="13">
    <w:p w14:paraId="11221A52" w14:textId="08DC3F04" w:rsidR="00E171BC" w:rsidRPr="00BF5CE2" w:rsidRDefault="00E171BC">
      <w:pPr>
        <w:pStyle w:val="FootnoteText"/>
        <w:rPr>
          <w:sz w:val="16"/>
          <w:szCs w:val="16"/>
          <w:lang w:val="en-PH"/>
        </w:rPr>
      </w:pPr>
      <w:r w:rsidRPr="00BF5CE2">
        <w:rPr>
          <w:rStyle w:val="FootnoteReference"/>
          <w:sz w:val="16"/>
          <w:szCs w:val="16"/>
        </w:rPr>
        <w:footnoteRef/>
      </w:r>
      <w:r w:rsidRPr="00BF5CE2">
        <w:rPr>
          <w:sz w:val="16"/>
          <w:szCs w:val="16"/>
        </w:rPr>
        <w:t xml:space="preserve"> </w:t>
      </w:r>
      <w:r w:rsidRPr="00BF5CE2">
        <w:rPr>
          <w:sz w:val="16"/>
          <w:szCs w:val="16"/>
          <w:lang w:val="en-PH"/>
        </w:rPr>
        <w:t>U.S. Bureau of the Census, Housing Starts: Total: New Privately Owned Housing Units Started [HOUST],</w:t>
      </w:r>
      <w:r w:rsidRPr="00BF5CE2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 xml:space="preserve"> retrieved from FRED, Federal Reserve Bank of St. Louis; </w:t>
      </w:r>
      <w:hyperlink r:id="rId13" w:history="1">
        <w:r w:rsidRPr="00BF5CE2">
          <w:rPr>
            <w:rStyle w:val="Hyperlink"/>
            <w:rFonts w:cstheme="minorHAnsi"/>
            <w:i/>
            <w:iCs/>
            <w:sz w:val="16"/>
            <w:szCs w:val="16"/>
            <w:shd w:val="clear" w:color="auto" w:fill="FFFFFF"/>
          </w:rPr>
          <w:t>https://fred.stlouisfed.org/series/HOUST</w:t>
        </w:r>
      </w:hyperlink>
      <w:r w:rsidRPr="00BF5CE2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 xml:space="preserve">, </w:t>
      </w:r>
      <w:r w:rsidR="006068F7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Nov 2</w:t>
      </w:r>
      <w:r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, 2019</w:t>
      </w:r>
      <w:r w:rsidRPr="00BF5CE2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.</w:t>
      </w:r>
    </w:p>
  </w:footnote>
  <w:footnote w:id="14">
    <w:p w14:paraId="6A794CBD" w14:textId="7BF40125" w:rsidR="00E171BC" w:rsidRPr="00250313" w:rsidRDefault="00E171BC">
      <w:pPr>
        <w:pStyle w:val="FootnoteText"/>
        <w:rPr>
          <w:lang w:val="en-PH"/>
        </w:rPr>
      </w:pPr>
      <w:r w:rsidRPr="00BF5CE2">
        <w:rPr>
          <w:rStyle w:val="FootnoteReference"/>
          <w:sz w:val="16"/>
          <w:szCs w:val="16"/>
        </w:rPr>
        <w:footnoteRef/>
      </w:r>
      <w:r w:rsidRPr="00BF5CE2">
        <w:rPr>
          <w:sz w:val="16"/>
          <w:szCs w:val="16"/>
        </w:rPr>
        <w:t xml:space="preserve"> </w:t>
      </w:r>
      <w:r w:rsidRPr="00BF5CE2">
        <w:rPr>
          <w:sz w:val="16"/>
          <w:szCs w:val="16"/>
          <w:lang w:val="en-PH"/>
        </w:rPr>
        <w:t>Freddie Mac, 30-Year Fixed Rate Mortgage Average in the United States [MORTGAGE30US],</w:t>
      </w:r>
      <w:r w:rsidRPr="00BF5CE2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 xml:space="preserve"> retrieved from FRED, Federal Reserve Bank of St. Louis; </w:t>
      </w:r>
      <w:hyperlink r:id="rId14" w:history="1">
        <w:r w:rsidRPr="00BF5CE2">
          <w:rPr>
            <w:rStyle w:val="Hyperlink"/>
            <w:rFonts w:cstheme="minorHAnsi"/>
            <w:i/>
            <w:iCs/>
            <w:sz w:val="16"/>
            <w:szCs w:val="16"/>
            <w:shd w:val="clear" w:color="auto" w:fill="FFFFFF"/>
          </w:rPr>
          <w:t>https://fred.stlouisfed.org/series/MORTGAGE30US</w:t>
        </w:r>
      </w:hyperlink>
      <w:r w:rsidRPr="00BF5CE2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 xml:space="preserve">, </w:t>
      </w:r>
      <w:r w:rsidR="006068F7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Nov 2</w:t>
      </w:r>
      <w:r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, 2019</w:t>
      </w:r>
      <w:r w:rsidRPr="00BF5CE2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.</w:t>
      </w:r>
    </w:p>
  </w:footnote>
  <w:footnote w:id="15">
    <w:p w14:paraId="48E5411D" w14:textId="71F05DC3" w:rsidR="00E171BC" w:rsidRPr="00BF5CE2" w:rsidRDefault="00E171BC">
      <w:pPr>
        <w:pStyle w:val="FootnoteText"/>
        <w:rPr>
          <w:sz w:val="16"/>
          <w:szCs w:val="16"/>
          <w:lang w:val="en-PH"/>
        </w:rPr>
      </w:pPr>
      <w:r w:rsidRPr="00BF5CE2">
        <w:rPr>
          <w:rStyle w:val="FootnoteReference"/>
          <w:sz w:val="16"/>
          <w:szCs w:val="16"/>
        </w:rPr>
        <w:footnoteRef/>
      </w:r>
      <w:r w:rsidRPr="00BF5CE2">
        <w:rPr>
          <w:sz w:val="16"/>
          <w:szCs w:val="16"/>
        </w:rPr>
        <w:t xml:space="preserve"> </w:t>
      </w:r>
      <w:r w:rsidRPr="00BF5CE2">
        <w:rPr>
          <w:sz w:val="16"/>
          <w:szCs w:val="16"/>
          <w:lang w:val="en-PH"/>
        </w:rPr>
        <w:t>S&amp;P Down Jones Indices LLC, S&amp;P/Case-Shiller 20-City Composite Home Price Index [SPCS20RSA],</w:t>
      </w:r>
      <w:r w:rsidRPr="00BF5CE2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 xml:space="preserve"> retrieved from FRED, Federal Reserve Bank of St. Louis; </w:t>
      </w:r>
      <w:hyperlink r:id="rId15" w:history="1">
        <w:r w:rsidRPr="00BF5CE2">
          <w:rPr>
            <w:rStyle w:val="Hyperlink"/>
            <w:rFonts w:cstheme="minorHAnsi"/>
            <w:i/>
            <w:iCs/>
            <w:sz w:val="16"/>
            <w:szCs w:val="16"/>
            <w:shd w:val="clear" w:color="auto" w:fill="FFFFFF"/>
          </w:rPr>
          <w:t>https://fred.stlouisfed.org/series/SPCS20RSA</w:t>
        </w:r>
      </w:hyperlink>
      <w:r w:rsidRPr="00BF5CE2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 xml:space="preserve">, </w:t>
      </w:r>
      <w:r w:rsidR="006068F7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Nov 2</w:t>
      </w:r>
      <w:r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, 2019</w:t>
      </w:r>
      <w:r w:rsidRPr="00BF5CE2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.</w:t>
      </w:r>
    </w:p>
  </w:footnote>
  <w:footnote w:id="16">
    <w:p w14:paraId="3C84FE4A" w14:textId="23D4A614" w:rsidR="00E171BC" w:rsidRPr="00BF5CE2" w:rsidRDefault="00E171BC">
      <w:pPr>
        <w:pStyle w:val="FootnoteText"/>
        <w:rPr>
          <w:sz w:val="16"/>
          <w:szCs w:val="16"/>
          <w:lang w:val="en-PH"/>
        </w:rPr>
      </w:pPr>
      <w:r w:rsidRPr="00BF5CE2">
        <w:rPr>
          <w:rStyle w:val="FootnoteReference"/>
          <w:sz w:val="16"/>
          <w:szCs w:val="16"/>
        </w:rPr>
        <w:footnoteRef/>
      </w:r>
      <w:r w:rsidRPr="00BF5CE2">
        <w:rPr>
          <w:sz w:val="16"/>
          <w:szCs w:val="16"/>
          <w:lang w:val="en-PH"/>
        </w:rPr>
        <w:t xml:space="preserve"> U.S. Bureau of Economic Analysis, Personal Consumption Expenditures [PCE],</w:t>
      </w:r>
      <w:r w:rsidRPr="00BF5CE2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 xml:space="preserve"> retrieved from FRED, Federal Reserve Bank of St. Louis; </w:t>
      </w:r>
      <w:hyperlink r:id="rId16" w:history="1">
        <w:r w:rsidRPr="00BF5CE2">
          <w:rPr>
            <w:rStyle w:val="Hyperlink"/>
            <w:rFonts w:cstheme="minorHAnsi"/>
            <w:i/>
            <w:iCs/>
            <w:sz w:val="16"/>
            <w:szCs w:val="16"/>
            <w:shd w:val="clear" w:color="auto" w:fill="FFFFFF"/>
          </w:rPr>
          <w:t>https://fred.stlouisfed.org/series/PCE</w:t>
        </w:r>
      </w:hyperlink>
      <w:r w:rsidRPr="00BF5CE2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 xml:space="preserve">, </w:t>
      </w:r>
      <w:r w:rsidR="006068F7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Nov 2</w:t>
      </w:r>
      <w:r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, 2019</w:t>
      </w:r>
      <w:r w:rsidRPr="00BF5CE2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.</w:t>
      </w:r>
    </w:p>
  </w:footnote>
  <w:footnote w:id="17">
    <w:p w14:paraId="08E11874" w14:textId="0A1AAF18" w:rsidR="00E171BC" w:rsidRPr="00933E80" w:rsidRDefault="00E171BC">
      <w:pPr>
        <w:pStyle w:val="FootnoteText"/>
        <w:rPr>
          <w:lang w:val="en-PH"/>
        </w:rPr>
      </w:pPr>
      <w:r w:rsidRPr="00BF5CE2">
        <w:rPr>
          <w:rStyle w:val="FootnoteReference"/>
          <w:sz w:val="16"/>
          <w:szCs w:val="16"/>
        </w:rPr>
        <w:footnoteRef/>
      </w:r>
      <w:r w:rsidRPr="00BF5CE2">
        <w:rPr>
          <w:sz w:val="16"/>
          <w:szCs w:val="16"/>
        </w:rPr>
        <w:t xml:space="preserve"> </w:t>
      </w:r>
      <w:r w:rsidRPr="00BF5CE2">
        <w:rPr>
          <w:sz w:val="16"/>
          <w:szCs w:val="16"/>
          <w:lang w:val="en-PH"/>
        </w:rPr>
        <w:t>U.S. Bureau of Economic Analysis, Light Weight Vehicle Sales: Autos and Light Trucks [ALTSALES],</w:t>
      </w:r>
      <w:r w:rsidRPr="00BF5CE2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 xml:space="preserve"> retrieved from FRED, Federal Reserve Bank of St. Louis; </w:t>
      </w:r>
      <w:hyperlink r:id="rId17" w:history="1">
        <w:r w:rsidRPr="00BF5CE2">
          <w:rPr>
            <w:rStyle w:val="Hyperlink"/>
            <w:rFonts w:cstheme="minorHAnsi"/>
            <w:i/>
            <w:iCs/>
            <w:sz w:val="16"/>
            <w:szCs w:val="16"/>
            <w:shd w:val="clear" w:color="auto" w:fill="FFFFFF"/>
          </w:rPr>
          <w:t>https://fred.stlouisfed.org/series/ALTSALES</w:t>
        </w:r>
      </w:hyperlink>
      <w:r w:rsidRPr="00BF5CE2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 xml:space="preserve">, </w:t>
      </w:r>
      <w:r w:rsidR="006068F7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Nov 2</w:t>
      </w:r>
      <w:r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, 2019</w:t>
      </w:r>
      <w:r w:rsidRPr="00BF5CE2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.</w:t>
      </w:r>
    </w:p>
  </w:footnote>
  <w:footnote w:id="18">
    <w:p w14:paraId="01357EF0" w14:textId="5B60DFDD" w:rsidR="00291FFB" w:rsidRPr="00291FFB" w:rsidRDefault="00291FFB" w:rsidP="00291FFB">
      <w:pPr>
        <w:pStyle w:val="FootnoteText"/>
        <w:rPr>
          <w:sz w:val="16"/>
          <w:szCs w:val="16"/>
          <w:lang w:val="en-PH"/>
        </w:rPr>
      </w:pPr>
      <w:r w:rsidRPr="00291FFB">
        <w:rPr>
          <w:sz w:val="16"/>
          <w:szCs w:val="16"/>
          <w:lang w:val="en-PH"/>
        </w:rPr>
        <w:footnoteRef/>
      </w:r>
      <w:r w:rsidRPr="00291FFB">
        <w:rPr>
          <w:sz w:val="16"/>
          <w:szCs w:val="16"/>
          <w:lang w:val="en-PH"/>
        </w:rPr>
        <w:t xml:space="preserve"> University of Michigan, University of Michigan: Consumer Sentiment [UMCSENT], retrieved from FRED, Federal Reserve Bank of St. Louis; </w:t>
      </w:r>
      <w:hyperlink r:id="rId18" w:history="1">
        <w:r w:rsidR="008A581A" w:rsidRPr="0077461D">
          <w:rPr>
            <w:rStyle w:val="Hyperlink"/>
            <w:sz w:val="16"/>
            <w:szCs w:val="16"/>
            <w:lang w:val="en-PH"/>
          </w:rPr>
          <w:t>https://fred.stlouisfed.org/series/UMCSENT</w:t>
        </w:r>
      </w:hyperlink>
      <w:r w:rsidRPr="00291FFB">
        <w:rPr>
          <w:sz w:val="16"/>
          <w:szCs w:val="16"/>
          <w:lang w:val="en-PH"/>
        </w:rPr>
        <w:t>,</w:t>
      </w:r>
      <w:r w:rsidR="008A581A">
        <w:rPr>
          <w:sz w:val="16"/>
          <w:szCs w:val="16"/>
          <w:lang w:val="en-PH"/>
        </w:rPr>
        <w:t xml:space="preserve"> </w:t>
      </w:r>
      <w:r w:rsidR="006068F7">
        <w:rPr>
          <w:sz w:val="16"/>
          <w:szCs w:val="16"/>
          <w:lang w:val="en-PH"/>
        </w:rPr>
        <w:t>Nov 2</w:t>
      </w:r>
      <w:r w:rsidRPr="00291FFB">
        <w:rPr>
          <w:sz w:val="16"/>
          <w:szCs w:val="16"/>
          <w:lang w:val="en-PH"/>
        </w:rPr>
        <w:t>, 2019</w:t>
      </w:r>
      <w:r>
        <w:rPr>
          <w:sz w:val="16"/>
          <w:szCs w:val="16"/>
          <w:lang w:val="en-PH"/>
        </w:rPr>
        <w:t>.</w:t>
      </w:r>
    </w:p>
    <w:p w14:paraId="10C86738" w14:textId="29101548" w:rsidR="00291FFB" w:rsidRDefault="00291FFB">
      <w:pPr>
        <w:pStyle w:val="FootnoteText"/>
      </w:pPr>
    </w:p>
  </w:footnote>
  <w:footnote w:id="19">
    <w:p w14:paraId="3E58D959" w14:textId="19ADA964" w:rsidR="0007515A" w:rsidRPr="0007515A" w:rsidRDefault="0007515A">
      <w:pPr>
        <w:pStyle w:val="FootnoteText"/>
        <w:rPr>
          <w:sz w:val="16"/>
          <w:szCs w:val="16"/>
        </w:rPr>
      </w:pPr>
      <w:r w:rsidRPr="0007515A">
        <w:rPr>
          <w:sz w:val="16"/>
          <w:szCs w:val="16"/>
        </w:rPr>
        <w:footnoteRef/>
      </w:r>
      <w:r w:rsidRPr="0007515A">
        <w:rPr>
          <w:sz w:val="16"/>
          <w:szCs w:val="16"/>
        </w:rPr>
        <w:t xml:space="preserve"> Chicago Board Options Exchange, CBOE Volatility Index: VIX [VIXCLS], retrieved from FRED, Federal Reserve Bank of St. Louis; </w:t>
      </w:r>
      <w:hyperlink r:id="rId19" w:history="1">
        <w:r w:rsidR="008A581A" w:rsidRPr="0077461D">
          <w:rPr>
            <w:rStyle w:val="Hyperlink"/>
            <w:sz w:val="16"/>
            <w:szCs w:val="16"/>
          </w:rPr>
          <w:t>https://fred.stlouisfed.org/series/VIXCLS</w:t>
        </w:r>
      </w:hyperlink>
      <w:r w:rsidRPr="0007515A">
        <w:rPr>
          <w:sz w:val="16"/>
          <w:szCs w:val="16"/>
        </w:rPr>
        <w:t xml:space="preserve">, </w:t>
      </w:r>
      <w:r w:rsidR="006068F7">
        <w:rPr>
          <w:sz w:val="16"/>
          <w:szCs w:val="16"/>
        </w:rPr>
        <w:t>Nov 2</w:t>
      </w:r>
      <w:r w:rsidRPr="0007515A">
        <w:rPr>
          <w:sz w:val="16"/>
          <w:szCs w:val="16"/>
        </w:rPr>
        <w:t>, 2019.</w:t>
      </w:r>
    </w:p>
  </w:footnote>
  <w:footnote w:id="20">
    <w:p w14:paraId="1CF53D3A" w14:textId="2750473B" w:rsidR="00E171BC" w:rsidRPr="00BF5CE2" w:rsidRDefault="00E171BC">
      <w:pPr>
        <w:pStyle w:val="FootnoteText"/>
        <w:rPr>
          <w:lang w:val="en-PH"/>
        </w:rPr>
      </w:pPr>
      <w:r w:rsidRPr="002B29C7">
        <w:rPr>
          <w:rStyle w:val="FootnoteReference"/>
          <w:sz w:val="16"/>
          <w:szCs w:val="16"/>
        </w:rPr>
        <w:footnoteRef/>
      </w:r>
      <w:r w:rsidRPr="002B29C7">
        <w:rPr>
          <w:sz w:val="16"/>
          <w:szCs w:val="16"/>
        </w:rPr>
        <w:t xml:space="preserve"> </w:t>
      </w:r>
      <w:r>
        <w:rPr>
          <w:sz w:val="16"/>
          <w:szCs w:val="16"/>
        </w:rPr>
        <w:t>Federal Reserve Bank of St. Louis</w:t>
      </w:r>
      <w:r w:rsidRPr="002B29C7">
        <w:rPr>
          <w:sz w:val="16"/>
          <w:szCs w:val="16"/>
          <w:lang w:val="en-PH"/>
        </w:rPr>
        <w:t xml:space="preserve">, </w:t>
      </w:r>
      <w:r>
        <w:rPr>
          <w:sz w:val="16"/>
          <w:szCs w:val="16"/>
          <w:lang w:val="en-PH"/>
        </w:rPr>
        <w:t>FOMC Summary of Economic Projections for the Growth Rate of Real Gross Domestic Product</w:t>
      </w:r>
      <w:r w:rsidRPr="002B29C7">
        <w:rPr>
          <w:sz w:val="16"/>
          <w:szCs w:val="16"/>
          <w:lang w:val="en-PH"/>
        </w:rPr>
        <w:t xml:space="preserve"> [</w:t>
      </w:r>
      <w:r>
        <w:rPr>
          <w:sz w:val="16"/>
          <w:szCs w:val="16"/>
          <w:lang w:val="en-PH"/>
        </w:rPr>
        <w:t>GDPC1CTM</w:t>
      </w:r>
      <w:r w:rsidRPr="002B29C7">
        <w:rPr>
          <w:sz w:val="16"/>
          <w:szCs w:val="16"/>
          <w:lang w:val="en-PH"/>
        </w:rPr>
        <w:t>],</w:t>
      </w:r>
      <w:r w:rsidRPr="002B29C7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 xml:space="preserve"> retrieved from FRED, Federal Reserve Bank of St. Louis; </w:t>
      </w:r>
      <w:hyperlink r:id="rId20" w:history="1">
        <w:r w:rsidRPr="00DF1D66">
          <w:rPr>
            <w:rStyle w:val="Hyperlink"/>
            <w:rFonts w:cstheme="minorHAnsi"/>
            <w:i/>
            <w:iCs/>
            <w:sz w:val="16"/>
            <w:szCs w:val="16"/>
            <w:shd w:val="clear" w:color="auto" w:fill="FFFFFF"/>
          </w:rPr>
          <w:t>https://fred.stlouisfed.org/series/GDPC1CTM</w:t>
        </w:r>
      </w:hyperlink>
      <w:r w:rsidRPr="002B29C7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 xml:space="preserve">, </w:t>
      </w:r>
      <w:r w:rsidR="006068F7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Nov 2</w:t>
      </w:r>
      <w:r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, 2019</w:t>
      </w:r>
      <w:r w:rsidRPr="002B29C7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.</w:t>
      </w:r>
    </w:p>
  </w:footnote>
  <w:footnote w:id="21">
    <w:p w14:paraId="054982F6" w14:textId="6C687EAE" w:rsidR="00E171BC" w:rsidRPr="005D3CEF" w:rsidRDefault="00E171BC">
      <w:pPr>
        <w:pStyle w:val="FootnoteText"/>
        <w:rPr>
          <w:sz w:val="16"/>
          <w:szCs w:val="16"/>
          <w:lang w:val="en-PH"/>
        </w:rPr>
      </w:pPr>
      <w:r w:rsidRPr="005D3CEF">
        <w:rPr>
          <w:rStyle w:val="FootnoteReference"/>
          <w:sz w:val="16"/>
          <w:szCs w:val="16"/>
        </w:rPr>
        <w:footnoteRef/>
      </w:r>
      <w:r w:rsidRPr="005D3CEF">
        <w:rPr>
          <w:sz w:val="16"/>
          <w:szCs w:val="16"/>
        </w:rPr>
        <w:t xml:space="preserve"> Federal Reserve Bank of St. Louis</w:t>
      </w:r>
      <w:r w:rsidRPr="005D3CEF">
        <w:rPr>
          <w:sz w:val="16"/>
          <w:szCs w:val="16"/>
          <w:lang w:val="en-PH"/>
        </w:rPr>
        <w:t xml:space="preserve">, FOMC Summary of Economic Projections for the </w:t>
      </w:r>
      <w:r>
        <w:rPr>
          <w:sz w:val="16"/>
          <w:szCs w:val="16"/>
          <w:lang w:val="en-PH"/>
        </w:rPr>
        <w:t xml:space="preserve">Personal Consumption Expenditures Inflation Rate, Central Tendency, Midpoint </w:t>
      </w:r>
      <w:r w:rsidRPr="005D3CEF">
        <w:rPr>
          <w:sz w:val="16"/>
          <w:szCs w:val="16"/>
          <w:lang w:val="en-PH"/>
        </w:rPr>
        <w:t>[</w:t>
      </w:r>
      <w:r>
        <w:rPr>
          <w:sz w:val="16"/>
          <w:szCs w:val="16"/>
          <w:lang w:val="en-PH"/>
        </w:rPr>
        <w:t>PCECTPICTM</w:t>
      </w:r>
      <w:r w:rsidRPr="005D3CEF">
        <w:rPr>
          <w:sz w:val="16"/>
          <w:szCs w:val="16"/>
          <w:lang w:val="en-PH"/>
        </w:rPr>
        <w:t>],</w:t>
      </w:r>
      <w:r w:rsidRPr="005D3CEF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 xml:space="preserve"> retrieved from FRED, Federal Reserve Bank of St. Louis; </w:t>
      </w:r>
      <w:hyperlink r:id="rId21" w:history="1">
        <w:r w:rsidRPr="00DF1D66">
          <w:rPr>
            <w:rStyle w:val="Hyperlink"/>
            <w:rFonts w:cstheme="minorHAnsi"/>
            <w:i/>
            <w:iCs/>
            <w:sz w:val="16"/>
            <w:szCs w:val="16"/>
            <w:shd w:val="clear" w:color="auto" w:fill="FFFFFF"/>
          </w:rPr>
          <w:t>https://fred.stlouisfed.org/series/PCECTPICTM</w:t>
        </w:r>
      </w:hyperlink>
      <w:r w:rsidRPr="005D3CEF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 xml:space="preserve">, </w:t>
      </w:r>
      <w:r w:rsidR="006068F7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Nov 2</w:t>
      </w:r>
      <w:r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, 2019</w:t>
      </w:r>
      <w:r w:rsidRPr="005D3CEF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.</w:t>
      </w:r>
    </w:p>
  </w:footnote>
  <w:footnote w:id="22">
    <w:p w14:paraId="4A7DBD07" w14:textId="4C1C965F" w:rsidR="00E171BC" w:rsidRPr="00E72196" w:rsidRDefault="00E171BC">
      <w:pPr>
        <w:pStyle w:val="FootnoteText"/>
        <w:rPr>
          <w:lang w:val="en-PH"/>
        </w:rPr>
      </w:pPr>
      <w:r>
        <w:rPr>
          <w:rStyle w:val="FootnoteReference"/>
        </w:rPr>
        <w:footnoteRef/>
      </w:r>
      <w:r>
        <w:t xml:space="preserve"> </w:t>
      </w:r>
      <w:r w:rsidRPr="005D3CEF">
        <w:rPr>
          <w:sz w:val="16"/>
          <w:szCs w:val="16"/>
        </w:rPr>
        <w:t>Federal Reserve Bank of St. Louis</w:t>
      </w:r>
      <w:r w:rsidRPr="005D3CEF">
        <w:rPr>
          <w:sz w:val="16"/>
          <w:szCs w:val="16"/>
          <w:lang w:val="en-PH"/>
        </w:rPr>
        <w:t xml:space="preserve">, FOMC Summary of Economic Projections for the </w:t>
      </w:r>
      <w:r>
        <w:rPr>
          <w:sz w:val="16"/>
          <w:szCs w:val="16"/>
          <w:lang w:val="en-PH"/>
        </w:rPr>
        <w:t xml:space="preserve">Civilian Unemployment Rate, Central Tendency, Midpoint </w:t>
      </w:r>
      <w:r w:rsidRPr="005D3CEF">
        <w:rPr>
          <w:sz w:val="16"/>
          <w:szCs w:val="16"/>
          <w:lang w:val="en-PH"/>
        </w:rPr>
        <w:t>[</w:t>
      </w:r>
      <w:r>
        <w:rPr>
          <w:sz w:val="16"/>
          <w:szCs w:val="16"/>
          <w:lang w:val="en-PH"/>
        </w:rPr>
        <w:t>UNRATECTM</w:t>
      </w:r>
      <w:r w:rsidRPr="005D3CEF">
        <w:rPr>
          <w:sz w:val="16"/>
          <w:szCs w:val="16"/>
          <w:lang w:val="en-PH"/>
        </w:rPr>
        <w:t>],</w:t>
      </w:r>
      <w:r w:rsidRPr="005D3CEF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 xml:space="preserve"> retrieved from FRED, Federal Reserve Bank of St. Louis; </w:t>
      </w:r>
      <w:hyperlink r:id="rId22" w:history="1">
        <w:r w:rsidRPr="00DF1D66">
          <w:rPr>
            <w:rStyle w:val="Hyperlink"/>
            <w:rFonts w:cstheme="minorHAnsi"/>
            <w:i/>
            <w:iCs/>
            <w:sz w:val="16"/>
            <w:szCs w:val="16"/>
            <w:shd w:val="clear" w:color="auto" w:fill="FFFFFF"/>
          </w:rPr>
          <w:t>https://fred.stlouisfed.org/series/UNRATECTM</w:t>
        </w:r>
      </w:hyperlink>
      <w:r w:rsidRPr="005D3CEF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 xml:space="preserve">, </w:t>
      </w:r>
      <w:r w:rsidR="006068F7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Nov 2</w:t>
      </w:r>
      <w:r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, 2019</w:t>
      </w:r>
      <w:r w:rsidRPr="005D3CEF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D5FE7" w14:textId="77777777" w:rsidR="00E171BC" w:rsidRPr="00460436" w:rsidRDefault="00E171BC" w:rsidP="00460436">
    <w:pPr>
      <w:pStyle w:val="Header"/>
      <w:jc w:val="right"/>
      <w:rPr>
        <w:rStyle w:val="IntenseEmphasis"/>
      </w:rPr>
    </w:pPr>
    <w:r w:rsidRPr="00460436">
      <w:rPr>
        <w:rStyle w:val="IntenseEmphasis"/>
      </w:rPr>
      <w:t>Quarterly Economic Update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F2D28"/>
    <w:multiLevelType w:val="hybridMultilevel"/>
    <w:tmpl w:val="3CC48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54B19"/>
    <w:multiLevelType w:val="hybridMultilevel"/>
    <w:tmpl w:val="82C2C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907BB"/>
    <w:multiLevelType w:val="hybridMultilevel"/>
    <w:tmpl w:val="A0F67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E6018"/>
    <w:multiLevelType w:val="hybridMultilevel"/>
    <w:tmpl w:val="62A6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11"/>
    <w:rsid w:val="0000055B"/>
    <w:rsid w:val="000017CB"/>
    <w:rsid w:val="00005111"/>
    <w:rsid w:val="00014CBA"/>
    <w:rsid w:val="00021EA4"/>
    <w:rsid w:val="00022BB4"/>
    <w:rsid w:val="000248D0"/>
    <w:rsid w:val="00024E64"/>
    <w:rsid w:val="0002602B"/>
    <w:rsid w:val="00027E1E"/>
    <w:rsid w:val="00030ECA"/>
    <w:rsid w:val="0003136B"/>
    <w:rsid w:val="000322F4"/>
    <w:rsid w:val="00033B75"/>
    <w:rsid w:val="00035810"/>
    <w:rsid w:val="0003611B"/>
    <w:rsid w:val="00047034"/>
    <w:rsid w:val="00047E74"/>
    <w:rsid w:val="0005198D"/>
    <w:rsid w:val="00052F94"/>
    <w:rsid w:val="00053E46"/>
    <w:rsid w:val="0005726F"/>
    <w:rsid w:val="00057711"/>
    <w:rsid w:val="00060AA5"/>
    <w:rsid w:val="00061DAA"/>
    <w:rsid w:val="000644DB"/>
    <w:rsid w:val="000650B3"/>
    <w:rsid w:val="00065E14"/>
    <w:rsid w:val="00071875"/>
    <w:rsid w:val="00072C36"/>
    <w:rsid w:val="000738AD"/>
    <w:rsid w:val="00074123"/>
    <w:rsid w:val="000742F7"/>
    <w:rsid w:val="0007515A"/>
    <w:rsid w:val="00076850"/>
    <w:rsid w:val="000807FF"/>
    <w:rsid w:val="00084604"/>
    <w:rsid w:val="00084608"/>
    <w:rsid w:val="00084C45"/>
    <w:rsid w:val="000874E3"/>
    <w:rsid w:val="00090DA6"/>
    <w:rsid w:val="00093D9A"/>
    <w:rsid w:val="00093EF4"/>
    <w:rsid w:val="000A0001"/>
    <w:rsid w:val="000A0FCA"/>
    <w:rsid w:val="000A1224"/>
    <w:rsid w:val="000A239B"/>
    <w:rsid w:val="000A3240"/>
    <w:rsid w:val="000A79DC"/>
    <w:rsid w:val="000B0583"/>
    <w:rsid w:val="000B0B86"/>
    <w:rsid w:val="000B42F9"/>
    <w:rsid w:val="000B4F85"/>
    <w:rsid w:val="000B5DA2"/>
    <w:rsid w:val="000B6EBB"/>
    <w:rsid w:val="000C1495"/>
    <w:rsid w:val="000C19DD"/>
    <w:rsid w:val="000C2E7D"/>
    <w:rsid w:val="000C6EEB"/>
    <w:rsid w:val="000C71C7"/>
    <w:rsid w:val="000D47AB"/>
    <w:rsid w:val="000D5719"/>
    <w:rsid w:val="000D7BDC"/>
    <w:rsid w:val="000E1BAA"/>
    <w:rsid w:val="000E3192"/>
    <w:rsid w:val="000E6A61"/>
    <w:rsid w:val="000F1648"/>
    <w:rsid w:val="000F59FF"/>
    <w:rsid w:val="001009B9"/>
    <w:rsid w:val="00100DF8"/>
    <w:rsid w:val="00102080"/>
    <w:rsid w:val="00105413"/>
    <w:rsid w:val="00107AB4"/>
    <w:rsid w:val="001116CA"/>
    <w:rsid w:val="00113C90"/>
    <w:rsid w:val="001149CD"/>
    <w:rsid w:val="00115717"/>
    <w:rsid w:val="00116B91"/>
    <w:rsid w:val="00117BB0"/>
    <w:rsid w:val="00121E2F"/>
    <w:rsid w:val="00122842"/>
    <w:rsid w:val="001277B9"/>
    <w:rsid w:val="00131885"/>
    <w:rsid w:val="00134A21"/>
    <w:rsid w:val="00140712"/>
    <w:rsid w:val="00140763"/>
    <w:rsid w:val="00140FEE"/>
    <w:rsid w:val="001451F8"/>
    <w:rsid w:val="001460CC"/>
    <w:rsid w:val="001475FF"/>
    <w:rsid w:val="001511FF"/>
    <w:rsid w:val="001545F2"/>
    <w:rsid w:val="00155E88"/>
    <w:rsid w:val="00156FE4"/>
    <w:rsid w:val="0016088B"/>
    <w:rsid w:val="00163F37"/>
    <w:rsid w:val="0016688A"/>
    <w:rsid w:val="00166C08"/>
    <w:rsid w:val="00166F90"/>
    <w:rsid w:val="00171C8E"/>
    <w:rsid w:val="00172307"/>
    <w:rsid w:val="001744C6"/>
    <w:rsid w:val="0017465F"/>
    <w:rsid w:val="00174B44"/>
    <w:rsid w:val="00174BCD"/>
    <w:rsid w:val="00174CC3"/>
    <w:rsid w:val="001756EC"/>
    <w:rsid w:val="0017576B"/>
    <w:rsid w:val="001773AA"/>
    <w:rsid w:val="0018096F"/>
    <w:rsid w:val="001819E6"/>
    <w:rsid w:val="00183B61"/>
    <w:rsid w:val="00186318"/>
    <w:rsid w:val="001868CB"/>
    <w:rsid w:val="00187669"/>
    <w:rsid w:val="00193436"/>
    <w:rsid w:val="00195B12"/>
    <w:rsid w:val="001A6C86"/>
    <w:rsid w:val="001B1490"/>
    <w:rsid w:val="001B4B76"/>
    <w:rsid w:val="001C0F2A"/>
    <w:rsid w:val="001C1070"/>
    <w:rsid w:val="001C14A1"/>
    <w:rsid w:val="001C38B9"/>
    <w:rsid w:val="001D7D8D"/>
    <w:rsid w:val="001E04F8"/>
    <w:rsid w:val="001E42A6"/>
    <w:rsid w:val="001E7445"/>
    <w:rsid w:val="001F7970"/>
    <w:rsid w:val="0020145F"/>
    <w:rsid w:val="00204D9D"/>
    <w:rsid w:val="0021377C"/>
    <w:rsid w:val="00217AD5"/>
    <w:rsid w:val="002219B5"/>
    <w:rsid w:val="0022226D"/>
    <w:rsid w:val="002308A9"/>
    <w:rsid w:val="00230D29"/>
    <w:rsid w:val="00231FA3"/>
    <w:rsid w:val="00232336"/>
    <w:rsid w:val="002361FB"/>
    <w:rsid w:val="00236B68"/>
    <w:rsid w:val="00237901"/>
    <w:rsid w:val="002406D9"/>
    <w:rsid w:val="002435D7"/>
    <w:rsid w:val="00244C4D"/>
    <w:rsid w:val="002502D5"/>
    <w:rsid w:val="00250313"/>
    <w:rsid w:val="002521FF"/>
    <w:rsid w:val="0025222E"/>
    <w:rsid w:val="00252A9B"/>
    <w:rsid w:val="00254176"/>
    <w:rsid w:val="00255530"/>
    <w:rsid w:val="00255C32"/>
    <w:rsid w:val="0025666D"/>
    <w:rsid w:val="002608F3"/>
    <w:rsid w:val="0026329B"/>
    <w:rsid w:val="00265131"/>
    <w:rsid w:val="0026599C"/>
    <w:rsid w:val="002731EF"/>
    <w:rsid w:val="002775DB"/>
    <w:rsid w:val="002817E1"/>
    <w:rsid w:val="0028237E"/>
    <w:rsid w:val="00285F67"/>
    <w:rsid w:val="00291763"/>
    <w:rsid w:val="00291FFB"/>
    <w:rsid w:val="00292B24"/>
    <w:rsid w:val="00296BEB"/>
    <w:rsid w:val="002972D2"/>
    <w:rsid w:val="002978F9"/>
    <w:rsid w:val="002A0B80"/>
    <w:rsid w:val="002A14C5"/>
    <w:rsid w:val="002A3CB2"/>
    <w:rsid w:val="002A45E8"/>
    <w:rsid w:val="002A764F"/>
    <w:rsid w:val="002B16D0"/>
    <w:rsid w:val="002B29C7"/>
    <w:rsid w:val="002B2BBA"/>
    <w:rsid w:val="002C3C67"/>
    <w:rsid w:val="002C601A"/>
    <w:rsid w:val="002C69A4"/>
    <w:rsid w:val="002D5CC3"/>
    <w:rsid w:val="002E0DC9"/>
    <w:rsid w:val="002E2644"/>
    <w:rsid w:val="002E3213"/>
    <w:rsid w:val="002E3647"/>
    <w:rsid w:val="002E4494"/>
    <w:rsid w:val="002E58CF"/>
    <w:rsid w:val="002E6FDE"/>
    <w:rsid w:val="002E7ACF"/>
    <w:rsid w:val="002F0CDA"/>
    <w:rsid w:val="002F1B2A"/>
    <w:rsid w:val="002F1B4B"/>
    <w:rsid w:val="002F1C7B"/>
    <w:rsid w:val="002F3682"/>
    <w:rsid w:val="002F3CE6"/>
    <w:rsid w:val="002F6282"/>
    <w:rsid w:val="002F63F8"/>
    <w:rsid w:val="003028B3"/>
    <w:rsid w:val="00307A87"/>
    <w:rsid w:val="0031179D"/>
    <w:rsid w:val="00314985"/>
    <w:rsid w:val="00316CBD"/>
    <w:rsid w:val="00316E8F"/>
    <w:rsid w:val="00317448"/>
    <w:rsid w:val="003175DC"/>
    <w:rsid w:val="00321AA2"/>
    <w:rsid w:val="00322C58"/>
    <w:rsid w:val="0033052C"/>
    <w:rsid w:val="003316E9"/>
    <w:rsid w:val="00332197"/>
    <w:rsid w:val="00334DE4"/>
    <w:rsid w:val="00336F2C"/>
    <w:rsid w:val="003376CD"/>
    <w:rsid w:val="00337BD8"/>
    <w:rsid w:val="00340B8A"/>
    <w:rsid w:val="003414E7"/>
    <w:rsid w:val="003477B7"/>
    <w:rsid w:val="003479C3"/>
    <w:rsid w:val="00354195"/>
    <w:rsid w:val="00360100"/>
    <w:rsid w:val="00362202"/>
    <w:rsid w:val="00363E78"/>
    <w:rsid w:val="003643F8"/>
    <w:rsid w:val="00371414"/>
    <w:rsid w:val="00372F3C"/>
    <w:rsid w:val="003802E7"/>
    <w:rsid w:val="0038144F"/>
    <w:rsid w:val="00386023"/>
    <w:rsid w:val="00387C82"/>
    <w:rsid w:val="00392D01"/>
    <w:rsid w:val="00393B78"/>
    <w:rsid w:val="00394236"/>
    <w:rsid w:val="00395B3E"/>
    <w:rsid w:val="00396E51"/>
    <w:rsid w:val="0039736B"/>
    <w:rsid w:val="00397F57"/>
    <w:rsid w:val="003A0447"/>
    <w:rsid w:val="003A3D8A"/>
    <w:rsid w:val="003A4BCC"/>
    <w:rsid w:val="003A679B"/>
    <w:rsid w:val="003B2BFB"/>
    <w:rsid w:val="003C1F24"/>
    <w:rsid w:val="003D112A"/>
    <w:rsid w:val="003D4159"/>
    <w:rsid w:val="003E282E"/>
    <w:rsid w:val="003E3E2D"/>
    <w:rsid w:val="003E4ACB"/>
    <w:rsid w:val="003E5CFB"/>
    <w:rsid w:val="003F2FE7"/>
    <w:rsid w:val="003F5061"/>
    <w:rsid w:val="00401A65"/>
    <w:rsid w:val="0040211C"/>
    <w:rsid w:val="00403355"/>
    <w:rsid w:val="0041138E"/>
    <w:rsid w:val="00411404"/>
    <w:rsid w:val="00411A4C"/>
    <w:rsid w:val="004134F4"/>
    <w:rsid w:val="00413EE3"/>
    <w:rsid w:val="00421F60"/>
    <w:rsid w:val="00424E74"/>
    <w:rsid w:val="00427110"/>
    <w:rsid w:val="0043016A"/>
    <w:rsid w:val="00440FEB"/>
    <w:rsid w:val="00442163"/>
    <w:rsid w:val="00442BF6"/>
    <w:rsid w:val="00443A15"/>
    <w:rsid w:val="00446C08"/>
    <w:rsid w:val="004476DE"/>
    <w:rsid w:val="004506CC"/>
    <w:rsid w:val="0045095D"/>
    <w:rsid w:val="0045097E"/>
    <w:rsid w:val="004513EB"/>
    <w:rsid w:val="00451755"/>
    <w:rsid w:val="00453708"/>
    <w:rsid w:val="00454F4B"/>
    <w:rsid w:val="0045550A"/>
    <w:rsid w:val="00457E1D"/>
    <w:rsid w:val="00460436"/>
    <w:rsid w:val="00460DE2"/>
    <w:rsid w:val="00460E43"/>
    <w:rsid w:val="00463560"/>
    <w:rsid w:val="00466861"/>
    <w:rsid w:val="00467AB1"/>
    <w:rsid w:val="004709B0"/>
    <w:rsid w:val="004759DB"/>
    <w:rsid w:val="004778D8"/>
    <w:rsid w:val="00490AFD"/>
    <w:rsid w:val="00491B4B"/>
    <w:rsid w:val="00493CF1"/>
    <w:rsid w:val="004965CE"/>
    <w:rsid w:val="00496E13"/>
    <w:rsid w:val="004A0649"/>
    <w:rsid w:val="004A0ABB"/>
    <w:rsid w:val="004A4BD1"/>
    <w:rsid w:val="004B047B"/>
    <w:rsid w:val="004B2BFB"/>
    <w:rsid w:val="004B3B5E"/>
    <w:rsid w:val="004B7D92"/>
    <w:rsid w:val="004C587A"/>
    <w:rsid w:val="004C6B76"/>
    <w:rsid w:val="004D0515"/>
    <w:rsid w:val="004D099A"/>
    <w:rsid w:val="004D1C9D"/>
    <w:rsid w:val="004D1DA4"/>
    <w:rsid w:val="004E2AB3"/>
    <w:rsid w:val="004E2C09"/>
    <w:rsid w:val="004E3393"/>
    <w:rsid w:val="004E4A45"/>
    <w:rsid w:val="004E4B6F"/>
    <w:rsid w:val="004E5EC0"/>
    <w:rsid w:val="004E7265"/>
    <w:rsid w:val="004F1527"/>
    <w:rsid w:val="004F330B"/>
    <w:rsid w:val="004F3ADA"/>
    <w:rsid w:val="004F55C9"/>
    <w:rsid w:val="004F67A9"/>
    <w:rsid w:val="004F73C7"/>
    <w:rsid w:val="00504F45"/>
    <w:rsid w:val="005117CA"/>
    <w:rsid w:val="005127D3"/>
    <w:rsid w:val="00515DB3"/>
    <w:rsid w:val="00515E9D"/>
    <w:rsid w:val="005200CA"/>
    <w:rsid w:val="0052077C"/>
    <w:rsid w:val="00525C1B"/>
    <w:rsid w:val="005261C1"/>
    <w:rsid w:val="00532A06"/>
    <w:rsid w:val="00536B00"/>
    <w:rsid w:val="005378C5"/>
    <w:rsid w:val="005425D7"/>
    <w:rsid w:val="00542F5A"/>
    <w:rsid w:val="005475F2"/>
    <w:rsid w:val="00551864"/>
    <w:rsid w:val="00554121"/>
    <w:rsid w:val="005554F5"/>
    <w:rsid w:val="00556EAD"/>
    <w:rsid w:val="00557239"/>
    <w:rsid w:val="00562B39"/>
    <w:rsid w:val="0056320C"/>
    <w:rsid w:val="005662B5"/>
    <w:rsid w:val="00570005"/>
    <w:rsid w:val="00570346"/>
    <w:rsid w:val="00571BD4"/>
    <w:rsid w:val="00575923"/>
    <w:rsid w:val="00576484"/>
    <w:rsid w:val="00576E9B"/>
    <w:rsid w:val="005779B7"/>
    <w:rsid w:val="00577C8E"/>
    <w:rsid w:val="005807C6"/>
    <w:rsid w:val="00580F92"/>
    <w:rsid w:val="00583BEE"/>
    <w:rsid w:val="00587C5A"/>
    <w:rsid w:val="00590322"/>
    <w:rsid w:val="005917C1"/>
    <w:rsid w:val="00594B4A"/>
    <w:rsid w:val="005954B1"/>
    <w:rsid w:val="005A693F"/>
    <w:rsid w:val="005B1168"/>
    <w:rsid w:val="005B1ACA"/>
    <w:rsid w:val="005B40E5"/>
    <w:rsid w:val="005C021F"/>
    <w:rsid w:val="005C0A6E"/>
    <w:rsid w:val="005C0D2D"/>
    <w:rsid w:val="005C493F"/>
    <w:rsid w:val="005C532B"/>
    <w:rsid w:val="005D06C9"/>
    <w:rsid w:val="005D1E0A"/>
    <w:rsid w:val="005D3CEF"/>
    <w:rsid w:val="005D43B8"/>
    <w:rsid w:val="005D5553"/>
    <w:rsid w:val="005E19C2"/>
    <w:rsid w:val="005E306A"/>
    <w:rsid w:val="005E3622"/>
    <w:rsid w:val="005E56AE"/>
    <w:rsid w:val="005E67EF"/>
    <w:rsid w:val="005F07E9"/>
    <w:rsid w:val="005F1D7F"/>
    <w:rsid w:val="006055F4"/>
    <w:rsid w:val="006068F7"/>
    <w:rsid w:val="0061080D"/>
    <w:rsid w:val="00610894"/>
    <w:rsid w:val="0061200D"/>
    <w:rsid w:val="006130EE"/>
    <w:rsid w:val="006167DB"/>
    <w:rsid w:val="00621173"/>
    <w:rsid w:val="0062162D"/>
    <w:rsid w:val="00623672"/>
    <w:rsid w:val="00624AEF"/>
    <w:rsid w:val="0062659E"/>
    <w:rsid w:val="00626DAC"/>
    <w:rsid w:val="00627C19"/>
    <w:rsid w:val="00627DE7"/>
    <w:rsid w:val="00631555"/>
    <w:rsid w:val="006342D9"/>
    <w:rsid w:val="00634787"/>
    <w:rsid w:val="00640C9C"/>
    <w:rsid w:val="00640DD5"/>
    <w:rsid w:val="00643797"/>
    <w:rsid w:val="006439EA"/>
    <w:rsid w:val="00643FBF"/>
    <w:rsid w:val="006451FA"/>
    <w:rsid w:val="0064538F"/>
    <w:rsid w:val="00650430"/>
    <w:rsid w:val="00650582"/>
    <w:rsid w:val="00651AC2"/>
    <w:rsid w:val="00654B02"/>
    <w:rsid w:val="006575D2"/>
    <w:rsid w:val="00657642"/>
    <w:rsid w:val="00660A13"/>
    <w:rsid w:val="006646E8"/>
    <w:rsid w:val="00670FB1"/>
    <w:rsid w:val="0067215A"/>
    <w:rsid w:val="006748EE"/>
    <w:rsid w:val="00675F26"/>
    <w:rsid w:val="00682B7E"/>
    <w:rsid w:val="00690C93"/>
    <w:rsid w:val="00691D14"/>
    <w:rsid w:val="00694624"/>
    <w:rsid w:val="00695441"/>
    <w:rsid w:val="00695980"/>
    <w:rsid w:val="006970E9"/>
    <w:rsid w:val="006A0819"/>
    <w:rsid w:val="006A114D"/>
    <w:rsid w:val="006A6BFF"/>
    <w:rsid w:val="006B394A"/>
    <w:rsid w:val="006C28D8"/>
    <w:rsid w:val="006C7116"/>
    <w:rsid w:val="006D2660"/>
    <w:rsid w:val="006D4E8F"/>
    <w:rsid w:val="006D518C"/>
    <w:rsid w:val="006D579F"/>
    <w:rsid w:val="006E0830"/>
    <w:rsid w:val="006E4B4F"/>
    <w:rsid w:val="006E608A"/>
    <w:rsid w:val="006E69A7"/>
    <w:rsid w:val="006F060A"/>
    <w:rsid w:val="006F4DB7"/>
    <w:rsid w:val="006F6733"/>
    <w:rsid w:val="006F7FB2"/>
    <w:rsid w:val="00700166"/>
    <w:rsid w:val="00701D95"/>
    <w:rsid w:val="00703D80"/>
    <w:rsid w:val="007062B8"/>
    <w:rsid w:val="007102D3"/>
    <w:rsid w:val="007110AF"/>
    <w:rsid w:val="0072697B"/>
    <w:rsid w:val="00730C3D"/>
    <w:rsid w:val="007329E1"/>
    <w:rsid w:val="0073598E"/>
    <w:rsid w:val="00740863"/>
    <w:rsid w:val="00741DA8"/>
    <w:rsid w:val="00742E84"/>
    <w:rsid w:val="00743683"/>
    <w:rsid w:val="0075479C"/>
    <w:rsid w:val="00756248"/>
    <w:rsid w:val="00756A49"/>
    <w:rsid w:val="007602B9"/>
    <w:rsid w:val="00761D36"/>
    <w:rsid w:val="0076272C"/>
    <w:rsid w:val="007635CE"/>
    <w:rsid w:val="0076678E"/>
    <w:rsid w:val="0076717F"/>
    <w:rsid w:val="0077027E"/>
    <w:rsid w:val="00770759"/>
    <w:rsid w:val="007736DF"/>
    <w:rsid w:val="00773AC4"/>
    <w:rsid w:val="00773B5B"/>
    <w:rsid w:val="007807DE"/>
    <w:rsid w:val="00782F5F"/>
    <w:rsid w:val="0078488C"/>
    <w:rsid w:val="00791F5C"/>
    <w:rsid w:val="007929DB"/>
    <w:rsid w:val="00792E5D"/>
    <w:rsid w:val="00795569"/>
    <w:rsid w:val="0079609A"/>
    <w:rsid w:val="007A0574"/>
    <w:rsid w:val="007A0E93"/>
    <w:rsid w:val="007A5255"/>
    <w:rsid w:val="007A770A"/>
    <w:rsid w:val="007B0C0E"/>
    <w:rsid w:val="007B178B"/>
    <w:rsid w:val="007B3A9E"/>
    <w:rsid w:val="007B5780"/>
    <w:rsid w:val="007B7D73"/>
    <w:rsid w:val="007C1E79"/>
    <w:rsid w:val="007C4944"/>
    <w:rsid w:val="007C54CB"/>
    <w:rsid w:val="007D4FF9"/>
    <w:rsid w:val="007E3ED3"/>
    <w:rsid w:val="007E5B14"/>
    <w:rsid w:val="007E76B7"/>
    <w:rsid w:val="007F04AE"/>
    <w:rsid w:val="007F34A5"/>
    <w:rsid w:val="007F590E"/>
    <w:rsid w:val="007F5D12"/>
    <w:rsid w:val="007F67C3"/>
    <w:rsid w:val="0080028D"/>
    <w:rsid w:val="0080052B"/>
    <w:rsid w:val="00805C12"/>
    <w:rsid w:val="0080666E"/>
    <w:rsid w:val="00811606"/>
    <w:rsid w:val="00811FA7"/>
    <w:rsid w:val="008129B2"/>
    <w:rsid w:val="008162B7"/>
    <w:rsid w:val="00816313"/>
    <w:rsid w:val="00816C0F"/>
    <w:rsid w:val="00822897"/>
    <w:rsid w:val="00823A4E"/>
    <w:rsid w:val="00823E2B"/>
    <w:rsid w:val="00826AE7"/>
    <w:rsid w:val="008339F4"/>
    <w:rsid w:val="00833A07"/>
    <w:rsid w:val="00835434"/>
    <w:rsid w:val="00836176"/>
    <w:rsid w:val="00837DF2"/>
    <w:rsid w:val="0084463F"/>
    <w:rsid w:val="0084528D"/>
    <w:rsid w:val="00850A64"/>
    <w:rsid w:val="00855A46"/>
    <w:rsid w:val="008564EA"/>
    <w:rsid w:val="00857079"/>
    <w:rsid w:val="00860631"/>
    <w:rsid w:val="008636F9"/>
    <w:rsid w:val="00865CE8"/>
    <w:rsid w:val="008664EB"/>
    <w:rsid w:val="00870469"/>
    <w:rsid w:val="00873466"/>
    <w:rsid w:val="00874DE9"/>
    <w:rsid w:val="00875F25"/>
    <w:rsid w:val="0087715C"/>
    <w:rsid w:val="00877D3C"/>
    <w:rsid w:val="00882E60"/>
    <w:rsid w:val="008860FC"/>
    <w:rsid w:val="00886D3A"/>
    <w:rsid w:val="008874C1"/>
    <w:rsid w:val="00890513"/>
    <w:rsid w:val="0089070C"/>
    <w:rsid w:val="00890B68"/>
    <w:rsid w:val="0089260E"/>
    <w:rsid w:val="00892D49"/>
    <w:rsid w:val="008932A3"/>
    <w:rsid w:val="00893CB8"/>
    <w:rsid w:val="00894FB2"/>
    <w:rsid w:val="00895BD8"/>
    <w:rsid w:val="0089655B"/>
    <w:rsid w:val="008972D1"/>
    <w:rsid w:val="00897BC8"/>
    <w:rsid w:val="008A0838"/>
    <w:rsid w:val="008A13E7"/>
    <w:rsid w:val="008A3F35"/>
    <w:rsid w:val="008A581A"/>
    <w:rsid w:val="008A5F7F"/>
    <w:rsid w:val="008A63E2"/>
    <w:rsid w:val="008A6630"/>
    <w:rsid w:val="008A6DB9"/>
    <w:rsid w:val="008A7D83"/>
    <w:rsid w:val="008B1963"/>
    <w:rsid w:val="008B20D0"/>
    <w:rsid w:val="008B24F2"/>
    <w:rsid w:val="008B37F0"/>
    <w:rsid w:val="008B3E4E"/>
    <w:rsid w:val="008B4702"/>
    <w:rsid w:val="008B65B4"/>
    <w:rsid w:val="008C1C56"/>
    <w:rsid w:val="008C5503"/>
    <w:rsid w:val="008C5726"/>
    <w:rsid w:val="008D1C86"/>
    <w:rsid w:val="008E270A"/>
    <w:rsid w:val="008E72E3"/>
    <w:rsid w:val="008F4B7D"/>
    <w:rsid w:val="008F4B82"/>
    <w:rsid w:val="009130AF"/>
    <w:rsid w:val="00913825"/>
    <w:rsid w:val="009141C1"/>
    <w:rsid w:val="009148CA"/>
    <w:rsid w:val="00914EA8"/>
    <w:rsid w:val="0091664E"/>
    <w:rsid w:val="009170B7"/>
    <w:rsid w:val="00920236"/>
    <w:rsid w:val="009219D9"/>
    <w:rsid w:val="0092472D"/>
    <w:rsid w:val="00925F58"/>
    <w:rsid w:val="009262AA"/>
    <w:rsid w:val="00926438"/>
    <w:rsid w:val="009323CA"/>
    <w:rsid w:val="00932DD8"/>
    <w:rsid w:val="00933213"/>
    <w:rsid w:val="00933E80"/>
    <w:rsid w:val="009343D3"/>
    <w:rsid w:val="00937D2C"/>
    <w:rsid w:val="009411C1"/>
    <w:rsid w:val="00942366"/>
    <w:rsid w:val="00943329"/>
    <w:rsid w:val="00943ED3"/>
    <w:rsid w:val="009445E7"/>
    <w:rsid w:val="0094654A"/>
    <w:rsid w:val="0094736B"/>
    <w:rsid w:val="0095004D"/>
    <w:rsid w:val="009515AA"/>
    <w:rsid w:val="00951DAA"/>
    <w:rsid w:val="009524D9"/>
    <w:rsid w:val="00953DDB"/>
    <w:rsid w:val="00960B49"/>
    <w:rsid w:val="009648C3"/>
    <w:rsid w:val="009669F1"/>
    <w:rsid w:val="0096732C"/>
    <w:rsid w:val="009675A9"/>
    <w:rsid w:val="009714E6"/>
    <w:rsid w:val="00971553"/>
    <w:rsid w:val="009717A1"/>
    <w:rsid w:val="009774D1"/>
    <w:rsid w:val="00977737"/>
    <w:rsid w:val="00981C70"/>
    <w:rsid w:val="00982B60"/>
    <w:rsid w:val="009878F0"/>
    <w:rsid w:val="00992467"/>
    <w:rsid w:val="009972A2"/>
    <w:rsid w:val="0099783F"/>
    <w:rsid w:val="009A106A"/>
    <w:rsid w:val="009A13D9"/>
    <w:rsid w:val="009A1711"/>
    <w:rsid w:val="009A181B"/>
    <w:rsid w:val="009B1B6B"/>
    <w:rsid w:val="009B2A0E"/>
    <w:rsid w:val="009B5606"/>
    <w:rsid w:val="009B603A"/>
    <w:rsid w:val="009B7956"/>
    <w:rsid w:val="009C0945"/>
    <w:rsid w:val="009C0F33"/>
    <w:rsid w:val="009C1E6B"/>
    <w:rsid w:val="009C4651"/>
    <w:rsid w:val="009C5CDE"/>
    <w:rsid w:val="009C74AB"/>
    <w:rsid w:val="009D26B5"/>
    <w:rsid w:val="009D5A7B"/>
    <w:rsid w:val="009E013E"/>
    <w:rsid w:val="009E4D8D"/>
    <w:rsid w:val="009E6453"/>
    <w:rsid w:val="009F1C9C"/>
    <w:rsid w:val="009F272A"/>
    <w:rsid w:val="009F3181"/>
    <w:rsid w:val="009F6EB6"/>
    <w:rsid w:val="009F790B"/>
    <w:rsid w:val="00A04AD3"/>
    <w:rsid w:val="00A07D5A"/>
    <w:rsid w:val="00A11CAC"/>
    <w:rsid w:val="00A223EC"/>
    <w:rsid w:val="00A2684A"/>
    <w:rsid w:val="00A27EB6"/>
    <w:rsid w:val="00A325AB"/>
    <w:rsid w:val="00A41316"/>
    <w:rsid w:val="00A5218C"/>
    <w:rsid w:val="00A52469"/>
    <w:rsid w:val="00A57EA4"/>
    <w:rsid w:val="00A60213"/>
    <w:rsid w:val="00A61C0E"/>
    <w:rsid w:val="00A645D8"/>
    <w:rsid w:val="00A72343"/>
    <w:rsid w:val="00A730DC"/>
    <w:rsid w:val="00A75687"/>
    <w:rsid w:val="00A76F02"/>
    <w:rsid w:val="00A77399"/>
    <w:rsid w:val="00A77981"/>
    <w:rsid w:val="00A82B9E"/>
    <w:rsid w:val="00A841DE"/>
    <w:rsid w:val="00A8559D"/>
    <w:rsid w:val="00A931A3"/>
    <w:rsid w:val="00A9408A"/>
    <w:rsid w:val="00A96795"/>
    <w:rsid w:val="00A96A6A"/>
    <w:rsid w:val="00A96E27"/>
    <w:rsid w:val="00AA1DAF"/>
    <w:rsid w:val="00AA2E90"/>
    <w:rsid w:val="00AA37BC"/>
    <w:rsid w:val="00AA651C"/>
    <w:rsid w:val="00AA7A1B"/>
    <w:rsid w:val="00AB498D"/>
    <w:rsid w:val="00AB4C96"/>
    <w:rsid w:val="00AB5122"/>
    <w:rsid w:val="00AB6E43"/>
    <w:rsid w:val="00AB6F46"/>
    <w:rsid w:val="00AB7603"/>
    <w:rsid w:val="00AC45F1"/>
    <w:rsid w:val="00AC6BB2"/>
    <w:rsid w:val="00AD0524"/>
    <w:rsid w:val="00AE306C"/>
    <w:rsid w:val="00AE3402"/>
    <w:rsid w:val="00AE3668"/>
    <w:rsid w:val="00AE64EF"/>
    <w:rsid w:val="00AE7215"/>
    <w:rsid w:val="00AF2763"/>
    <w:rsid w:val="00AF2BA7"/>
    <w:rsid w:val="00AF6040"/>
    <w:rsid w:val="00AF653C"/>
    <w:rsid w:val="00AF7938"/>
    <w:rsid w:val="00B0030B"/>
    <w:rsid w:val="00B00681"/>
    <w:rsid w:val="00B00E83"/>
    <w:rsid w:val="00B0395F"/>
    <w:rsid w:val="00B064A0"/>
    <w:rsid w:val="00B071DB"/>
    <w:rsid w:val="00B1388C"/>
    <w:rsid w:val="00B13FE9"/>
    <w:rsid w:val="00B162CD"/>
    <w:rsid w:val="00B23279"/>
    <w:rsid w:val="00B2585A"/>
    <w:rsid w:val="00B25898"/>
    <w:rsid w:val="00B25B77"/>
    <w:rsid w:val="00B31011"/>
    <w:rsid w:val="00B370B2"/>
    <w:rsid w:val="00B401C1"/>
    <w:rsid w:val="00B40456"/>
    <w:rsid w:val="00B40AF8"/>
    <w:rsid w:val="00B426C6"/>
    <w:rsid w:val="00B44219"/>
    <w:rsid w:val="00B45F40"/>
    <w:rsid w:val="00B53037"/>
    <w:rsid w:val="00B5315D"/>
    <w:rsid w:val="00B60178"/>
    <w:rsid w:val="00B60EC4"/>
    <w:rsid w:val="00B650A2"/>
    <w:rsid w:val="00B66CC0"/>
    <w:rsid w:val="00B7053E"/>
    <w:rsid w:val="00B71FC4"/>
    <w:rsid w:val="00B767AE"/>
    <w:rsid w:val="00B76D6D"/>
    <w:rsid w:val="00B80D2B"/>
    <w:rsid w:val="00B82B8B"/>
    <w:rsid w:val="00B84330"/>
    <w:rsid w:val="00B875CA"/>
    <w:rsid w:val="00B87F2A"/>
    <w:rsid w:val="00B94E68"/>
    <w:rsid w:val="00BA13A5"/>
    <w:rsid w:val="00BA7A2C"/>
    <w:rsid w:val="00BB096A"/>
    <w:rsid w:val="00BB142E"/>
    <w:rsid w:val="00BB24FD"/>
    <w:rsid w:val="00BB34CA"/>
    <w:rsid w:val="00BB3B00"/>
    <w:rsid w:val="00BB3B04"/>
    <w:rsid w:val="00BB5FF4"/>
    <w:rsid w:val="00BC00A7"/>
    <w:rsid w:val="00BC4BE2"/>
    <w:rsid w:val="00BC6211"/>
    <w:rsid w:val="00BD0BA8"/>
    <w:rsid w:val="00BD1AF4"/>
    <w:rsid w:val="00BD32FB"/>
    <w:rsid w:val="00BD3693"/>
    <w:rsid w:val="00BD7CA7"/>
    <w:rsid w:val="00BE3AB7"/>
    <w:rsid w:val="00BE41AA"/>
    <w:rsid w:val="00BE4FA9"/>
    <w:rsid w:val="00BE7F85"/>
    <w:rsid w:val="00BF33EF"/>
    <w:rsid w:val="00BF363C"/>
    <w:rsid w:val="00BF5CE2"/>
    <w:rsid w:val="00C01B26"/>
    <w:rsid w:val="00C01B39"/>
    <w:rsid w:val="00C01ECD"/>
    <w:rsid w:val="00C04D0B"/>
    <w:rsid w:val="00C05052"/>
    <w:rsid w:val="00C07579"/>
    <w:rsid w:val="00C14310"/>
    <w:rsid w:val="00C1528C"/>
    <w:rsid w:val="00C17C3A"/>
    <w:rsid w:val="00C228CA"/>
    <w:rsid w:val="00C22EE7"/>
    <w:rsid w:val="00C253A1"/>
    <w:rsid w:val="00C27776"/>
    <w:rsid w:val="00C27961"/>
    <w:rsid w:val="00C27E06"/>
    <w:rsid w:val="00C35B2B"/>
    <w:rsid w:val="00C36857"/>
    <w:rsid w:val="00C40E95"/>
    <w:rsid w:val="00C41006"/>
    <w:rsid w:val="00C45B53"/>
    <w:rsid w:val="00C4790A"/>
    <w:rsid w:val="00C47DFF"/>
    <w:rsid w:val="00C50538"/>
    <w:rsid w:val="00C56AE3"/>
    <w:rsid w:val="00C66CC9"/>
    <w:rsid w:val="00C70F5B"/>
    <w:rsid w:val="00C742C8"/>
    <w:rsid w:val="00C828B0"/>
    <w:rsid w:val="00C83561"/>
    <w:rsid w:val="00C84709"/>
    <w:rsid w:val="00C879D3"/>
    <w:rsid w:val="00C90043"/>
    <w:rsid w:val="00C90C6F"/>
    <w:rsid w:val="00C91D90"/>
    <w:rsid w:val="00C91F35"/>
    <w:rsid w:val="00C9379B"/>
    <w:rsid w:val="00C937ED"/>
    <w:rsid w:val="00C94CE9"/>
    <w:rsid w:val="00CA07E7"/>
    <w:rsid w:val="00CA112C"/>
    <w:rsid w:val="00CA2DA3"/>
    <w:rsid w:val="00CA2F0C"/>
    <w:rsid w:val="00CA4851"/>
    <w:rsid w:val="00CA74AC"/>
    <w:rsid w:val="00CB0612"/>
    <w:rsid w:val="00CB10F1"/>
    <w:rsid w:val="00CB1375"/>
    <w:rsid w:val="00CB2772"/>
    <w:rsid w:val="00CB60B6"/>
    <w:rsid w:val="00CB629F"/>
    <w:rsid w:val="00CB6A6E"/>
    <w:rsid w:val="00CB6EF4"/>
    <w:rsid w:val="00CC118C"/>
    <w:rsid w:val="00CC1A11"/>
    <w:rsid w:val="00CC1BC1"/>
    <w:rsid w:val="00CD0AEC"/>
    <w:rsid w:val="00CD10EB"/>
    <w:rsid w:val="00CD1E76"/>
    <w:rsid w:val="00CD2441"/>
    <w:rsid w:val="00CD3C44"/>
    <w:rsid w:val="00CD3F6E"/>
    <w:rsid w:val="00CD4B81"/>
    <w:rsid w:val="00CD643D"/>
    <w:rsid w:val="00CE2A21"/>
    <w:rsid w:val="00CE3F54"/>
    <w:rsid w:val="00CE3F8F"/>
    <w:rsid w:val="00CE4A3E"/>
    <w:rsid w:val="00CE6CB2"/>
    <w:rsid w:val="00CF06AE"/>
    <w:rsid w:val="00CF10AF"/>
    <w:rsid w:val="00CF4274"/>
    <w:rsid w:val="00CF5A27"/>
    <w:rsid w:val="00CF5CE8"/>
    <w:rsid w:val="00D01E9D"/>
    <w:rsid w:val="00D02679"/>
    <w:rsid w:val="00D0278F"/>
    <w:rsid w:val="00D038EC"/>
    <w:rsid w:val="00D03F0F"/>
    <w:rsid w:val="00D20BA9"/>
    <w:rsid w:val="00D24C85"/>
    <w:rsid w:val="00D325EC"/>
    <w:rsid w:val="00D3650D"/>
    <w:rsid w:val="00D36CBD"/>
    <w:rsid w:val="00D377A4"/>
    <w:rsid w:val="00D42A9D"/>
    <w:rsid w:val="00D501BC"/>
    <w:rsid w:val="00D54945"/>
    <w:rsid w:val="00D55969"/>
    <w:rsid w:val="00D5786C"/>
    <w:rsid w:val="00D57C94"/>
    <w:rsid w:val="00D57F60"/>
    <w:rsid w:val="00D6175A"/>
    <w:rsid w:val="00D644B7"/>
    <w:rsid w:val="00D651FB"/>
    <w:rsid w:val="00D67485"/>
    <w:rsid w:val="00D7058E"/>
    <w:rsid w:val="00D70F48"/>
    <w:rsid w:val="00D74F6D"/>
    <w:rsid w:val="00D75AA6"/>
    <w:rsid w:val="00D76538"/>
    <w:rsid w:val="00D76D32"/>
    <w:rsid w:val="00D80300"/>
    <w:rsid w:val="00D848EE"/>
    <w:rsid w:val="00D851AB"/>
    <w:rsid w:val="00D92313"/>
    <w:rsid w:val="00D928C8"/>
    <w:rsid w:val="00D93550"/>
    <w:rsid w:val="00D9587F"/>
    <w:rsid w:val="00DA23B0"/>
    <w:rsid w:val="00DA394E"/>
    <w:rsid w:val="00DA5A96"/>
    <w:rsid w:val="00DB663A"/>
    <w:rsid w:val="00DC072B"/>
    <w:rsid w:val="00DC1920"/>
    <w:rsid w:val="00DC79F9"/>
    <w:rsid w:val="00DD257B"/>
    <w:rsid w:val="00DE2554"/>
    <w:rsid w:val="00DE61F3"/>
    <w:rsid w:val="00DE7623"/>
    <w:rsid w:val="00DF482B"/>
    <w:rsid w:val="00DF67C7"/>
    <w:rsid w:val="00E14E12"/>
    <w:rsid w:val="00E171BC"/>
    <w:rsid w:val="00E2212C"/>
    <w:rsid w:val="00E2306A"/>
    <w:rsid w:val="00E24F81"/>
    <w:rsid w:val="00E2557A"/>
    <w:rsid w:val="00E2559D"/>
    <w:rsid w:val="00E274D8"/>
    <w:rsid w:val="00E36C66"/>
    <w:rsid w:val="00E37A8F"/>
    <w:rsid w:val="00E4247E"/>
    <w:rsid w:val="00E42B68"/>
    <w:rsid w:val="00E43703"/>
    <w:rsid w:val="00E43FA8"/>
    <w:rsid w:val="00E44639"/>
    <w:rsid w:val="00E46AEC"/>
    <w:rsid w:val="00E46CEA"/>
    <w:rsid w:val="00E47A9A"/>
    <w:rsid w:val="00E50993"/>
    <w:rsid w:val="00E516F3"/>
    <w:rsid w:val="00E528F7"/>
    <w:rsid w:val="00E55684"/>
    <w:rsid w:val="00E602D0"/>
    <w:rsid w:val="00E603C8"/>
    <w:rsid w:val="00E64EB9"/>
    <w:rsid w:val="00E64F4D"/>
    <w:rsid w:val="00E6613F"/>
    <w:rsid w:val="00E6770F"/>
    <w:rsid w:val="00E72196"/>
    <w:rsid w:val="00E72615"/>
    <w:rsid w:val="00E753C8"/>
    <w:rsid w:val="00E75858"/>
    <w:rsid w:val="00E75ECD"/>
    <w:rsid w:val="00E76F05"/>
    <w:rsid w:val="00E86A90"/>
    <w:rsid w:val="00E9112A"/>
    <w:rsid w:val="00E94C91"/>
    <w:rsid w:val="00E976A2"/>
    <w:rsid w:val="00E97CBF"/>
    <w:rsid w:val="00EA58FE"/>
    <w:rsid w:val="00EA6897"/>
    <w:rsid w:val="00EA6EF0"/>
    <w:rsid w:val="00EB0855"/>
    <w:rsid w:val="00EB3490"/>
    <w:rsid w:val="00EB4F0F"/>
    <w:rsid w:val="00EC41C3"/>
    <w:rsid w:val="00EC7DBC"/>
    <w:rsid w:val="00EC7F7D"/>
    <w:rsid w:val="00ED2780"/>
    <w:rsid w:val="00ED3258"/>
    <w:rsid w:val="00ED3491"/>
    <w:rsid w:val="00ED6446"/>
    <w:rsid w:val="00ED688E"/>
    <w:rsid w:val="00EE18B8"/>
    <w:rsid w:val="00EE2870"/>
    <w:rsid w:val="00EE48CC"/>
    <w:rsid w:val="00EE617F"/>
    <w:rsid w:val="00EF008E"/>
    <w:rsid w:val="00EF1834"/>
    <w:rsid w:val="00EF1A73"/>
    <w:rsid w:val="00EF589B"/>
    <w:rsid w:val="00EF66C8"/>
    <w:rsid w:val="00EF6CF6"/>
    <w:rsid w:val="00F02B3A"/>
    <w:rsid w:val="00F03716"/>
    <w:rsid w:val="00F048C4"/>
    <w:rsid w:val="00F11B2B"/>
    <w:rsid w:val="00F205E9"/>
    <w:rsid w:val="00F20F1B"/>
    <w:rsid w:val="00F24605"/>
    <w:rsid w:val="00F253B2"/>
    <w:rsid w:val="00F25470"/>
    <w:rsid w:val="00F27237"/>
    <w:rsid w:val="00F2792C"/>
    <w:rsid w:val="00F27E28"/>
    <w:rsid w:val="00F307A2"/>
    <w:rsid w:val="00F3248D"/>
    <w:rsid w:val="00F32C8E"/>
    <w:rsid w:val="00F333DD"/>
    <w:rsid w:val="00F34226"/>
    <w:rsid w:val="00F3628D"/>
    <w:rsid w:val="00F404DF"/>
    <w:rsid w:val="00F424B0"/>
    <w:rsid w:val="00F43F3B"/>
    <w:rsid w:val="00F44A8F"/>
    <w:rsid w:val="00F546BC"/>
    <w:rsid w:val="00F60507"/>
    <w:rsid w:val="00F60736"/>
    <w:rsid w:val="00F63839"/>
    <w:rsid w:val="00F6459B"/>
    <w:rsid w:val="00F66FF2"/>
    <w:rsid w:val="00F67FB8"/>
    <w:rsid w:val="00F7139A"/>
    <w:rsid w:val="00F71D53"/>
    <w:rsid w:val="00F74174"/>
    <w:rsid w:val="00F75079"/>
    <w:rsid w:val="00F76A99"/>
    <w:rsid w:val="00F77FAF"/>
    <w:rsid w:val="00F80395"/>
    <w:rsid w:val="00F81F49"/>
    <w:rsid w:val="00F8456D"/>
    <w:rsid w:val="00F8763E"/>
    <w:rsid w:val="00F90D02"/>
    <w:rsid w:val="00F92FD1"/>
    <w:rsid w:val="00F93467"/>
    <w:rsid w:val="00F94484"/>
    <w:rsid w:val="00F96716"/>
    <w:rsid w:val="00F97AF0"/>
    <w:rsid w:val="00F97E01"/>
    <w:rsid w:val="00FA283E"/>
    <w:rsid w:val="00FB02AC"/>
    <w:rsid w:val="00FB0F9F"/>
    <w:rsid w:val="00FB4C93"/>
    <w:rsid w:val="00FB7EF9"/>
    <w:rsid w:val="00FC013E"/>
    <w:rsid w:val="00FC2844"/>
    <w:rsid w:val="00FC293A"/>
    <w:rsid w:val="00FC3BE2"/>
    <w:rsid w:val="00FD0160"/>
    <w:rsid w:val="00FD23DE"/>
    <w:rsid w:val="00FD2C77"/>
    <w:rsid w:val="00FD3700"/>
    <w:rsid w:val="00FD4516"/>
    <w:rsid w:val="00FD4C3E"/>
    <w:rsid w:val="00FD6E1A"/>
    <w:rsid w:val="00FE184D"/>
    <w:rsid w:val="00FE3845"/>
    <w:rsid w:val="00FE4D42"/>
    <w:rsid w:val="00FE5113"/>
    <w:rsid w:val="00F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D5EEE"/>
  <w15:docId w15:val="{E7C9431A-2DB0-644A-8148-8C8EDC3E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1C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1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FD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0511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0511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5261C1"/>
    <w:rPr>
      <w:rFonts w:asciiTheme="majorHAnsi" w:eastAsiaTheme="majorEastAsia" w:hAnsiTheme="majorHAnsi" w:cstheme="majorBidi"/>
      <w:color w:val="008FD5"/>
      <w:sz w:val="36"/>
      <w:szCs w:val="32"/>
    </w:rPr>
  </w:style>
  <w:style w:type="paragraph" w:styleId="ListParagraph">
    <w:name w:val="List Paragraph"/>
    <w:basedOn w:val="Normal"/>
    <w:uiPriority w:val="34"/>
    <w:qFormat/>
    <w:rsid w:val="00005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8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71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8E"/>
    <w:rPr>
      <w:sz w:val="24"/>
    </w:rPr>
  </w:style>
  <w:style w:type="character" w:styleId="IntenseEmphasis">
    <w:name w:val="Intense Emphasis"/>
    <w:basedOn w:val="DefaultParagraphFont"/>
    <w:uiPriority w:val="21"/>
    <w:qFormat/>
    <w:rsid w:val="00460436"/>
    <w:rPr>
      <w:i/>
      <w:iCs/>
      <w:color w:val="008FD5"/>
    </w:rPr>
  </w:style>
  <w:style w:type="character" w:styleId="Hyperlink">
    <w:name w:val="Hyperlink"/>
    <w:basedOn w:val="DefaultParagraphFont"/>
    <w:uiPriority w:val="99"/>
    <w:unhideWhenUsed/>
    <w:rsid w:val="00230D2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44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44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44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E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602D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70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9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9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9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73B5B"/>
    <w:pPr>
      <w:spacing w:after="0" w:line="240" w:lineRule="auto"/>
    </w:pPr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621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621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C621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E6C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yperlink" Target="http://www.tagnifi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emf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fred.stlouisfed.org/series/BAA" TargetMode="External"/><Relationship Id="rId13" Type="http://schemas.openxmlformats.org/officeDocument/2006/relationships/hyperlink" Target="https://fred.stlouisfed.org/series/HOUST" TargetMode="External"/><Relationship Id="rId18" Type="http://schemas.openxmlformats.org/officeDocument/2006/relationships/hyperlink" Target="https://fred.stlouisfed.org/series/UMCSENT" TargetMode="External"/><Relationship Id="rId3" Type="http://schemas.openxmlformats.org/officeDocument/2006/relationships/hyperlink" Target="https://fred.stlouisfed.org/series/GDPC1" TargetMode="External"/><Relationship Id="rId21" Type="http://schemas.openxmlformats.org/officeDocument/2006/relationships/hyperlink" Target="https://fred.stlouisfed.org/series/PCECTPICTM" TargetMode="External"/><Relationship Id="rId7" Type="http://schemas.openxmlformats.org/officeDocument/2006/relationships/hyperlink" Target="https://fred.stlouisfed.org/series/DGS10" TargetMode="External"/><Relationship Id="rId12" Type="http://schemas.openxmlformats.org/officeDocument/2006/relationships/hyperlink" Target="https://fred.stlouisfed.org/series/PPIACO" TargetMode="External"/><Relationship Id="rId17" Type="http://schemas.openxmlformats.org/officeDocument/2006/relationships/hyperlink" Target="https://fred.stlouisfed.org/series/ALTSALES" TargetMode="External"/><Relationship Id="rId2" Type="http://schemas.openxmlformats.org/officeDocument/2006/relationships/hyperlink" Target="https://fred.stlouisfed.org/series/TWEXB" TargetMode="External"/><Relationship Id="rId16" Type="http://schemas.openxmlformats.org/officeDocument/2006/relationships/hyperlink" Target="https://fred.stlouisfed.org/series/PCE" TargetMode="External"/><Relationship Id="rId20" Type="http://schemas.openxmlformats.org/officeDocument/2006/relationships/hyperlink" Target="https://fred.stlouisfed.org/series/GDPC1CTM" TargetMode="External"/><Relationship Id="rId1" Type="http://schemas.openxmlformats.org/officeDocument/2006/relationships/hyperlink" Target="https://fred.stlouisfed.org/series/MCOILWTICO" TargetMode="External"/><Relationship Id="rId6" Type="http://schemas.openxmlformats.org/officeDocument/2006/relationships/hyperlink" Target="https://fred.stlouisfed.org/series/FEDFUNDS" TargetMode="External"/><Relationship Id="rId11" Type="http://schemas.openxmlformats.org/officeDocument/2006/relationships/hyperlink" Target="https://fred.stlouisfed.org/series/CPIAUCSL" TargetMode="External"/><Relationship Id="rId5" Type="http://schemas.openxmlformats.org/officeDocument/2006/relationships/hyperlink" Target="https://fred.stlouisfed.org/series/DGS1" TargetMode="External"/><Relationship Id="rId15" Type="http://schemas.openxmlformats.org/officeDocument/2006/relationships/hyperlink" Target="https://fred.stlouisfed.org/series/SPCS20RSA" TargetMode="External"/><Relationship Id="rId10" Type="http://schemas.openxmlformats.org/officeDocument/2006/relationships/hyperlink" Target="https://fred.stlouisfed.org/series/UNRATE" TargetMode="External"/><Relationship Id="rId19" Type="http://schemas.openxmlformats.org/officeDocument/2006/relationships/hyperlink" Target="https://fred.stlouisfed.org/series/VIXCLS" TargetMode="External"/><Relationship Id="rId4" Type="http://schemas.openxmlformats.org/officeDocument/2006/relationships/hyperlink" Target="https://fred.stlouisfed.org/series/INDPRO" TargetMode="External"/><Relationship Id="rId9" Type="http://schemas.openxmlformats.org/officeDocument/2006/relationships/hyperlink" Target="https://fred.stlouisfed.org/series/PAYEMS" TargetMode="External"/><Relationship Id="rId14" Type="http://schemas.openxmlformats.org/officeDocument/2006/relationships/hyperlink" Target="https://fred.stlouisfed.org/series/MORTGAGE30US" TargetMode="External"/><Relationship Id="rId22" Type="http://schemas.openxmlformats.org/officeDocument/2006/relationships/hyperlink" Target="https://fred.stlouisfed.org/series/UNRATEC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Designed for business valuation professionals, TagniFi’s Quarterly Economic Update provides timely economic data to satisfy Revenue Ruling 59-60.  </Abstract>
  <CompanyAddress/>
  <CompanyPhone/>
  <CompanyFax/>
  <CompanyEmail>www.tagnifi.com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404209-7805-4326-9696-E67429B7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16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Economic Update</vt:lpstr>
    </vt:vector>
  </TitlesOfParts>
  <Company/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Economic Update</dc:title>
  <dc:subject>For the 3rd Quarter of 2019</dc:subject>
  <dc:creator>Office 365</dc:creator>
  <cp:keywords/>
  <dc:description/>
  <cp:lastModifiedBy>Chad Sandstedt</cp:lastModifiedBy>
  <cp:revision>3</cp:revision>
  <cp:lastPrinted>2019-07-30T23:57:00Z</cp:lastPrinted>
  <dcterms:created xsi:type="dcterms:W3CDTF">2019-11-11T19:45:00Z</dcterms:created>
  <dcterms:modified xsi:type="dcterms:W3CDTF">2019-11-11T19:47:00Z</dcterms:modified>
</cp:coreProperties>
</file>