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25127297"/>
        <w:docPartObj>
          <w:docPartGallery w:val="Cover Pages"/>
          <w:docPartUnique/>
        </w:docPartObj>
      </w:sdtPr>
      <w:sdtEndPr/>
      <w:sdtContent>
        <w:p w14:paraId="5380ED24" w14:textId="77777777" w:rsidR="005B1168" w:rsidRDefault="005B1168" w:rsidP="002E6FDE">
          <w:pPr>
            <w:jc w:val="right"/>
          </w:pPr>
        </w:p>
        <w:p w14:paraId="3B0C0374" w14:textId="77777777" w:rsidR="005B1168" w:rsidRDefault="005B1168" w:rsidP="002E6FDE">
          <w:pPr>
            <w:jc w:val="right"/>
          </w:pPr>
        </w:p>
        <w:p w14:paraId="2ABEC867" w14:textId="14166ACD" w:rsidR="000F1648" w:rsidRDefault="002E6FDE" w:rsidP="002E6FDE">
          <w:pPr>
            <w:jc w:val="right"/>
          </w:pPr>
          <w:r>
            <w:rPr>
              <w:noProof/>
            </w:rPr>
            <w:drawing>
              <wp:inline distT="0" distB="0" distL="0" distR="0" wp14:anchorId="4299616C" wp14:editId="23A7AF10">
                <wp:extent cx="1593215" cy="487222"/>
                <wp:effectExtent l="0" t="0" r="698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gnifi_logo_large_300dpi_fla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3657" cy="493473"/>
                        </a:xfrm>
                        <a:prstGeom prst="rect">
                          <a:avLst/>
                        </a:prstGeom>
                      </pic:spPr>
                    </pic:pic>
                  </a:graphicData>
                </a:graphic>
              </wp:inline>
            </w:drawing>
          </w:r>
        </w:p>
        <w:p w14:paraId="45CC237F" w14:textId="77777777" w:rsidR="000F1648" w:rsidRDefault="000F1648" w:rsidP="002E6FDE">
          <w:pPr>
            <w:jc w:val="right"/>
          </w:pPr>
        </w:p>
        <w:p w14:paraId="149D5EEE" w14:textId="3E547054" w:rsidR="00005111" w:rsidRDefault="00005111" w:rsidP="002E6FDE">
          <w:pPr>
            <w:jc w:val="right"/>
          </w:pPr>
          <w:r>
            <w:rPr>
              <w:noProof/>
            </w:rPr>
            <mc:AlternateContent>
              <mc:Choice Requires="wps">
                <w:drawing>
                  <wp:anchor distT="0" distB="0" distL="114300" distR="114300" simplePos="0" relativeHeight="251656704" behindDoc="0" locked="0" layoutInCell="1" allowOverlap="1" wp14:anchorId="149D5FB9" wp14:editId="4D4E2E2D">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D5FE9" w14:textId="4A56AD66" w:rsidR="00BA05F4" w:rsidRDefault="00BA05F4">
                                <w:pPr>
                                  <w:pStyle w:val="NoSpacing"/>
                                  <w:jc w:val="right"/>
                                  <w:rPr>
                                    <w:color w:val="595959" w:themeColor="text1" w:themeTint="A6"/>
                                    <w:sz w:val="28"/>
                                    <w:szCs w:val="28"/>
                                  </w:rPr>
                                </w:pPr>
                              </w:p>
                              <w:p w14:paraId="641EFF4B" w14:textId="2362ED3A" w:rsidR="00BA05F4" w:rsidRDefault="00BA05F4">
                                <w:pPr>
                                  <w:pStyle w:val="NoSpacing"/>
                                  <w:jc w:val="right"/>
                                  <w:rPr>
                                    <w:color w:val="595959" w:themeColor="text1" w:themeTint="A6"/>
                                    <w:sz w:val="18"/>
                                    <w:szCs w:val="18"/>
                                  </w:rPr>
                                </w:pPr>
                                <w:r>
                                  <w:rPr>
                                    <w:color w:val="595959" w:themeColor="text1" w:themeTint="A6"/>
                                    <w:sz w:val="18"/>
                                    <w:szCs w:val="18"/>
                                  </w:rPr>
                                  <w:t>800-TagniFi</w:t>
                                </w:r>
                              </w:p>
                              <w:p w14:paraId="149D5FEA" w14:textId="0E621728" w:rsidR="00BA05F4" w:rsidRDefault="003B4D22">
                                <w:pPr>
                                  <w:pStyle w:val="NoSpacing"/>
                                  <w:jc w:val="right"/>
                                  <w:rPr>
                                    <w:color w:val="595959" w:themeColor="text1" w:themeTint="A6"/>
                                    <w:sz w:val="18"/>
                                    <w:szCs w:val="18"/>
                                  </w:rPr>
                                </w:pPr>
                                <w:sdt>
                                  <w:sdtPr>
                                    <w:rPr>
                                      <w:color w:val="595959" w:themeColor="text1" w:themeTint="A6"/>
                                      <w:sz w:val="18"/>
                                      <w:szCs w:val="18"/>
                                    </w:rPr>
                                    <w:alias w:val="Email"/>
                                    <w:tag w:val="Email"/>
                                    <w:id w:val="2135518675"/>
                                    <w:dataBinding w:prefixMappings="xmlns:ns0='http://schemas.microsoft.com/office/2006/coverPageProps' " w:xpath="/ns0:CoverPageProperties[1]/ns0:CompanyEmail[1]" w:storeItemID="{55AF091B-3C7A-41E3-B477-F2FDAA23CFDA}"/>
                                    <w:text/>
                                  </w:sdtPr>
                                  <w:sdtEndPr/>
                                  <w:sdtContent>
                                    <w:r w:rsidR="00BA05F4">
                                      <w:rPr>
                                        <w:color w:val="595959" w:themeColor="text1" w:themeTint="A6"/>
                                        <w:sz w:val="18"/>
                                        <w:szCs w:val="18"/>
                                      </w:rPr>
                                      <w:t>www.tagnifi.com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49D5FB9"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5670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149D5FE9" w14:textId="4A56AD66" w:rsidR="00BA05F4" w:rsidRDefault="00BA05F4">
                          <w:pPr>
                            <w:pStyle w:val="NoSpacing"/>
                            <w:jc w:val="right"/>
                            <w:rPr>
                              <w:color w:val="595959" w:themeColor="text1" w:themeTint="A6"/>
                              <w:sz w:val="28"/>
                              <w:szCs w:val="28"/>
                            </w:rPr>
                          </w:pPr>
                        </w:p>
                        <w:p w14:paraId="641EFF4B" w14:textId="2362ED3A" w:rsidR="00BA05F4" w:rsidRDefault="00BA05F4">
                          <w:pPr>
                            <w:pStyle w:val="NoSpacing"/>
                            <w:jc w:val="right"/>
                            <w:rPr>
                              <w:color w:val="595959" w:themeColor="text1" w:themeTint="A6"/>
                              <w:sz w:val="18"/>
                              <w:szCs w:val="18"/>
                            </w:rPr>
                          </w:pPr>
                          <w:r>
                            <w:rPr>
                              <w:color w:val="595959" w:themeColor="text1" w:themeTint="A6"/>
                              <w:sz w:val="18"/>
                              <w:szCs w:val="18"/>
                            </w:rPr>
                            <w:t>800-TagniFi</w:t>
                          </w:r>
                        </w:p>
                        <w:p w14:paraId="149D5FEA" w14:textId="0E621728" w:rsidR="00BA05F4" w:rsidRDefault="003B4D22">
                          <w:pPr>
                            <w:pStyle w:val="NoSpacing"/>
                            <w:jc w:val="right"/>
                            <w:rPr>
                              <w:color w:val="595959" w:themeColor="text1" w:themeTint="A6"/>
                              <w:sz w:val="18"/>
                              <w:szCs w:val="18"/>
                            </w:rPr>
                          </w:pPr>
                          <w:sdt>
                            <w:sdtPr>
                              <w:rPr>
                                <w:color w:val="595959" w:themeColor="text1" w:themeTint="A6"/>
                                <w:sz w:val="18"/>
                                <w:szCs w:val="18"/>
                              </w:rPr>
                              <w:alias w:val="Email"/>
                              <w:tag w:val="Email"/>
                              <w:id w:val="2135518675"/>
                              <w:dataBinding w:prefixMappings="xmlns:ns0='http://schemas.microsoft.com/office/2006/coverPageProps' " w:xpath="/ns0:CoverPageProperties[1]/ns0:CompanyEmail[1]" w:storeItemID="{55AF091B-3C7A-41E3-B477-F2FDAA23CFDA}"/>
                              <w:text/>
                            </w:sdtPr>
                            <w:sdtEndPr/>
                            <w:sdtContent>
                              <w:r w:rsidR="00BA05F4">
                                <w:rPr>
                                  <w:color w:val="595959" w:themeColor="text1" w:themeTint="A6"/>
                                  <w:sz w:val="18"/>
                                  <w:szCs w:val="18"/>
                                </w:rPr>
                                <w:t>www.tagnifi.com</w:t>
                              </w:r>
                            </w:sdtContent>
                          </w:sdt>
                        </w:p>
                      </w:txbxContent>
                    </v:textbox>
                    <w10:wrap type="square" anchorx="page" anchory="page"/>
                  </v:shape>
                </w:pict>
              </mc:Fallback>
            </mc:AlternateContent>
          </w:r>
        </w:p>
        <w:p w14:paraId="149D5EEF" w14:textId="48662BBE" w:rsidR="00005111" w:rsidRDefault="001868CB" w:rsidP="000F1648">
          <w:pPr>
            <w:ind w:hanging="900"/>
          </w:pPr>
          <w:r>
            <w:rPr>
              <w:noProof/>
            </w:rPr>
            <mc:AlternateContent>
              <mc:Choice Requires="wps">
                <w:drawing>
                  <wp:anchor distT="0" distB="0" distL="114300" distR="114300" simplePos="0" relativeHeight="251658752" behindDoc="0" locked="0" layoutInCell="1" allowOverlap="1" wp14:anchorId="149D5FBB" wp14:editId="48C15E45">
                    <wp:simplePos x="0" y="0"/>
                    <wp:positionH relativeFrom="page">
                      <wp:posOffset>1228724</wp:posOffset>
                    </wp:positionH>
                    <wp:positionV relativeFrom="page">
                      <wp:posOffset>7038975</wp:posOffset>
                    </wp:positionV>
                    <wp:extent cx="6313805"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631380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D5FEB" w14:textId="77777777" w:rsidR="00BA05F4" w:rsidRPr="00460436" w:rsidRDefault="00BA05F4">
                                <w:pPr>
                                  <w:pStyle w:val="NoSpacing"/>
                                  <w:jc w:val="right"/>
                                  <w:rPr>
                                    <w:color w:val="008FD5"/>
                                    <w:sz w:val="28"/>
                                    <w:szCs w:val="28"/>
                                  </w:rPr>
                                </w:pPr>
                                <w:r w:rsidRPr="00460436">
                                  <w:rPr>
                                    <w:color w:val="008FD5"/>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149D5FEC" w14:textId="2C8EF4B7" w:rsidR="00BA05F4" w:rsidRDefault="00BA05F4">
                                    <w:pPr>
                                      <w:pStyle w:val="NoSpacing"/>
                                      <w:jc w:val="right"/>
                                      <w:rPr>
                                        <w:color w:val="595959" w:themeColor="text1" w:themeTint="A6"/>
                                        <w:sz w:val="20"/>
                                        <w:szCs w:val="20"/>
                                      </w:rPr>
                                    </w:pPr>
                                    <w:r w:rsidRPr="00005111">
                                      <w:rPr>
                                        <w:color w:val="595959" w:themeColor="text1" w:themeTint="A6"/>
                                        <w:sz w:val="20"/>
                                        <w:szCs w:val="20"/>
                                      </w:rPr>
                                      <w:t xml:space="preserve">Designed for business valuation professionals, TagniFi’s Quarterly Economic </w:t>
                                    </w:r>
                                    <w:r>
                                      <w:rPr>
                                        <w:color w:val="595959" w:themeColor="text1" w:themeTint="A6"/>
                                        <w:sz w:val="20"/>
                                        <w:szCs w:val="20"/>
                                      </w:rPr>
                                      <w:t>Update</w:t>
                                    </w:r>
                                    <w:r w:rsidRPr="00005111">
                                      <w:rPr>
                                        <w:color w:val="595959" w:themeColor="text1" w:themeTint="A6"/>
                                        <w:sz w:val="20"/>
                                        <w:szCs w:val="20"/>
                                      </w:rPr>
                                      <w:t xml:space="preserve"> provides timely economic data</w:t>
                                    </w:r>
                                    <w:r>
                                      <w:rPr>
                                        <w:color w:val="595959" w:themeColor="text1" w:themeTint="A6"/>
                                        <w:sz w:val="20"/>
                                        <w:szCs w:val="20"/>
                                      </w:rPr>
                                      <w:t xml:space="preserve"> to satisfy Revenue Ruling 59-60. </w:t>
                                    </w:r>
                                    <w:r w:rsidRPr="00005111">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149D5FBB" id="Text Box 153" o:spid="_x0000_s1027" type="#_x0000_t202" style="position:absolute;margin-left:96.75pt;margin-top:554.25pt;width:497.15pt;height:79.5pt;z-index:25165875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" filled="f" stroked="f" strokeweight=".5pt">
                    <v:textbox style="mso-fit-shape-to-text:t" inset="126pt,0,54pt,0">
                      <w:txbxContent>
                        <w:p w14:paraId="149D5FEB" w14:textId="77777777" w:rsidR="00BA05F4" w:rsidRPr="00460436" w:rsidRDefault="00BA05F4">
                          <w:pPr>
                            <w:pStyle w:val="NoSpacing"/>
                            <w:jc w:val="right"/>
                            <w:rPr>
                              <w:color w:val="008FD5"/>
                              <w:sz w:val="28"/>
                              <w:szCs w:val="28"/>
                            </w:rPr>
                          </w:pPr>
                          <w:r w:rsidRPr="00460436">
                            <w:rPr>
                              <w:color w:val="008FD5"/>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149D5FEC" w14:textId="2C8EF4B7" w:rsidR="00BA05F4" w:rsidRDefault="00BA05F4">
                              <w:pPr>
                                <w:pStyle w:val="NoSpacing"/>
                                <w:jc w:val="right"/>
                                <w:rPr>
                                  <w:color w:val="595959" w:themeColor="text1" w:themeTint="A6"/>
                                  <w:sz w:val="20"/>
                                  <w:szCs w:val="20"/>
                                </w:rPr>
                              </w:pPr>
                              <w:r w:rsidRPr="00005111">
                                <w:rPr>
                                  <w:color w:val="595959" w:themeColor="text1" w:themeTint="A6"/>
                                  <w:sz w:val="20"/>
                                  <w:szCs w:val="20"/>
                                </w:rPr>
                                <w:t xml:space="preserve">Designed for business valuation professionals, TagniFi’s Quarterly Economic </w:t>
                              </w:r>
                              <w:r>
                                <w:rPr>
                                  <w:color w:val="595959" w:themeColor="text1" w:themeTint="A6"/>
                                  <w:sz w:val="20"/>
                                  <w:szCs w:val="20"/>
                                </w:rPr>
                                <w:t>Update</w:t>
                              </w:r>
                              <w:r w:rsidRPr="00005111">
                                <w:rPr>
                                  <w:color w:val="595959" w:themeColor="text1" w:themeTint="A6"/>
                                  <w:sz w:val="20"/>
                                  <w:szCs w:val="20"/>
                                </w:rPr>
                                <w:t xml:space="preserve"> provides timely economic data</w:t>
                              </w:r>
                              <w:r>
                                <w:rPr>
                                  <w:color w:val="595959" w:themeColor="text1" w:themeTint="A6"/>
                                  <w:sz w:val="20"/>
                                  <w:szCs w:val="20"/>
                                </w:rPr>
                                <w:t xml:space="preserve"> to satisfy Revenue Ruling 59-60. </w:t>
                              </w:r>
                              <w:r w:rsidRPr="00005111">
                                <w:rPr>
                                  <w:color w:val="595959" w:themeColor="text1" w:themeTint="A6"/>
                                  <w:sz w:val="20"/>
                                  <w:szCs w:val="20"/>
                                </w:rPr>
                                <w:t xml:space="preserve"> </w:t>
                              </w:r>
                            </w:p>
                          </w:sdtContent>
                        </w:sdt>
                      </w:txbxContent>
                    </v:textbox>
                    <w10:wrap type="square" anchorx="page" anchory="page"/>
                  </v:shape>
                </w:pict>
              </mc:Fallback>
            </mc:AlternateContent>
          </w:r>
          <w:r w:rsidR="000F1648">
            <w:rPr>
              <w:noProof/>
            </w:rPr>
            <mc:AlternateContent>
              <mc:Choice Requires="wps">
                <w:drawing>
                  <wp:anchor distT="0" distB="0" distL="114300" distR="114300" simplePos="0" relativeHeight="251654656" behindDoc="0" locked="0" layoutInCell="1" allowOverlap="1" wp14:anchorId="149D5FBD" wp14:editId="198431CC">
                    <wp:simplePos x="0" y="0"/>
                    <wp:positionH relativeFrom="page">
                      <wp:posOffset>228600</wp:posOffset>
                    </wp:positionH>
                    <wp:positionV relativeFrom="page">
                      <wp:posOffset>5173980</wp:posOffset>
                    </wp:positionV>
                    <wp:extent cx="7315200" cy="148844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488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D5FED" w14:textId="77777777" w:rsidR="00BA05F4" w:rsidRPr="00460436" w:rsidRDefault="003B4D22" w:rsidP="0099783F">
                                <w:pPr>
                                  <w:ind w:left="-1260"/>
                                  <w:jc w:val="right"/>
                                  <w:rPr>
                                    <w:color w:val="008FD5"/>
                                    <w:sz w:val="64"/>
                                    <w:szCs w:val="64"/>
                                  </w:rPr>
                                </w:pPr>
                                <w:sdt>
                                  <w:sdtPr>
                                    <w:rPr>
                                      <w:caps/>
                                      <w:color w:val="008FD5"/>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A05F4" w:rsidRPr="00460436">
                                      <w:rPr>
                                        <w:caps/>
                                        <w:color w:val="008FD5"/>
                                        <w:sz w:val="64"/>
                                        <w:szCs w:val="64"/>
                                      </w:rPr>
                                      <w:t>Quarterly Economic Update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49D5FEE" w14:textId="755819CC" w:rsidR="00BA05F4" w:rsidRDefault="00BA05F4">
                                    <w:pPr>
                                      <w:jc w:val="right"/>
                                      <w:rPr>
                                        <w:smallCaps/>
                                        <w:color w:val="404040" w:themeColor="text1" w:themeTint="BF"/>
                                        <w:sz w:val="36"/>
                                        <w:szCs w:val="36"/>
                                      </w:rPr>
                                    </w:pPr>
                                    <w:r>
                                      <w:rPr>
                                        <w:color w:val="404040" w:themeColor="text1" w:themeTint="BF"/>
                                        <w:sz w:val="36"/>
                                        <w:szCs w:val="36"/>
                                      </w:rPr>
                                      <w:t>For the 4th Quarter of 20</w:t>
                                    </w:r>
                                    <w:r w:rsidR="00C02783">
                                      <w:rPr>
                                        <w:color w:val="404040" w:themeColor="text1" w:themeTint="BF"/>
                                        <w:sz w:val="36"/>
                                        <w:szCs w:val="36"/>
                                      </w:rPr>
                                      <w:t>19</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49D5FBD" id="Text Box 154" o:spid="_x0000_s1028" type="#_x0000_t202" style="position:absolute;margin-left:18pt;margin-top:407.4pt;width:8in;height:117.2pt;z-index:251654656;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" filled="f" stroked="f" strokeweight=".5pt">
                    <v:textbox inset="126pt,0,54pt,0">
                      <w:txbxContent>
                        <w:p w14:paraId="149D5FED" w14:textId="77777777" w:rsidR="00BA05F4" w:rsidRPr="00460436" w:rsidRDefault="003B4D22" w:rsidP="0099783F">
                          <w:pPr>
                            <w:ind w:left="-1260"/>
                            <w:jc w:val="right"/>
                            <w:rPr>
                              <w:color w:val="008FD5"/>
                              <w:sz w:val="64"/>
                              <w:szCs w:val="64"/>
                            </w:rPr>
                          </w:pPr>
                          <w:sdt>
                            <w:sdtPr>
                              <w:rPr>
                                <w:caps/>
                                <w:color w:val="008FD5"/>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A05F4" w:rsidRPr="00460436">
                                <w:rPr>
                                  <w:caps/>
                                  <w:color w:val="008FD5"/>
                                  <w:sz w:val="64"/>
                                  <w:szCs w:val="64"/>
                                </w:rPr>
                                <w:t>Quarterly Economic Update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49D5FEE" w14:textId="755819CC" w:rsidR="00BA05F4" w:rsidRDefault="00BA05F4">
                              <w:pPr>
                                <w:jc w:val="right"/>
                                <w:rPr>
                                  <w:smallCaps/>
                                  <w:color w:val="404040" w:themeColor="text1" w:themeTint="BF"/>
                                  <w:sz w:val="36"/>
                                  <w:szCs w:val="36"/>
                                </w:rPr>
                              </w:pPr>
                              <w:r>
                                <w:rPr>
                                  <w:color w:val="404040" w:themeColor="text1" w:themeTint="BF"/>
                                  <w:sz w:val="36"/>
                                  <w:szCs w:val="36"/>
                                </w:rPr>
                                <w:t>For the 4th Quarter of 20</w:t>
                              </w:r>
                              <w:r w:rsidR="00C02783">
                                <w:rPr>
                                  <w:color w:val="404040" w:themeColor="text1" w:themeTint="BF"/>
                                  <w:sz w:val="36"/>
                                  <w:szCs w:val="36"/>
                                </w:rPr>
                                <w:t>19</w:t>
                              </w:r>
                            </w:p>
                          </w:sdtContent>
                        </w:sdt>
                      </w:txbxContent>
                    </v:textbox>
                    <w10:wrap type="square" anchorx="page" anchory="page"/>
                  </v:shape>
                </w:pict>
              </mc:Fallback>
            </mc:AlternateContent>
          </w:r>
          <w:r w:rsidR="00005111">
            <w:br w:type="page"/>
          </w:r>
        </w:p>
      </w:sdtContent>
    </w:sdt>
    <w:p w14:paraId="149D5EF0" w14:textId="77777777" w:rsidR="00217AD5" w:rsidRDefault="00005111" w:rsidP="00005111">
      <w:pPr>
        <w:pStyle w:val="Heading1"/>
      </w:pPr>
      <w:r>
        <w:lastRenderedPageBreak/>
        <w:t>Summary</w:t>
      </w:r>
    </w:p>
    <w:p w14:paraId="2075548B" w14:textId="54D33B88" w:rsidR="006748EE" w:rsidRDefault="006055F4" w:rsidP="00005111">
      <w:r w:rsidRPr="00FE67AA">
        <w:t>Real</w:t>
      </w:r>
      <w:r w:rsidR="00F44A8F" w:rsidRPr="00FE67AA">
        <w:t xml:space="preserve"> GDP</w:t>
      </w:r>
      <w:r w:rsidRPr="00FE67AA">
        <w:t xml:space="preserve"> </w:t>
      </w:r>
      <w:r w:rsidR="000D646D" w:rsidRPr="00FE67AA">
        <w:t>grew modestly during the 4</w:t>
      </w:r>
      <w:r w:rsidR="000D646D" w:rsidRPr="00FE67AA">
        <w:rPr>
          <w:vertAlign w:val="superscript"/>
        </w:rPr>
        <w:t>th</w:t>
      </w:r>
      <w:r w:rsidR="000D646D" w:rsidRPr="00FE67AA">
        <w:t xml:space="preserve"> quarter</w:t>
      </w:r>
      <w:r w:rsidR="00A52E02" w:rsidRPr="00FE67AA">
        <w:t>, meeting economists’ expectations</w:t>
      </w:r>
      <w:r w:rsidR="00337BD8" w:rsidRPr="00FE67AA">
        <w:t>.</w:t>
      </w:r>
      <w:r w:rsidR="00551864" w:rsidRPr="00FE67AA">
        <w:t xml:space="preserve"> </w:t>
      </w:r>
      <w:r w:rsidR="00A52E02" w:rsidRPr="00FE67AA">
        <w:t>Continued sluggishness in business investment held back growth, but p</w:t>
      </w:r>
      <w:r w:rsidR="00B66CC0" w:rsidRPr="00FE67AA">
        <w:t>ersonal and government spending</w:t>
      </w:r>
      <w:r w:rsidR="000A79DC" w:rsidRPr="00FE67AA">
        <w:t xml:space="preserve"> </w:t>
      </w:r>
      <w:r w:rsidR="00A52E02" w:rsidRPr="00FE67AA">
        <w:t>continued to increase</w:t>
      </w:r>
      <w:r w:rsidR="006748EE" w:rsidRPr="00FE67AA">
        <w:t xml:space="preserve">. </w:t>
      </w:r>
      <w:r w:rsidR="00A52E02" w:rsidRPr="00FE67AA">
        <w:t>T</w:t>
      </w:r>
      <w:r w:rsidR="00B66CC0" w:rsidRPr="00FE67AA">
        <w:t xml:space="preserve">he Federal Reserve </w:t>
      </w:r>
      <w:r w:rsidR="000A79DC" w:rsidRPr="00FE67AA">
        <w:t>cut</w:t>
      </w:r>
      <w:r w:rsidR="00551864" w:rsidRPr="00FE67AA">
        <w:t xml:space="preserve"> </w:t>
      </w:r>
      <w:r w:rsidR="00B66CC0" w:rsidRPr="00FE67AA">
        <w:t>target interest rate</w:t>
      </w:r>
      <w:r w:rsidR="000A79DC" w:rsidRPr="00FE67AA">
        <w:t xml:space="preserve">s </w:t>
      </w:r>
      <w:r w:rsidR="00A52E02" w:rsidRPr="00FE67AA">
        <w:t>once more in</w:t>
      </w:r>
      <w:r w:rsidR="009972A2" w:rsidRPr="00FE67AA">
        <w:t xml:space="preserve"> </w:t>
      </w:r>
      <w:r w:rsidR="00C742C8" w:rsidRPr="00FE67AA">
        <w:t>the</w:t>
      </w:r>
      <w:r w:rsidR="00A52E02" w:rsidRPr="00FE67AA">
        <w:t xml:space="preserve"> 4</w:t>
      </w:r>
      <w:r w:rsidR="00A52E02" w:rsidRPr="00FE67AA">
        <w:rPr>
          <w:vertAlign w:val="superscript"/>
        </w:rPr>
        <w:t>th</w:t>
      </w:r>
      <w:r w:rsidR="00A52E02" w:rsidRPr="00FE67AA">
        <w:t xml:space="preserve"> </w:t>
      </w:r>
      <w:r w:rsidR="00C742C8" w:rsidRPr="00FE67AA">
        <w:t>quarter</w:t>
      </w:r>
      <w:r w:rsidR="00B66CC0" w:rsidRPr="00FE67AA">
        <w:t xml:space="preserve">, </w:t>
      </w:r>
      <w:r w:rsidR="00A52E02" w:rsidRPr="00FE67AA">
        <w:t>for a total of three times throughout the year, lowering debt costs amid a trillion-dollar federal budget deficit</w:t>
      </w:r>
      <w:r w:rsidR="00B66CC0" w:rsidRPr="00FE67AA">
        <w:t>.</w:t>
      </w:r>
    </w:p>
    <w:p w14:paraId="75593519" w14:textId="3C07AA7B" w:rsidR="00A96A6A" w:rsidRDefault="00B66CC0" w:rsidP="00551864">
      <w:r>
        <w:t>O</w:t>
      </w:r>
      <w:r w:rsidR="003316E9">
        <w:t xml:space="preserve">il prices </w:t>
      </w:r>
      <w:r w:rsidR="00643797">
        <w:t>rose</w:t>
      </w:r>
      <w:r w:rsidR="00FB4C93">
        <w:t xml:space="preserve"> during the </w:t>
      </w:r>
      <w:r w:rsidR="001235D8">
        <w:t>4</w:t>
      </w:r>
      <w:r w:rsidR="001235D8" w:rsidRPr="001235D8">
        <w:rPr>
          <w:vertAlign w:val="superscript"/>
        </w:rPr>
        <w:t>th</w:t>
      </w:r>
      <w:r w:rsidR="001235D8">
        <w:t xml:space="preserve"> </w:t>
      </w:r>
      <w:r>
        <w:t>quarter as</w:t>
      </w:r>
      <w:r w:rsidR="00643797">
        <w:t xml:space="preserve"> </w:t>
      </w:r>
      <w:r w:rsidR="001235D8">
        <w:t>U.S. crude oil inventories dropped faster than expected</w:t>
      </w:r>
      <w:r w:rsidR="00643797">
        <w:t xml:space="preserve">. </w:t>
      </w:r>
      <w:r w:rsidR="001235D8">
        <w:t>Strong stock market performance</w:t>
      </w:r>
      <w:r w:rsidR="00987FB6">
        <w:t xml:space="preserve">, reflecting optimism for a U.S.-China trade deal, </w:t>
      </w:r>
      <w:r w:rsidR="001235D8">
        <w:t>also helped bolster oil prices</w:t>
      </w:r>
      <w:r w:rsidR="00FB4C93">
        <w:t xml:space="preserve">. </w:t>
      </w:r>
      <w:r w:rsidR="00337BD8">
        <w:t>C</w:t>
      </w:r>
      <w:r w:rsidR="00FE3845">
        <w:t xml:space="preserve">rude oil </w:t>
      </w:r>
      <w:r w:rsidR="00EA6897">
        <w:t>prices</w:t>
      </w:r>
      <w:r w:rsidR="00BC6211">
        <w:rPr>
          <w:rStyle w:val="FootnoteReference"/>
        </w:rPr>
        <w:footnoteReference w:id="1"/>
      </w:r>
      <w:r w:rsidR="00EA6897">
        <w:t xml:space="preserve"> </w:t>
      </w:r>
      <w:r w:rsidR="00FB4C93">
        <w:t xml:space="preserve">ended the </w:t>
      </w:r>
      <w:r w:rsidR="00643797">
        <w:t>quarter at $5</w:t>
      </w:r>
      <w:r w:rsidR="001235D8">
        <w:t>9</w:t>
      </w:r>
      <w:r w:rsidR="00643797">
        <w:t>.</w:t>
      </w:r>
      <w:r w:rsidR="001235D8">
        <w:t>88</w:t>
      </w:r>
      <w:r w:rsidR="00490AFD">
        <w:t xml:space="preserve"> per barrel </w:t>
      </w:r>
      <w:r w:rsidR="00337BD8">
        <w:t xml:space="preserve">in </w:t>
      </w:r>
      <w:r w:rsidR="001235D8">
        <w:t>December</w:t>
      </w:r>
      <w:r w:rsidR="00337BD8">
        <w:t xml:space="preserve">, </w:t>
      </w:r>
      <w:r w:rsidR="00643797">
        <w:t xml:space="preserve">up </w:t>
      </w:r>
      <w:r w:rsidR="001235D8">
        <w:t>5.1</w:t>
      </w:r>
      <w:r w:rsidR="00027E1E">
        <w:t>% from the previous quarter</w:t>
      </w:r>
      <w:r w:rsidR="00F27E28">
        <w:t xml:space="preserve">. Prices </w:t>
      </w:r>
      <w:r w:rsidR="00D01E9D">
        <w:t xml:space="preserve">for crude oil </w:t>
      </w:r>
      <w:r w:rsidR="00F27E28">
        <w:t xml:space="preserve">were </w:t>
      </w:r>
      <w:r w:rsidR="001235D8">
        <w:t>20.9</w:t>
      </w:r>
      <w:r w:rsidR="00D851AB" w:rsidRPr="00892D49">
        <w:t xml:space="preserve">% </w:t>
      </w:r>
      <w:r w:rsidR="001235D8">
        <w:t>higher</w:t>
      </w:r>
      <w:r w:rsidR="00F27E28">
        <w:t xml:space="preserve"> than</w:t>
      </w:r>
      <w:r w:rsidR="000017CB" w:rsidRPr="00892D49">
        <w:t xml:space="preserve"> last </w:t>
      </w:r>
      <w:r w:rsidR="001235D8">
        <w:t>December</w:t>
      </w:r>
      <w:r w:rsidR="00A5218C">
        <w:t>.</w:t>
      </w:r>
    </w:p>
    <w:p w14:paraId="7739DC43" w14:textId="78900274" w:rsidR="00A96A6A" w:rsidRDefault="005E797B" w:rsidP="006D4E8F">
      <w:pPr>
        <w:jc w:val="center"/>
      </w:pPr>
      <w:r>
        <w:rPr>
          <w:noProof/>
        </w:rPr>
        <w:drawing>
          <wp:inline distT="0" distB="0" distL="0" distR="0" wp14:anchorId="2A76596B" wp14:editId="4771ECA3">
            <wp:extent cx="360934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340" cy="2743200"/>
                    </a:xfrm>
                    <a:prstGeom prst="rect">
                      <a:avLst/>
                    </a:prstGeom>
                    <a:noFill/>
                  </pic:spPr>
                </pic:pic>
              </a:graphicData>
            </a:graphic>
          </wp:inline>
        </w:drawing>
      </w:r>
    </w:p>
    <w:p w14:paraId="022CFF26" w14:textId="256BE304" w:rsidR="003477B7" w:rsidRDefault="00CA4851" w:rsidP="00AF2763">
      <w:r>
        <w:t>T</w:t>
      </w:r>
      <w:r w:rsidR="009E4D8D" w:rsidRPr="00CA74AC">
        <w:t>he U.S. dollar index</w:t>
      </w:r>
      <w:r w:rsidR="00053E46">
        <w:rPr>
          <w:rStyle w:val="FootnoteReference"/>
        </w:rPr>
        <w:footnoteReference w:id="2"/>
      </w:r>
      <w:r w:rsidR="009E4D8D" w:rsidRPr="00CA74AC">
        <w:t xml:space="preserve"> </w:t>
      </w:r>
      <w:r w:rsidR="00FE67AA">
        <w:t>declined</w:t>
      </w:r>
      <w:r w:rsidR="001C7617">
        <w:t xml:space="preserve"> at the end of 2019</w:t>
      </w:r>
      <w:r>
        <w:t xml:space="preserve">, </w:t>
      </w:r>
      <w:r w:rsidR="001C7617">
        <w:t>down 1.19</w:t>
      </w:r>
      <w:r w:rsidR="009E4D8D" w:rsidRPr="00CA74AC">
        <w:t xml:space="preserve">% from the </w:t>
      </w:r>
      <w:r w:rsidR="001C7617">
        <w:t>3</w:t>
      </w:r>
      <w:r w:rsidR="001C7617" w:rsidRPr="001C7617">
        <w:rPr>
          <w:vertAlign w:val="superscript"/>
        </w:rPr>
        <w:t>rd</w:t>
      </w:r>
      <w:r w:rsidR="001C7617">
        <w:t xml:space="preserve"> </w:t>
      </w:r>
      <w:r w:rsidR="009E4D8D" w:rsidRPr="00CA74AC">
        <w:t>quarter</w:t>
      </w:r>
      <w:r w:rsidR="001C7617">
        <w:t>, yet up 0.48</w:t>
      </w:r>
      <w:r w:rsidR="009E4D8D" w:rsidRPr="00CA74AC">
        <w:t xml:space="preserve">% </w:t>
      </w:r>
      <w:r w:rsidR="007F5A38">
        <w:t>compared with</w:t>
      </w:r>
      <w:r w:rsidR="009E4D8D" w:rsidRPr="00CA74AC">
        <w:t xml:space="preserve"> the </w:t>
      </w:r>
      <w:r w:rsidR="001C7617">
        <w:t>4</w:t>
      </w:r>
      <w:r w:rsidR="001C7617" w:rsidRPr="001C7617">
        <w:rPr>
          <w:vertAlign w:val="superscript"/>
        </w:rPr>
        <w:t>th</w:t>
      </w:r>
      <w:r w:rsidR="001C7617">
        <w:t xml:space="preserve"> </w:t>
      </w:r>
      <w:r w:rsidR="00D01E9D">
        <w:t>quarter</w:t>
      </w:r>
      <w:r w:rsidR="009E4D8D" w:rsidRPr="00CA74AC">
        <w:t xml:space="preserve"> last year.</w:t>
      </w:r>
      <w:r w:rsidR="00E24F81" w:rsidRPr="00CA74AC">
        <w:t xml:space="preserve"> </w:t>
      </w:r>
      <w:r>
        <w:t>The</w:t>
      </w:r>
      <w:r w:rsidR="00AA37BC">
        <w:t xml:space="preserve"> dollar </w:t>
      </w:r>
      <w:r w:rsidR="001C7617">
        <w:t>weakened as U.S. economic growth slowed relative to other global economies</w:t>
      </w:r>
      <w:r w:rsidR="00E37A8F">
        <w:t>.</w:t>
      </w:r>
      <w:r w:rsidR="001C7617">
        <w:t xml:space="preserve"> Progress in the U.S.-China trade war</w:t>
      </w:r>
      <w:r w:rsidR="000F4AC6">
        <w:t>, U.S.-Canada-Mexico trade negotiations,</w:t>
      </w:r>
      <w:r w:rsidR="001C7617">
        <w:t xml:space="preserve"> and Brexit dealings in Europe have strengthened economic prospects </w:t>
      </w:r>
      <w:r w:rsidR="000F4AC6">
        <w:t>outside U.S. borders</w:t>
      </w:r>
      <w:r w:rsidR="001C7617">
        <w:t>.</w:t>
      </w:r>
    </w:p>
    <w:p w14:paraId="5FD9C9E3" w14:textId="2B19B64A" w:rsidR="004D1C9D" w:rsidRDefault="005E797B" w:rsidP="006D4E8F">
      <w:pPr>
        <w:jc w:val="center"/>
      </w:pPr>
      <w:r>
        <w:rPr>
          <w:noProof/>
        </w:rPr>
        <w:lastRenderedPageBreak/>
        <w:drawing>
          <wp:inline distT="0" distB="0" distL="0" distR="0" wp14:anchorId="458D78FE" wp14:editId="0D5904CC">
            <wp:extent cx="4097020" cy="274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7020" cy="2749550"/>
                    </a:xfrm>
                    <a:prstGeom prst="rect">
                      <a:avLst/>
                    </a:prstGeom>
                    <a:noFill/>
                  </pic:spPr>
                </pic:pic>
              </a:graphicData>
            </a:graphic>
          </wp:inline>
        </w:drawing>
      </w:r>
    </w:p>
    <w:p w14:paraId="149D5EF9" w14:textId="77777777" w:rsidR="002731EF" w:rsidRDefault="002731EF" w:rsidP="001475FF">
      <w:pPr>
        <w:pStyle w:val="Heading1"/>
      </w:pPr>
      <w:r>
        <w:t>Economic Highlights</w:t>
      </w:r>
    </w:p>
    <w:p w14:paraId="149D5EFA" w14:textId="3E3287DB" w:rsidR="002608F3" w:rsidRPr="00FE67AA" w:rsidRDefault="002608F3" w:rsidP="00E528F7">
      <w:pPr>
        <w:pStyle w:val="ListParagraph"/>
        <w:numPr>
          <w:ilvl w:val="0"/>
          <w:numId w:val="3"/>
        </w:numPr>
      </w:pPr>
      <w:r w:rsidRPr="00FE67AA">
        <w:t>Real GDP gr</w:t>
      </w:r>
      <w:r w:rsidR="00AA37BC" w:rsidRPr="00FE67AA">
        <w:t>ew at</w:t>
      </w:r>
      <w:r w:rsidR="00F44A8F" w:rsidRPr="00FE67AA">
        <w:t xml:space="preserve"> </w:t>
      </w:r>
      <w:r w:rsidRPr="00FE67AA">
        <w:t xml:space="preserve">an annual rate of </w:t>
      </w:r>
      <w:r w:rsidR="00FE67AA" w:rsidRPr="00FE67AA">
        <w:t>2.1</w:t>
      </w:r>
      <w:r w:rsidRPr="00FE67AA">
        <w:t>%</w:t>
      </w:r>
      <w:r w:rsidR="00F44A8F" w:rsidRPr="00FE67AA">
        <w:t xml:space="preserve"> in the </w:t>
      </w:r>
      <w:r w:rsidR="00FE67AA" w:rsidRPr="00FE67AA">
        <w:t>4</w:t>
      </w:r>
      <w:r w:rsidR="00FE67AA" w:rsidRPr="00FE67AA">
        <w:rPr>
          <w:vertAlign w:val="superscript"/>
        </w:rPr>
        <w:t>th</w:t>
      </w:r>
      <w:r w:rsidR="00FE67AA" w:rsidRPr="00FE67AA">
        <w:t xml:space="preserve"> </w:t>
      </w:r>
      <w:r w:rsidR="00F44A8F" w:rsidRPr="00FE67AA">
        <w:t>quarter</w:t>
      </w:r>
      <w:r w:rsidRPr="00FE67AA">
        <w:t>,</w:t>
      </w:r>
      <w:r w:rsidR="00AA37BC" w:rsidRPr="00FE67AA">
        <w:t xml:space="preserve"> </w:t>
      </w:r>
      <w:r w:rsidR="00FE67AA" w:rsidRPr="00FE67AA">
        <w:t>holding steady</w:t>
      </w:r>
      <w:r w:rsidRPr="00FE67AA">
        <w:t xml:space="preserve"> </w:t>
      </w:r>
      <w:r w:rsidR="00F74174" w:rsidRPr="00FE67AA">
        <w:t>from</w:t>
      </w:r>
      <w:r w:rsidRPr="00FE67AA">
        <w:t xml:space="preserve"> the previous quarter</w:t>
      </w:r>
      <w:r w:rsidR="00AA37BC" w:rsidRPr="00FE67AA">
        <w:t xml:space="preserve">, </w:t>
      </w:r>
      <w:r w:rsidR="00FE67AA" w:rsidRPr="00FE67AA">
        <w:t>in line with</w:t>
      </w:r>
      <w:r w:rsidR="00AA37BC" w:rsidRPr="00FE67AA">
        <w:t xml:space="preserve"> economists</w:t>
      </w:r>
      <w:r w:rsidR="001868CB" w:rsidRPr="00FE67AA">
        <w:t>’</w:t>
      </w:r>
      <w:r w:rsidR="00AA37BC" w:rsidRPr="00FE67AA">
        <w:t xml:space="preserve"> expectations</w:t>
      </w:r>
      <w:r w:rsidRPr="00FE67AA">
        <w:t>.</w:t>
      </w:r>
    </w:p>
    <w:p w14:paraId="149D5EFB" w14:textId="6FFAC197" w:rsidR="002731EF" w:rsidRPr="00FE67AA" w:rsidRDefault="003E4ACB" w:rsidP="00E528F7">
      <w:pPr>
        <w:pStyle w:val="ListParagraph"/>
        <w:numPr>
          <w:ilvl w:val="0"/>
          <w:numId w:val="3"/>
        </w:numPr>
      </w:pPr>
      <w:r w:rsidRPr="00FE67AA">
        <w:t xml:space="preserve">Oil prices </w:t>
      </w:r>
      <w:r w:rsidR="00CD10EB" w:rsidRPr="00FE67AA">
        <w:t>rose</w:t>
      </w:r>
      <w:r w:rsidRPr="00FE67AA">
        <w:t xml:space="preserve">, with WTI crude </w:t>
      </w:r>
      <w:r w:rsidR="00CD10EB" w:rsidRPr="00FE67AA">
        <w:t>up</w:t>
      </w:r>
      <w:r w:rsidR="00E37A8F" w:rsidRPr="00FE67AA">
        <w:t xml:space="preserve"> to</w:t>
      </w:r>
      <w:r w:rsidRPr="00FE67AA">
        <w:t xml:space="preserve"> </w:t>
      </w:r>
      <w:r w:rsidR="006575D2" w:rsidRPr="00FE67AA">
        <w:t>$</w:t>
      </w:r>
      <w:r w:rsidR="00CD10EB" w:rsidRPr="00FE67AA">
        <w:t>5</w:t>
      </w:r>
      <w:r w:rsidR="00FE67AA" w:rsidRPr="00FE67AA">
        <w:t xml:space="preserve">9.88 </w:t>
      </w:r>
      <w:r w:rsidR="00D851AB" w:rsidRPr="00FE67AA">
        <w:t xml:space="preserve">per barrel in </w:t>
      </w:r>
      <w:r w:rsidR="00FE67AA" w:rsidRPr="00FE67AA">
        <w:t>December</w:t>
      </w:r>
      <w:r w:rsidRPr="00FE67AA">
        <w:t>.</w:t>
      </w:r>
    </w:p>
    <w:p w14:paraId="149D5EFC" w14:textId="250BEB0B" w:rsidR="00E24F81" w:rsidRPr="00FE67AA" w:rsidRDefault="00E24F81" w:rsidP="00E528F7">
      <w:pPr>
        <w:pStyle w:val="ListParagraph"/>
        <w:numPr>
          <w:ilvl w:val="0"/>
          <w:numId w:val="3"/>
        </w:numPr>
      </w:pPr>
      <w:r w:rsidRPr="00FE67AA">
        <w:t xml:space="preserve">The U.S. dollar index </w:t>
      </w:r>
      <w:r w:rsidR="00FE67AA" w:rsidRPr="00FE67AA">
        <w:t>fell 1.19</w:t>
      </w:r>
      <w:r w:rsidRPr="00FE67AA">
        <w:t xml:space="preserve">% in the </w:t>
      </w:r>
      <w:r w:rsidR="00CD10EB" w:rsidRPr="00FE67AA">
        <w:t>3</w:t>
      </w:r>
      <w:r w:rsidR="00CD10EB" w:rsidRPr="00FE67AA">
        <w:rPr>
          <w:vertAlign w:val="superscript"/>
        </w:rPr>
        <w:t>rd</w:t>
      </w:r>
      <w:r w:rsidR="00CD10EB" w:rsidRPr="00FE67AA">
        <w:t xml:space="preserve"> </w:t>
      </w:r>
      <w:r w:rsidRPr="00FE67AA">
        <w:t xml:space="preserve">quarter </w:t>
      </w:r>
      <w:r w:rsidR="00FE67AA" w:rsidRPr="00FE67AA">
        <w:t>but rose 0.48</w:t>
      </w:r>
      <w:r w:rsidRPr="00FE67AA">
        <w:t xml:space="preserve">% </w:t>
      </w:r>
      <w:r w:rsidR="00311E77">
        <w:t>compared with</w:t>
      </w:r>
      <w:r w:rsidRPr="00FE67AA">
        <w:t xml:space="preserve"> the same period last year.</w:t>
      </w:r>
    </w:p>
    <w:p w14:paraId="149D5EFD" w14:textId="66EA98D0" w:rsidR="0076717F" w:rsidRPr="00FE67AA" w:rsidRDefault="00E50993" w:rsidP="00E528F7">
      <w:pPr>
        <w:pStyle w:val="ListParagraph"/>
        <w:numPr>
          <w:ilvl w:val="0"/>
          <w:numId w:val="3"/>
        </w:numPr>
      </w:pPr>
      <w:r w:rsidRPr="00FE67AA">
        <w:t xml:space="preserve">In </w:t>
      </w:r>
      <w:r w:rsidR="00FE67AA" w:rsidRPr="00FE67AA">
        <w:t>December</w:t>
      </w:r>
      <w:r w:rsidR="00E37A8F" w:rsidRPr="00FE67AA">
        <w:t>,</w:t>
      </w:r>
      <w:r w:rsidRPr="00FE67AA">
        <w:t xml:space="preserve"> the Federal Reserve </w:t>
      </w:r>
      <w:r w:rsidR="00FE67AA" w:rsidRPr="00FE67AA">
        <w:t>held</w:t>
      </w:r>
      <w:r w:rsidR="00E37A8F" w:rsidRPr="00FE67AA">
        <w:t xml:space="preserve"> the federal funds target rate </w:t>
      </w:r>
      <w:r w:rsidR="00FE67AA" w:rsidRPr="00FE67AA">
        <w:t>stable at</w:t>
      </w:r>
      <w:r w:rsidR="00E37A8F" w:rsidRPr="00FE67AA">
        <w:t xml:space="preserve"> a range of </w:t>
      </w:r>
      <w:r w:rsidR="005117CA" w:rsidRPr="00FE67AA">
        <w:t>1.</w:t>
      </w:r>
      <w:r w:rsidR="00FE67AA" w:rsidRPr="00FE67AA">
        <w:t>50</w:t>
      </w:r>
      <w:r w:rsidR="00E37A8F" w:rsidRPr="00FE67AA">
        <w:t xml:space="preserve"> to </w:t>
      </w:r>
      <w:r w:rsidR="00FE67AA" w:rsidRPr="00FE67AA">
        <w:t>1.75</w:t>
      </w:r>
      <w:r w:rsidR="00E37A8F" w:rsidRPr="00FE67AA">
        <w:t xml:space="preserve"> percent</w:t>
      </w:r>
      <w:r w:rsidR="00FE67AA" w:rsidRPr="00FE67AA">
        <w:t>, after one</w:t>
      </w:r>
      <w:r w:rsidR="00C742C8" w:rsidRPr="00FE67AA">
        <w:t xml:space="preserve"> target rate cut</w:t>
      </w:r>
      <w:r w:rsidR="00FE67AA" w:rsidRPr="00FE67AA">
        <w:t xml:space="preserve"> of 25</w:t>
      </w:r>
      <w:r w:rsidR="00C742C8" w:rsidRPr="00FE67AA">
        <w:t xml:space="preserve"> basis points </w:t>
      </w:r>
      <w:r w:rsidR="00FE67AA" w:rsidRPr="00FE67AA">
        <w:t xml:space="preserve">earlier </w:t>
      </w:r>
      <w:r w:rsidR="00C742C8" w:rsidRPr="00FE67AA">
        <w:t xml:space="preserve">in the </w:t>
      </w:r>
      <w:r w:rsidR="00FE67AA" w:rsidRPr="00FE67AA">
        <w:t>4</w:t>
      </w:r>
      <w:r w:rsidR="00FE67AA" w:rsidRPr="00FE67AA">
        <w:rPr>
          <w:vertAlign w:val="superscript"/>
        </w:rPr>
        <w:t>th</w:t>
      </w:r>
      <w:r w:rsidR="00FE67AA" w:rsidRPr="00FE67AA">
        <w:t xml:space="preserve"> </w:t>
      </w:r>
      <w:r w:rsidR="00C742C8" w:rsidRPr="00FE67AA">
        <w:t>quarter.</w:t>
      </w:r>
    </w:p>
    <w:p w14:paraId="149D5EFE" w14:textId="68FCF315" w:rsidR="003E4ACB" w:rsidRPr="00FE67AA" w:rsidRDefault="00FE67AA" w:rsidP="00E528F7">
      <w:pPr>
        <w:pStyle w:val="ListParagraph"/>
        <w:numPr>
          <w:ilvl w:val="0"/>
          <w:numId w:val="3"/>
        </w:numPr>
      </w:pPr>
      <w:r w:rsidRPr="00FE67AA">
        <w:t>Bond rates</w:t>
      </w:r>
      <w:r w:rsidR="003E4ACB" w:rsidRPr="00FE67AA">
        <w:t xml:space="preserve"> </w:t>
      </w:r>
      <w:r w:rsidRPr="00FE67AA">
        <w:t>rebounded</w:t>
      </w:r>
      <w:r w:rsidR="00E37A8F" w:rsidRPr="00FE67AA">
        <w:t xml:space="preserve"> </w:t>
      </w:r>
      <w:r w:rsidR="003E4ACB" w:rsidRPr="00FE67AA">
        <w:t>during the quarter with the 10-y</w:t>
      </w:r>
      <w:r w:rsidR="002F1C7B" w:rsidRPr="00FE67AA">
        <w:t xml:space="preserve">ear U.S. treasury </w:t>
      </w:r>
      <w:r w:rsidR="00BD0BA8" w:rsidRPr="00FE67AA">
        <w:t>yielding</w:t>
      </w:r>
      <w:r w:rsidR="002F1C7B" w:rsidRPr="00FE67AA">
        <w:t xml:space="preserve"> </w:t>
      </w:r>
      <w:r w:rsidR="005117CA" w:rsidRPr="00FE67AA">
        <w:t>1.</w:t>
      </w:r>
      <w:r w:rsidRPr="00FE67AA">
        <w:t>92</w:t>
      </w:r>
      <w:r w:rsidR="003E4ACB" w:rsidRPr="00FE67AA">
        <w:t xml:space="preserve">% </w:t>
      </w:r>
      <w:r w:rsidR="004D0515" w:rsidRPr="00FE67AA">
        <w:t>and the 30-y</w:t>
      </w:r>
      <w:r w:rsidR="002F1C7B" w:rsidRPr="00FE67AA">
        <w:t>ear U.S. treasury yielding</w:t>
      </w:r>
      <w:r w:rsidR="004D0515" w:rsidRPr="00FE67AA">
        <w:t xml:space="preserve"> </w:t>
      </w:r>
      <w:r w:rsidR="00CC118C" w:rsidRPr="00FE67AA">
        <w:t>2.</w:t>
      </w:r>
      <w:r w:rsidRPr="00FE67AA">
        <w:t>39</w:t>
      </w:r>
      <w:r w:rsidR="002F1C7B" w:rsidRPr="00FE67AA">
        <w:t>%</w:t>
      </w:r>
      <w:r w:rsidR="004D0515" w:rsidRPr="00FE67AA">
        <w:t>.</w:t>
      </w:r>
    </w:p>
    <w:p w14:paraId="149D5EFF" w14:textId="1341CEB7" w:rsidR="003E4ACB" w:rsidRPr="00FE67AA" w:rsidRDefault="00CD3F6E" w:rsidP="00E528F7">
      <w:pPr>
        <w:pStyle w:val="ListParagraph"/>
        <w:numPr>
          <w:ilvl w:val="0"/>
          <w:numId w:val="3"/>
        </w:numPr>
      </w:pPr>
      <w:r w:rsidRPr="00FE67AA">
        <w:t>Consumer i</w:t>
      </w:r>
      <w:r w:rsidR="006E4B4F" w:rsidRPr="00FE67AA">
        <w:t xml:space="preserve">nflation </w:t>
      </w:r>
      <w:r w:rsidR="00FE67AA" w:rsidRPr="00FE67AA">
        <w:t>accelerated to 2.29</w:t>
      </w:r>
      <w:r w:rsidR="00CC118C" w:rsidRPr="00FE67AA">
        <w:t>% during the quarter</w:t>
      </w:r>
      <w:r w:rsidR="003E4ACB" w:rsidRPr="00FE67AA">
        <w:t>.</w:t>
      </w:r>
    </w:p>
    <w:p w14:paraId="149D5F00" w14:textId="3C087A5D" w:rsidR="003E4ACB" w:rsidRPr="00FE67AA" w:rsidRDefault="00F74174" w:rsidP="00E528F7">
      <w:pPr>
        <w:pStyle w:val="ListParagraph"/>
        <w:numPr>
          <w:ilvl w:val="0"/>
          <w:numId w:val="3"/>
        </w:numPr>
      </w:pPr>
      <w:r w:rsidRPr="00FE67AA">
        <w:t>T</w:t>
      </w:r>
      <w:r w:rsidR="003E4ACB" w:rsidRPr="00FE67AA">
        <w:t xml:space="preserve">he housing market </w:t>
      </w:r>
      <w:r w:rsidR="00FE67AA" w:rsidRPr="00FE67AA">
        <w:t>grew</w:t>
      </w:r>
      <w:r w:rsidR="00140FEE" w:rsidRPr="00FE67AA">
        <w:t xml:space="preserve"> </w:t>
      </w:r>
      <w:r w:rsidR="00FE67AA" w:rsidRPr="00FE67AA">
        <w:t xml:space="preserve">for </w:t>
      </w:r>
      <w:r w:rsidR="00311E77">
        <w:t xml:space="preserve">each of </w:t>
      </w:r>
      <w:r w:rsidR="00FE67AA" w:rsidRPr="00FE67AA">
        <w:t xml:space="preserve">the </w:t>
      </w:r>
      <w:r w:rsidR="00140FEE" w:rsidRPr="00FE67AA">
        <w:t>last three</w:t>
      </w:r>
      <w:r w:rsidR="00FE67AA" w:rsidRPr="00FE67AA">
        <w:t xml:space="preserve"> months</w:t>
      </w:r>
      <w:r w:rsidR="00140FEE" w:rsidRPr="00FE67AA">
        <w:t xml:space="preserve">, with new housing starts </w:t>
      </w:r>
      <w:r w:rsidR="00FE67AA" w:rsidRPr="00FE67AA">
        <w:t>up</w:t>
      </w:r>
      <w:r w:rsidR="00140FEE" w:rsidRPr="00FE67AA">
        <w:t xml:space="preserve"> to 1.6</w:t>
      </w:r>
      <w:r w:rsidR="00FE67AA" w:rsidRPr="00FE67AA">
        <w:t>1</w:t>
      </w:r>
      <w:r w:rsidR="00140FEE" w:rsidRPr="00FE67AA">
        <w:t xml:space="preserve"> million in </w:t>
      </w:r>
      <w:r w:rsidR="00FE67AA" w:rsidRPr="00FE67AA">
        <w:t>December,</w:t>
      </w:r>
      <w:r w:rsidR="00140FEE" w:rsidRPr="00FE67AA">
        <w:t xml:space="preserve"> up 2</w:t>
      </w:r>
      <w:r w:rsidR="00FE67AA" w:rsidRPr="00FE67AA">
        <w:t>7.0</w:t>
      </w:r>
      <w:r w:rsidR="00140FEE" w:rsidRPr="00FE67AA">
        <w:t xml:space="preserve">% </w:t>
      </w:r>
      <w:r w:rsidR="00311E77">
        <w:t>over the previous</w:t>
      </w:r>
      <w:r w:rsidR="00140FEE" w:rsidRPr="00FE67AA">
        <w:t xml:space="preserve"> quarter</w:t>
      </w:r>
      <w:r w:rsidR="005917C1" w:rsidRPr="00FE67AA">
        <w:t>.</w:t>
      </w:r>
    </w:p>
    <w:p w14:paraId="72D69FBD" w14:textId="5921D2C7" w:rsidR="00F94484" w:rsidRPr="00FE67AA" w:rsidRDefault="00FE67AA" w:rsidP="00F94484">
      <w:pPr>
        <w:pStyle w:val="ListParagraph"/>
        <w:numPr>
          <w:ilvl w:val="0"/>
          <w:numId w:val="3"/>
        </w:numPr>
      </w:pPr>
      <w:r w:rsidRPr="00FE67AA">
        <w:t>Job gains underperformed economists’ expectations</w:t>
      </w:r>
      <w:r w:rsidR="00311E77">
        <w:t>,</w:t>
      </w:r>
      <w:r w:rsidRPr="00FE67AA">
        <w:t xml:space="preserve"> but t</w:t>
      </w:r>
      <w:r w:rsidR="00CC118C" w:rsidRPr="00FE67AA">
        <w:t>he</w:t>
      </w:r>
      <w:r w:rsidR="00D928C8" w:rsidRPr="00FE67AA">
        <w:t xml:space="preserve"> unemployment rate </w:t>
      </w:r>
      <w:r w:rsidRPr="00FE67AA">
        <w:t>ended the 4</w:t>
      </w:r>
      <w:r w:rsidRPr="00FE67AA">
        <w:rPr>
          <w:vertAlign w:val="superscript"/>
        </w:rPr>
        <w:t>th</w:t>
      </w:r>
      <w:r w:rsidRPr="00FE67AA">
        <w:t xml:space="preserve"> quarter</w:t>
      </w:r>
      <w:r w:rsidR="00D928C8" w:rsidRPr="00FE67AA">
        <w:t xml:space="preserve"> at 3.</w:t>
      </w:r>
      <w:r w:rsidR="00140FEE" w:rsidRPr="00FE67AA">
        <w:t>5</w:t>
      </w:r>
      <w:r w:rsidR="00D928C8" w:rsidRPr="00FE67AA">
        <w:t>%</w:t>
      </w:r>
      <w:r w:rsidRPr="00FE67AA">
        <w:t>, matching last quarter’s 50-year low</w:t>
      </w:r>
      <w:r w:rsidR="005917C1" w:rsidRPr="00FE67AA">
        <w:t>.</w:t>
      </w:r>
    </w:p>
    <w:p w14:paraId="149D5F03" w14:textId="72F2AC68" w:rsidR="0076717F" w:rsidRPr="00F94484" w:rsidRDefault="00FC013E" w:rsidP="00F94484">
      <w:pPr>
        <w:pStyle w:val="ListParagraph"/>
        <w:numPr>
          <w:ilvl w:val="0"/>
          <w:numId w:val="3"/>
        </w:numPr>
      </w:pPr>
      <w:r w:rsidRPr="00FE67AA">
        <w:t>U</w:t>
      </w:r>
      <w:r w:rsidR="00F74174" w:rsidRPr="00FE67AA">
        <w:t>.</w:t>
      </w:r>
      <w:r w:rsidRPr="00FE67AA">
        <w:t>S</w:t>
      </w:r>
      <w:r w:rsidR="00F74174" w:rsidRPr="00FE67AA">
        <w:t>.</w:t>
      </w:r>
      <w:r w:rsidRPr="00FE67AA">
        <w:t xml:space="preserve"> </w:t>
      </w:r>
      <w:r w:rsidR="00F94484" w:rsidRPr="00FE67AA">
        <w:t xml:space="preserve">capital </w:t>
      </w:r>
      <w:r w:rsidRPr="00FE67AA">
        <w:t>markets</w:t>
      </w:r>
      <w:r w:rsidR="00D928C8" w:rsidRPr="00FE67AA">
        <w:t xml:space="preserve"> </w:t>
      </w:r>
      <w:r w:rsidR="00FE67AA" w:rsidRPr="00FE67AA">
        <w:t>surged in the 4</w:t>
      </w:r>
      <w:r w:rsidR="00FE67AA" w:rsidRPr="00FE67AA">
        <w:rPr>
          <w:vertAlign w:val="superscript"/>
        </w:rPr>
        <w:t>th</w:t>
      </w:r>
      <w:r w:rsidR="00FE67AA" w:rsidRPr="00FE67AA">
        <w:t xml:space="preserve"> quarter </w:t>
      </w:r>
      <w:r w:rsidR="006D518C" w:rsidRPr="00FE67AA">
        <w:t>with</w:t>
      </w:r>
      <w:r w:rsidR="00D928C8" w:rsidRPr="00FE67AA">
        <w:t xml:space="preserve"> the S&amp;P 500 </w:t>
      </w:r>
      <w:r w:rsidR="00FE67AA" w:rsidRPr="00FE67AA">
        <w:t xml:space="preserve">up 8.5% </w:t>
      </w:r>
      <w:r w:rsidR="00454F4B" w:rsidRPr="00FE67AA">
        <w:t xml:space="preserve">and the Dow Jones Industrial Average up </w:t>
      </w:r>
      <w:r w:rsidR="00FE67AA" w:rsidRPr="00FE67AA">
        <w:t>6.0</w:t>
      </w:r>
      <w:r w:rsidR="00454F4B" w:rsidRPr="00FE67AA">
        <w:t>%</w:t>
      </w:r>
      <w:r w:rsidR="006D518C" w:rsidRPr="00FE67AA">
        <w:t xml:space="preserve"> </w:t>
      </w:r>
      <w:r w:rsidR="00FE67AA" w:rsidRPr="00FE67AA">
        <w:t xml:space="preserve">over the </w:t>
      </w:r>
      <w:r w:rsidR="00311E77">
        <w:t>previous</w:t>
      </w:r>
      <w:r w:rsidR="00FE67AA" w:rsidRPr="00FE67AA">
        <w:t xml:space="preserve"> quarter</w:t>
      </w:r>
      <w:r w:rsidR="002608F3" w:rsidRPr="00FE67AA">
        <w:t>.</w:t>
      </w:r>
      <w:r w:rsidR="0076717F">
        <w:br w:type="page"/>
      </w:r>
    </w:p>
    <w:p w14:paraId="149D5F04" w14:textId="77777777" w:rsidR="00057711" w:rsidRDefault="00057711" w:rsidP="00057711">
      <w:pPr>
        <w:pStyle w:val="Heading1"/>
      </w:pPr>
      <w:r>
        <w:lastRenderedPageBreak/>
        <w:t>Business Activity</w:t>
      </w:r>
    </w:p>
    <w:p w14:paraId="25413EE4" w14:textId="3FA252EA" w:rsidR="00A96A6A" w:rsidRPr="00F27E28" w:rsidRDefault="0080028D" w:rsidP="00057711">
      <w:r w:rsidRPr="00F27E28">
        <w:t>According to the Bureau of Economic Analysis</w:t>
      </w:r>
      <w:r w:rsidR="002608F3" w:rsidRPr="00F27E28">
        <w:t xml:space="preserve"> (BEA)</w:t>
      </w:r>
      <w:r w:rsidRPr="00F27E28">
        <w:t>, real gross domestic product (GDP)</w:t>
      </w:r>
      <w:r w:rsidR="00A8559D" w:rsidRPr="00F27E28">
        <w:rPr>
          <w:rStyle w:val="FootnoteReference"/>
        </w:rPr>
        <w:footnoteReference w:id="3"/>
      </w:r>
      <w:r w:rsidRPr="00F27E28">
        <w:t xml:space="preserve"> </w:t>
      </w:r>
      <w:r w:rsidR="00BD0BA8" w:rsidRPr="00F27E28">
        <w:t xml:space="preserve">for the </w:t>
      </w:r>
      <w:r w:rsidR="000F4AC6">
        <w:t>4</w:t>
      </w:r>
      <w:r w:rsidR="000F4AC6" w:rsidRPr="000F4AC6">
        <w:rPr>
          <w:vertAlign w:val="superscript"/>
        </w:rPr>
        <w:t>th</w:t>
      </w:r>
      <w:r w:rsidR="000F4AC6">
        <w:t xml:space="preserve"> </w:t>
      </w:r>
      <w:r w:rsidR="00BD0BA8" w:rsidRPr="00F27E28">
        <w:t>quarter of 201</w:t>
      </w:r>
      <w:r w:rsidR="00700166" w:rsidRPr="00F27E28">
        <w:t xml:space="preserve">9 </w:t>
      </w:r>
      <w:r w:rsidR="00BD0BA8" w:rsidRPr="00F27E28">
        <w:t xml:space="preserve">grew </w:t>
      </w:r>
      <w:r w:rsidRPr="00F27E28">
        <w:t xml:space="preserve">at an annual rate of </w:t>
      </w:r>
      <w:r w:rsidR="000F4AC6">
        <w:t>2.</w:t>
      </w:r>
      <w:r w:rsidR="00A52E02">
        <w:t>1</w:t>
      </w:r>
      <w:r w:rsidR="00321AA2" w:rsidRPr="00F27E28">
        <w:t>%</w:t>
      </w:r>
      <w:r w:rsidR="001756EC" w:rsidRPr="00F27E28">
        <w:t>,</w:t>
      </w:r>
      <w:r w:rsidRPr="00F27E28">
        <w:t xml:space="preserve"> </w:t>
      </w:r>
      <w:r w:rsidR="00A52E02">
        <w:t>matching</w:t>
      </w:r>
      <w:r w:rsidR="00A41316">
        <w:t xml:space="preserve"> </w:t>
      </w:r>
      <w:r w:rsidR="00AE7215">
        <w:t>last quarter’s</w:t>
      </w:r>
      <w:r w:rsidR="00A41316">
        <w:t xml:space="preserve"> rate</w:t>
      </w:r>
      <w:r w:rsidR="000F4AC6">
        <w:t>, yet below</w:t>
      </w:r>
      <w:r w:rsidR="00700166" w:rsidRPr="00F27E28">
        <w:t xml:space="preserve"> </w:t>
      </w:r>
      <w:r w:rsidR="00B40AF8" w:rsidRPr="00F27E28">
        <w:t xml:space="preserve">the 30-year average rate of </w:t>
      </w:r>
      <w:r w:rsidR="00B40AF8" w:rsidRPr="004F67A9">
        <w:t>2.</w:t>
      </w:r>
      <w:r w:rsidR="004F67A9" w:rsidRPr="004F67A9">
        <w:t>5</w:t>
      </w:r>
      <w:r w:rsidRPr="004F67A9">
        <w:t>%.</w:t>
      </w:r>
      <w:r w:rsidR="001756EC" w:rsidRPr="00F27E28">
        <w:t xml:space="preserve"> </w:t>
      </w:r>
      <w:r w:rsidR="00A52E02">
        <w:t xml:space="preserve">Over the entire year, real GDP rose 2.3%, </w:t>
      </w:r>
      <w:r w:rsidR="000F4AC6">
        <w:t xml:space="preserve">the lowest in three years, </w:t>
      </w:r>
      <w:r w:rsidR="008845A9">
        <w:t xml:space="preserve">continuing a trend toward </w:t>
      </w:r>
      <w:r w:rsidR="00304B4E">
        <w:t xml:space="preserve">slow but </w:t>
      </w:r>
      <w:r w:rsidR="000F4AC6">
        <w:t>steady advancement for the U.S. economy</w:t>
      </w:r>
      <w:r w:rsidR="00F27E28" w:rsidRPr="00F27E28">
        <w:t>.</w:t>
      </w:r>
    </w:p>
    <w:p w14:paraId="7810A9C6" w14:textId="7610B216" w:rsidR="00A96A6A" w:rsidRDefault="005E797B" w:rsidP="005117CA">
      <w:pPr>
        <w:jc w:val="center"/>
      </w:pPr>
      <w:r>
        <w:rPr>
          <w:noProof/>
        </w:rPr>
        <w:drawing>
          <wp:inline distT="0" distB="0" distL="0" distR="0" wp14:anchorId="05DE2E6D" wp14:editId="0E55364C">
            <wp:extent cx="4097020" cy="274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7020" cy="2749550"/>
                    </a:xfrm>
                    <a:prstGeom prst="rect">
                      <a:avLst/>
                    </a:prstGeom>
                    <a:noFill/>
                  </pic:spPr>
                </pic:pic>
              </a:graphicData>
            </a:graphic>
          </wp:inline>
        </w:drawing>
      </w:r>
    </w:p>
    <w:p w14:paraId="16E9155B" w14:textId="12E43D81" w:rsidR="00D55969" w:rsidRDefault="008845A9" w:rsidP="00CD643D">
      <w:r>
        <w:t>Net exports and p</w:t>
      </w:r>
      <w:r w:rsidR="00CD643D">
        <w:t>ersonal consumption expenditure</w:t>
      </w:r>
      <w:r w:rsidR="000D5719">
        <w:t xml:space="preserve">s </w:t>
      </w:r>
      <w:r>
        <w:t>led</w:t>
      </w:r>
      <w:r w:rsidR="000D5719">
        <w:t xml:space="preserve"> real GDP growth in the </w:t>
      </w:r>
      <w:r>
        <w:t>4</w:t>
      </w:r>
      <w:r w:rsidRPr="008845A9">
        <w:rPr>
          <w:vertAlign w:val="superscript"/>
        </w:rPr>
        <w:t>th</w:t>
      </w:r>
      <w:r>
        <w:t xml:space="preserve"> </w:t>
      </w:r>
      <w:r w:rsidR="000D5719">
        <w:t>quarter</w:t>
      </w:r>
      <w:r w:rsidR="00CD643D">
        <w:t xml:space="preserve">, </w:t>
      </w:r>
      <w:r w:rsidR="00237901">
        <w:t xml:space="preserve">particularly </w:t>
      </w:r>
      <w:r w:rsidR="000A79DC">
        <w:t xml:space="preserve">personal spending on </w:t>
      </w:r>
      <w:r>
        <w:t>services. Other contributors to real GDP gains were federal</w:t>
      </w:r>
      <w:r w:rsidR="00A52E02">
        <w:t xml:space="preserve"> spending, especially for defense,</w:t>
      </w:r>
      <w:r>
        <w:t xml:space="preserve"> state and local government spending</w:t>
      </w:r>
      <w:r w:rsidR="00A52E02">
        <w:t>,</w:t>
      </w:r>
      <w:r>
        <w:t xml:space="preserve"> </w:t>
      </w:r>
      <w:r w:rsidR="00A52E02">
        <w:t>and</w:t>
      </w:r>
      <w:r>
        <w:t xml:space="preserve"> spending on </w:t>
      </w:r>
      <w:r w:rsidR="00237901">
        <w:t>durable and nondurable goods</w:t>
      </w:r>
      <w:r w:rsidR="00CD643D">
        <w:t xml:space="preserve">. </w:t>
      </w:r>
      <w:r w:rsidR="000D5719">
        <w:t>Gross domestic private investment</w:t>
      </w:r>
      <w:r w:rsidR="00C742C8">
        <w:t xml:space="preserve">, </w:t>
      </w:r>
      <w:r>
        <w:t>particularly</w:t>
      </w:r>
      <w:r w:rsidR="00C742C8">
        <w:t xml:space="preserve"> </w:t>
      </w:r>
      <w:r w:rsidR="009A0B29">
        <w:t xml:space="preserve">for </w:t>
      </w:r>
      <w:r w:rsidR="00C742C8">
        <w:t xml:space="preserve">nonresidential </w:t>
      </w:r>
      <w:r>
        <w:t xml:space="preserve">structures and </w:t>
      </w:r>
      <w:r w:rsidR="009A0B29">
        <w:t>industrial equipment</w:t>
      </w:r>
      <w:r w:rsidR="00C742C8">
        <w:t>,</w:t>
      </w:r>
      <w:r w:rsidR="000D5719">
        <w:t xml:space="preserve"> tempered the</w:t>
      </w:r>
      <w:r w:rsidR="000A79DC">
        <w:t xml:space="preserve"> </w:t>
      </w:r>
      <w:r w:rsidR="009A0B29">
        <w:t>4</w:t>
      </w:r>
      <w:r w:rsidR="009A0B29" w:rsidRPr="009A0B29">
        <w:rPr>
          <w:vertAlign w:val="superscript"/>
        </w:rPr>
        <w:t>th</w:t>
      </w:r>
      <w:r w:rsidR="009A0B29">
        <w:t xml:space="preserve"> </w:t>
      </w:r>
      <w:r w:rsidR="000D5719">
        <w:t>quarter rise in real GDP</w:t>
      </w:r>
      <w:r w:rsidR="000A79DC">
        <w:t xml:space="preserve">. </w:t>
      </w:r>
      <w:r>
        <w:t>Moderate growth</w:t>
      </w:r>
      <w:r w:rsidR="000A79DC">
        <w:t xml:space="preserve"> in exports was </w:t>
      </w:r>
      <w:r>
        <w:t xml:space="preserve">reinforced </w:t>
      </w:r>
      <w:r w:rsidR="000A79DC">
        <w:t xml:space="preserve">by </w:t>
      </w:r>
      <w:r>
        <w:t xml:space="preserve">declines </w:t>
      </w:r>
      <w:r w:rsidR="000A79DC">
        <w:t>in imports</w:t>
      </w:r>
      <w:r w:rsidR="009A0B29">
        <w:t>, as the U.S. decreased its global trade imbalance</w:t>
      </w:r>
      <w:r w:rsidR="000D5719">
        <w:t>.</w:t>
      </w:r>
    </w:p>
    <w:p w14:paraId="74EC7CAF" w14:textId="5327ABCE" w:rsidR="004D1C9D" w:rsidRDefault="005E797B" w:rsidP="005117CA">
      <w:pPr>
        <w:jc w:val="center"/>
      </w:pPr>
      <w:r>
        <w:rPr>
          <w:noProof/>
        </w:rPr>
        <w:lastRenderedPageBreak/>
        <w:drawing>
          <wp:inline distT="0" distB="0" distL="0" distR="0" wp14:anchorId="77352CBB" wp14:editId="6831A22E">
            <wp:extent cx="4231005" cy="3487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1005" cy="3487420"/>
                    </a:xfrm>
                    <a:prstGeom prst="rect">
                      <a:avLst/>
                    </a:prstGeom>
                    <a:noFill/>
                  </pic:spPr>
                </pic:pic>
              </a:graphicData>
            </a:graphic>
          </wp:inline>
        </w:drawing>
      </w:r>
    </w:p>
    <w:p w14:paraId="31033888" w14:textId="7C856273" w:rsidR="004D1C9D" w:rsidRDefault="00EF008E" w:rsidP="00174BCD">
      <w:r w:rsidRPr="00F20F1B">
        <w:t xml:space="preserve">As of </w:t>
      </w:r>
      <w:r w:rsidR="009A0B29">
        <w:t>December</w:t>
      </w:r>
      <w:r w:rsidRPr="00F20F1B">
        <w:t>, the Industrial Production Index</w:t>
      </w:r>
      <w:r w:rsidR="006A114D">
        <w:rPr>
          <w:rStyle w:val="FootnoteReference"/>
        </w:rPr>
        <w:footnoteReference w:id="4"/>
      </w:r>
      <w:r w:rsidRPr="00F20F1B">
        <w:t xml:space="preserve"> </w:t>
      </w:r>
      <w:r w:rsidR="00B00E83">
        <w:t>stood</w:t>
      </w:r>
      <w:r w:rsidR="00DA5A96">
        <w:t xml:space="preserve"> at</w:t>
      </w:r>
      <w:r w:rsidR="008636F9">
        <w:t xml:space="preserve"> </w:t>
      </w:r>
      <w:r w:rsidR="00DA5A96">
        <w:t>109.</w:t>
      </w:r>
      <w:r w:rsidR="009A0B29">
        <w:t>43</w:t>
      </w:r>
      <w:r w:rsidR="00AA651C">
        <w:t xml:space="preserve">, </w:t>
      </w:r>
      <w:r w:rsidR="009A0B29">
        <w:t>virtually unchanged</w:t>
      </w:r>
      <w:r w:rsidR="001C1070">
        <w:t xml:space="preserve"> for the </w:t>
      </w:r>
      <w:r w:rsidR="009A0B29">
        <w:t>4</w:t>
      </w:r>
      <w:r w:rsidR="009A0B29" w:rsidRPr="009A0B29">
        <w:rPr>
          <w:vertAlign w:val="superscript"/>
        </w:rPr>
        <w:t>th</w:t>
      </w:r>
      <w:r w:rsidR="009A0B29">
        <w:t xml:space="preserve"> </w:t>
      </w:r>
      <w:r w:rsidR="001C1070">
        <w:t>quarter of 2019.</w:t>
      </w:r>
      <w:r w:rsidR="008636F9">
        <w:t xml:space="preserve"> </w:t>
      </w:r>
      <w:r w:rsidR="009A0B29">
        <w:t>Unusually warm December</w:t>
      </w:r>
      <w:r w:rsidR="0045097E">
        <w:t xml:space="preserve"> weather </w:t>
      </w:r>
      <w:r w:rsidR="009A0B29">
        <w:t>decreased</w:t>
      </w:r>
      <w:r w:rsidR="0045097E">
        <w:t xml:space="preserve"> demand for </w:t>
      </w:r>
      <w:r w:rsidR="009A0B29">
        <w:t>heating</w:t>
      </w:r>
      <w:r w:rsidR="0045097E">
        <w:t xml:space="preserve">, </w:t>
      </w:r>
      <w:r w:rsidR="009A0B29">
        <w:t>dampening</w:t>
      </w:r>
      <w:r w:rsidR="00DA5A96">
        <w:t xml:space="preserve"> </w:t>
      </w:r>
      <w:r w:rsidR="0045097E">
        <w:t xml:space="preserve">utilities </w:t>
      </w:r>
      <w:r w:rsidR="009A0B29">
        <w:t>demand</w:t>
      </w:r>
      <w:r w:rsidR="0045097E">
        <w:t>.</w:t>
      </w:r>
      <w:r w:rsidR="00DA5A96">
        <w:t xml:space="preserve"> </w:t>
      </w:r>
      <w:r w:rsidR="00FA283E">
        <w:t>M</w:t>
      </w:r>
      <w:r w:rsidR="00DA5A96">
        <w:t>anufacturing</w:t>
      </w:r>
      <w:r w:rsidR="00FA283E">
        <w:t xml:space="preserve"> production </w:t>
      </w:r>
      <w:r w:rsidR="009A0B29">
        <w:t xml:space="preserve">edged up as declining motor vehicle production was offset by increases in other durable goods </w:t>
      </w:r>
      <w:r w:rsidR="00304B4E">
        <w:t>along with</w:t>
      </w:r>
      <w:r w:rsidR="009A0B29">
        <w:t xml:space="preserve"> food and beverages</w:t>
      </w:r>
      <w:r w:rsidR="0041138E">
        <w:t xml:space="preserve">. </w:t>
      </w:r>
      <w:r w:rsidR="00FA283E">
        <w:t>T</w:t>
      </w:r>
      <w:r w:rsidR="001A6C86">
        <w:t>he</w:t>
      </w:r>
      <w:r w:rsidR="00332197">
        <w:t xml:space="preserve"> Industrial Production Index </w:t>
      </w:r>
      <w:r w:rsidR="00FA283E">
        <w:t xml:space="preserve">was </w:t>
      </w:r>
      <w:r w:rsidR="009A0B29">
        <w:t>1.0</w:t>
      </w:r>
      <w:r w:rsidR="00FA283E">
        <w:t>% lower</w:t>
      </w:r>
      <w:r w:rsidR="00332197">
        <w:t xml:space="preserve"> </w:t>
      </w:r>
      <w:r w:rsidR="00046A04">
        <w:t>at the end of 2019 than one year prior</w:t>
      </w:r>
      <w:r w:rsidR="00332197">
        <w:t>.</w:t>
      </w:r>
    </w:p>
    <w:p w14:paraId="149D5F1F" w14:textId="4C90DB2F" w:rsidR="00172307" w:rsidRDefault="005E797B" w:rsidP="00BA7A2C">
      <w:pPr>
        <w:jc w:val="center"/>
      </w:pPr>
      <w:r>
        <w:rPr>
          <w:noProof/>
        </w:rPr>
        <w:drawing>
          <wp:inline distT="0" distB="0" distL="0" distR="0" wp14:anchorId="0CF4E278" wp14:editId="12CFE500">
            <wp:extent cx="3816350" cy="27374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6350" cy="2737485"/>
                    </a:xfrm>
                    <a:prstGeom prst="rect">
                      <a:avLst/>
                    </a:prstGeom>
                    <a:noFill/>
                  </pic:spPr>
                </pic:pic>
              </a:graphicData>
            </a:graphic>
          </wp:inline>
        </w:drawing>
      </w:r>
    </w:p>
    <w:p w14:paraId="149D5F20" w14:textId="72147876" w:rsidR="00005111" w:rsidRPr="005261C1" w:rsidRDefault="00005111" w:rsidP="005261C1">
      <w:pPr>
        <w:pStyle w:val="Heading1"/>
      </w:pPr>
      <w:r w:rsidRPr="005261C1">
        <w:lastRenderedPageBreak/>
        <w:t>Interest Rates</w:t>
      </w:r>
    </w:p>
    <w:p w14:paraId="472CBB47" w14:textId="1B09C902" w:rsidR="00A96A6A" w:rsidRPr="00AE64EF" w:rsidRDefault="00022BB4" w:rsidP="00005111">
      <w:pPr>
        <w:rPr>
          <w:color w:val="000000" w:themeColor="text1"/>
        </w:rPr>
      </w:pPr>
      <w:r>
        <w:t xml:space="preserve">Long-term treasury bond yields </w:t>
      </w:r>
      <w:r w:rsidR="0009699C">
        <w:t>began to rebound in the 4</w:t>
      </w:r>
      <w:r w:rsidR="0009699C" w:rsidRPr="0009699C">
        <w:rPr>
          <w:vertAlign w:val="superscript"/>
        </w:rPr>
        <w:t>th</w:t>
      </w:r>
      <w:r w:rsidR="0009699C">
        <w:t xml:space="preserve"> </w:t>
      </w:r>
      <w:r>
        <w:t>quarter 2019</w:t>
      </w:r>
      <w:r w:rsidR="0009699C">
        <w:t>,</w:t>
      </w:r>
      <w:r w:rsidR="005E7A94">
        <w:t xml:space="preserve"> </w:t>
      </w:r>
      <w:r w:rsidR="0009699C">
        <w:t>but remained decidedly lower over the year</w:t>
      </w:r>
      <w:r>
        <w:t xml:space="preserve">. </w:t>
      </w:r>
      <w:r w:rsidR="0009699C">
        <w:t xml:space="preserve">Optimism over U.S.-China trade relations and global economic strengthening fueled </w:t>
      </w:r>
      <w:r w:rsidR="005E7A94">
        <w:t xml:space="preserve">late-2019 yield </w:t>
      </w:r>
      <w:r w:rsidR="00E27261">
        <w:t>increases</w:t>
      </w:r>
      <w:r w:rsidR="005E7A94">
        <w:t xml:space="preserve">. </w:t>
      </w:r>
      <w:r w:rsidR="00AE64EF">
        <w:t xml:space="preserve">The </w:t>
      </w:r>
      <w:r w:rsidR="0061080D" w:rsidRPr="0005726F">
        <w:t>U.S. treasury yield curve</w:t>
      </w:r>
      <w:r w:rsidR="00833A07">
        <w:rPr>
          <w:rStyle w:val="FootnoteReference"/>
        </w:rPr>
        <w:footnoteReference w:id="5"/>
      </w:r>
      <w:r w:rsidR="0061080D" w:rsidRPr="0005726F">
        <w:t xml:space="preserve"> </w:t>
      </w:r>
      <w:r w:rsidR="005E7A94">
        <w:t>ended the 4</w:t>
      </w:r>
      <w:r w:rsidR="005E7A94" w:rsidRPr="005E7A94">
        <w:rPr>
          <w:vertAlign w:val="superscript"/>
        </w:rPr>
        <w:t>th</w:t>
      </w:r>
      <w:r w:rsidR="005E7A94">
        <w:t xml:space="preserve"> quarter with its mid-year inversion almost completely corrected. The 1-year and 2-year annual treasury yields were down slightly over the quarter, ending December at 1.59% and 1.58%, respectively. T</w:t>
      </w:r>
      <w:r w:rsidR="0061080D" w:rsidRPr="0005726F">
        <w:t xml:space="preserve">he </w:t>
      </w:r>
      <w:r w:rsidR="005E7A94">
        <w:t xml:space="preserve">benchmark </w:t>
      </w:r>
      <w:r>
        <w:t>1</w:t>
      </w:r>
      <w:r w:rsidR="0061080D" w:rsidRPr="0005726F">
        <w:t xml:space="preserve">0-year treasury </w:t>
      </w:r>
      <w:r w:rsidR="005E7A94">
        <w:t>yielded</w:t>
      </w:r>
      <w:r w:rsidR="0061080D" w:rsidRPr="0005726F">
        <w:t xml:space="preserve"> </w:t>
      </w:r>
      <w:r>
        <w:t>1.</w:t>
      </w:r>
      <w:r w:rsidR="005E7A94">
        <w:t>92</w:t>
      </w:r>
      <w:r w:rsidR="0061080D" w:rsidRPr="0005726F">
        <w:t>%</w:t>
      </w:r>
      <w:r w:rsidR="005E7A94">
        <w:t xml:space="preserve"> annually at the close of the last trading day of 2019, while </w:t>
      </w:r>
      <w:r w:rsidR="00D851AB" w:rsidRPr="0005726F">
        <w:t xml:space="preserve">the </w:t>
      </w:r>
      <w:r>
        <w:t>3</w:t>
      </w:r>
      <w:r w:rsidR="00D851AB" w:rsidRPr="0005726F">
        <w:t xml:space="preserve">0-year treasury ended the </w:t>
      </w:r>
      <w:r w:rsidR="005E7A94">
        <w:t>year</w:t>
      </w:r>
      <w:r w:rsidR="00D851AB" w:rsidRPr="0005726F">
        <w:t xml:space="preserve"> at </w:t>
      </w:r>
      <w:r>
        <w:t>2.</w:t>
      </w:r>
      <w:r w:rsidR="005E7A94">
        <w:t>39</w:t>
      </w:r>
      <w:r w:rsidR="00D851AB" w:rsidRPr="0005726F">
        <w:t>%</w:t>
      </w:r>
      <w:r w:rsidR="00AE64EF" w:rsidRPr="007807DE">
        <w:rPr>
          <w:color w:val="000000" w:themeColor="text1"/>
        </w:rPr>
        <w:t>.</w:t>
      </w:r>
    </w:p>
    <w:p w14:paraId="0614E8BB" w14:textId="4FE23CE6" w:rsidR="004D1C9D" w:rsidRDefault="00E27261" w:rsidP="005117CA">
      <w:pPr>
        <w:jc w:val="center"/>
      </w:pPr>
      <w:r>
        <w:rPr>
          <w:noProof/>
        </w:rPr>
        <w:drawing>
          <wp:inline distT="0" distB="0" distL="0" distR="0" wp14:anchorId="7CA40F12" wp14:editId="321AF97F">
            <wp:extent cx="3493135" cy="2749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3135" cy="2749550"/>
                    </a:xfrm>
                    <a:prstGeom prst="rect">
                      <a:avLst/>
                    </a:prstGeom>
                    <a:noFill/>
                  </pic:spPr>
                </pic:pic>
              </a:graphicData>
            </a:graphic>
          </wp:inline>
        </w:drawing>
      </w:r>
    </w:p>
    <w:p w14:paraId="031CA932" w14:textId="776CEA6D" w:rsidR="00B00681" w:rsidRDefault="00171C8E" w:rsidP="00005111">
      <w:r w:rsidRPr="004709B0">
        <w:t xml:space="preserve">In </w:t>
      </w:r>
      <w:r w:rsidR="005E7A94">
        <w:t>December</w:t>
      </w:r>
      <w:r w:rsidR="00FE4D42">
        <w:t>,</w:t>
      </w:r>
      <w:r w:rsidRPr="004709B0">
        <w:t xml:space="preserve"> the Federal Reserve </w:t>
      </w:r>
      <w:r w:rsidR="005E7A94">
        <w:t>held</w:t>
      </w:r>
      <w:r w:rsidR="003376CD" w:rsidRPr="004709B0">
        <w:t xml:space="preserve"> </w:t>
      </w:r>
      <w:r w:rsidR="00D851AB" w:rsidRPr="004709B0">
        <w:t>the federal funds target rate</w:t>
      </w:r>
      <w:r w:rsidR="00740863">
        <w:t xml:space="preserve"> </w:t>
      </w:r>
      <w:r w:rsidR="005E7A94">
        <w:t>steady at</w:t>
      </w:r>
      <w:r w:rsidR="004709B0" w:rsidRPr="004709B0">
        <w:t xml:space="preserve"> </w:t>
      </w:r>
      <w:r w:rsidR="00624AEF">
        <w:t xml:space="preserve">a range of </w:t>
      </w:r>
      <w:r w:rsidR="00BB096A">
        <w:t>1.5</w:t>
      </w:r>
      <w:r w:rsidR="005E7A94">
        <w:t>0</w:t>
      </w:r>
      <w:r w:rsidR="00624AEF">
        <w:t xml:space="preserve"> to </w:t>
      </w:r>
      <w:r w:rsidR="005E7A94">
        <w:t>1.75</w:t>
      </w:r>
      <w:r w:rsidR="004709B0" w:rsidRPr="004709B0">
        <w:t xml:space="preserve"> percent</w:t>
      </w:r>
      <w:r w:rsidR="00BB096A">
        <w:t xml:space="preserve">, </w:t>
      </w:r>
      <w:r w:rsidR="005E7A94">
        <w:t>after cutting</w:t>
      </w:r>
      <w:r w:rsidR="00BB096A">
        <w:t xml:space="preserve"> target rate</w:t>
      </w:r>
      <w:r w:rsidR="005E7A94">
        <w:t>s</w:t>
      </w:r>
      <w:r w:rsidR="00BB096A">
        <w:t xml:space="preserve"> </w:t>
      </w:r>
      <w:r w:rsidR="005E7A94">
        <w:t>three times during the year</w:t>
      </w:r>
      <w:r w:rsidR="00AE64EF">
        <w:t xml:space="preserve">. </w:t>
      </w:r>
      <w:r w:rsidR="00CA112C">
        <w:t xml:space="preserve">The </w:t>
      </w:r>
      <w:r w:rsidR="00A45F59">
        <w:t xml:space="preserve">unanimous </w:t>
      </w:r>
      <w:r w:rsidR="00084608">
        <w:t>decision</w:t>
      </w:r>
      <w:r w:rsidR="00CA112C">
        <w:t xml:space="preserve"> </w:t>
      </w:r>
      <w:r w:rsidR="00A45F59">
        <w:t>reflected confidence in current monetary policy’s ability to maintain economic expansion, a strong labor market, and modulated inflation</w:t>
      </w:r>
      <w:r w:rsidR="000B0583">
        <w:t xml:space="preserve">. </w:t>
      </w:r>
      <w:r w:rsidR="003F5061">
        <w:t>The effective federal funds rate</w:t>
      </w:r>
      <w:r w:rsidR="003F5061">
        <w:rPr>
          <w:rStyle w:val="FootnoteReference"/>
        </w:rPr>
        <w:footnoteReference w:id="6"/>
      </w:r>
      <w:r w:rsidR="003F5061">
        <w:t xml:space="preserve"> as of </w:t>
      </w:r>
      <w:r w:rsidR="00A45F59">
        <w:t>December</w:t>
      </w:r>
      <w:r w:rsidR="00D55969">
        <w:t xml:space="preserve"> 3</w:t>
      </w:r>
      <w:r w:rsidR="00A45F59">
        <w:t>1</w:t>
      </w:r>
      <w:r w:rsidR="00A45F59" w:rsidRPr="00A45F59">
        <w:rPr>
          <w:vertAlign w:val="superscript"/>
        </w:rPr>
        <w:t>st</w:t>
      </w:r>
      <w:r w:rsidR="00A45F59">
        <w:t xml:space="preserve"> </w:t>
      </w:r>
      <w:r w:rsidR="00B00E83">
        <w:t>wa</w:t>
      </w:r>
      <w:r w:rsidR="003F5061">
        <w:t xml:space="preserve">s </w:t>
      </w:r>
      <w:r w:rsidR="00A45F59">
        <w:t>1.55</w:t>
      </w:r>
      <w:r w:rsidR="003F5061">
        <w:t>%.</w:t>
      </w:r>
    </w:p>
    <w:p w14:paraId="515AD2F7" w14:textId="26B8F3DA" w:rsidR="004D1C9D" w:rsidRDefault="00C12EFE" w:rsidP="00166C08">
      <w:pPr>
        <w:jc w:val="center"/>
      </w:pPr>
      <w:r>
        <w:rPr>
          <w:noProof/>
        </w:rPr>
        <w:lastRenderedPageBreak/>
        <w:drawing>
          <wp:inline distT="0" distB="0" distL="0" distR="0" wp14:anchorId="7547AD4C" wp14:editId="3000B8A9">
            <wp:extent cx="3493135" cy="2743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3135" cy="2743200"/>
                    </a:xfrm>
                    <a:prstGeom prst="rect">
                      <a:avLst/>
                    </a:prstGeom>
                    <a:noFill/>
                  </pic:spPr>
                </pic:pic>
              </a:graphicData>
            </a:graphic>
          </wp:inline>
        </w:drawing>
      </w:r>
    </w:p>
    <w:p w14:paraId="7D026DBE" w14:textId="26722815" w:rsidR="004D1C9D" w:rsidRDefault="005117CA" w:rsidP="005261C1">
      <w:r>
        <w:t>T</w:t>
      </w:r>
      <w:r w:rsidR="002978F9" w:rsidRPr="003376CD">
        <w:t>he yield on the 10-year U.S. treasury</w:t>
      </w:r>
      <w:r w:rsidR="004759DB">
        <w:rPr>
          <w:rStyle w:val="FootnoteReference"/>
        </w:rPr>
        <w:footnoteReference w:id="7"/>
      </w:r>
      <w:r w:rsidR="002978F9" w:rsidRPr="003376CD">
        <w:t xml:space="preserve"> </w:t>
      </w:r>
      <w:r w:rsidR="00A45F59">
        <w:t>rose</w:t>
      </w:r>
      <w:r>
        <w:t xml:space="preserve"> 0.2</w:t>
      </w:r>
      <w:r w:rsidR="00A45F59">
        <w:t>4</w:t>
      </w:r>
      <w:r>
        <w:t xml:space="preserve"> percentage points throughout the </w:t>
      </w:r>
      <w:r w:rsidR="00A45F59">
        <w:t>4</w:t>
      </w:r>
      <w:r w:rsidR="00A45F59" w:rsidRPr="00A45F59">
        <w:rPr>
          <w:vertAlign w:val="superscript"/>
        </w:rPr>
        <w:t>th</w:t>
      </w:r>
      <w:r w:rsidR="00A45F59">
        <w:t xml:space="preserve"> </w:t>
      </w:r>
      <w:r>
        <w:t>quarter</w:t>
      </w:r>
      <w:r w:rsidR="00B00E83">
        <w:t xml:space="preserve"> </w:t>
      </w:r>
      <w:r w:rsidR="000B0583">
        <w:t xml:space="preserve">to end </w:t>
      </w:r>
      <w:r w:rsidR="00A45F59">
        <w:t>December</w:t>
      </w:r>
      <w:r w:rsidR="00CA112C">
        <w:t xml:space="preserve"> at </w:t>
      </w:r>
      <w:r>
        <w:t>1.</w:t>
      </w:r>
      <w:r w:rsidR="00A45F59">
        <w:t>92</w:t>
      </w:r>
      <w:r w:rsidR="00CA112C">
        <w:t>%</w:t>
      </w:r>
      <w:r w:rsidR="002978F9" w:rsidRPr="003376CD">
        <w:t>.</w:t>
      </w:r>
      <w:r w:rsidR="004965CE" w:rsidRPr="003376CD">
        <w:t xml:space="preserve"> This is </w:t>
      </w:r>
      <w:r w:rsidR="00071875" w:rsidRPr="003376CD">
        <w:t xml:space="preserve">below the average yield of </w:t>
      </w:r>
      <w:r w:rsidR="003376CD" w:rsidRPr="003376CD">
        <w:t>4.</w:t>
      </w:r>
      <w:r>
        <w:t>5</w:t>
      </w:r>
      <w:r w:rsidR="006553D1">
        <w:t>1</w:t>
      </w:r>
      <w:r w:rsidR="004965CE" w:rsidRPr="003376CD">
        <w:t>% over the last 30 years</w:t>
      </w:r>
      <w:r w:rsidR="00CA112C">
        <w:t xml:space="preserve"> and</w:t>
      </w:r>
      <w:r w:rsidR="000874E3" w:rsidRPr="003376CD">
        <w:t xml:space="preserve"> the </w:t>
      </w:r>
      <w:r w:rsidR="006553D1">
        <w:t>2.69</w:t>
      </w:r>
      <w:r w:rsidR="000874E3" w:rsidRPr="003376CD">
        <w:t xml:space="preserve">% </w:t>
      </w:r>
      <w:r w:rsidR="0016688A" w:rsidRPr="003376CD">
        <w:t xml:space="preserve">yield </w:t>
      </w:r>
      <w:r w:rsidR="00C9379B">
        <w:t xml:space="preserve">from </w:t>
      </w:r>
      <w:r w:rsidR="00F3628D">
        <w:t>the same period last year</w:t>
      </w:r>
      <w:r w:rsidR="00CB629F" w:rsidRPr="003376CD">
        <w:t>.</w:t>
      </w:r>
    </w:p>
    <w:p w14:paraId="67433862" w14:textId="497AD8E2" w:rsidR="004D1C9D" w:rsidRDefault="00C12EFE" w:rsidP="005117CA">
      <w:pPr>
        <w:jc w:val="center"/>
      </w:pPr>
      <w:r>
        <w:rPr>
          <w:noProof/>
        </w:rPr>
        <w:drawing>
          <wp:inline distT="0" distB="0" distL="0" distR="0" wp14:anchorId="12F40E5A" wp14:editId="0075FD16">
            <wp:extent cx="3499485" cy="2749550"/>
            <wp:effectExtent l="0" t="0" r="571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9485" cy="2749550"/>
                    </a:xfrm>
                    <a:prstGeom prst="rect">
                      <a:avLst/>
                    </a:prstGeom>
                    <a:noFill/>
                  </pic:spPr>
                </pic:pic>
              </a:graphicData>
            </a:graphic>
          </wp:inline>
        </w:drawing>
      </w:r>
    </w:p>
    <w:p w14:paraId="62B8B6AA" w14:textId="1A92AE65" w:rsidR="00A96A6A" w:rsidRDefault="00F02B3A" w:rsidP="00460436">
      <w:r w:rsidRPr="007E5B14">
        <w:t xml:space="preserve">Corporate bond yields </w:t>
      </w:r>
      <w:r w:rsidR="006553D1">
        <w:t>edged down</w:t>
      </w:r>
      <w:r w:rsidRPr="007E5B14">
        <w:t xml:space="preserve"> this quarter, with the Moody’s Baa Corpor</w:t>
      </w:r>
      <w:r w:rsidR="00102080" w:rsidRPr="007E5B14">
        <w:t xml:space="preserve">ate Bond Yield </w:t>
      </w:r>
      <w:r w:rsidR="004E3393" w:rsidRPr="007E5B14">
        <w:t>Index</w:t>
      </w:r>
      <w:r w:rsidR="004E5EC0">
        <w:rPr>
          <w:rStyle w:val="FootnoteReference"/>
        </w:rPr>
        <w:footnoteReference w:id="8"/>
      </w:r>
      <w:r w:rsidR="004E3393" w:rsidRPr="007E5B14">
        <w:t xml:space="preserve"> </w:t>
      </w:r>
      <w:r w:rsidR="00102080" w:rsidRPr="007E5B14">
        <w:t xml:space="preserve">ending the </w:t>
      </w:r>
      <w:r w:rsidR="006553D1">
        <w:t>4</w:t>
      </w:r>
      <w:r w:rsidR="006553D1" w:rsidRPr="006553D1">
        <w:rPr>
          <w:vertAlign w:val="superscript"/>
        </w:rPr>
        <w:t>th</w:t>
      </w:r>
      <w:r w:rsidR="006553D1">
        <w:t xml:space="preserve"> </w:t>
      </w:r>
      <w:r w:rsidR="00102080" w:rsidRPr="007E5B14">
        <w:t>quarter</w:t>
      </w:r>
      <w:r w:rsidRPr="007E5B14">
        <w:t xml:space="preserve"> at </w:t>
      </w:r>
      <w:r w:rsidR="005117CA">
        <w:t>3.</w:t>
      </w:r>
      <w:r w:rsidR="006553D1">
        <w:t>88</w:t>
      </w:r>
      <w:r w:rsidR="004965CE" w:rsidRPr="007E5B14">
        <w:t xml:space="preserve">% compared to </w:t>
      </w:r>
      <w:r w:rsidR="006553D1">
        <w:t>3.91</w:t>
      </w:r>
      <w:r w:rsidRPr="007E5B14">
        <w:t xml:space="preserve">% for the </w:t>
      </w:r>
      <w:r w:rsidR="006553D1">
        <w:t>3</w:t>
      </w:r>
      <w:r w:rsidR="006553D1" w:rsidRPr="006553D1">
        <w:rPr>
          <w:vertAlign w:val="superscript"/>
        </w:rPr>
        <w:t>rd</w:t>
      </w:r>
      <w:r w:rsidR="006553D1">
        <w:t xml:space="preserve"> </w:t>
      </w:r>
      <w:r w:rsidRPr="007E5B14">
        <w:t>quarter</w:t>
      </w:r>
      <w:r w:rsidR="00823E2B">
        <w:t xml:space="preserve">. Rates </w:t>
      </w:r>
      <w:r w:rsidR="00285F67">
        <w:t>were below both</w:t>
      </w:r>
      <w:r w:rsidR="004965CE" w:rsidRPr="007E5B14">
        <w:t xml:space="preserve"> the </w:t>
      </w:r>
      <w:r w:rsidR="006553D1">
        <w:t>5.13</w:t>
      </w:r>
      <w:r w:rsidR="00823E2B">
        <w:t xml:space="preserve">% yield from the </w:t>
      </w:r>
      <w:r w:rsidR="004965CE" w:rsidRPr="007E5B14">
        <w:t>same period last year</w:t>
      </w:r>
      <w:r w:rsidR="00102080" w:rsidRPr="00AF6040">
        <w:t xml:space="preserve"> </w:t>
      </w:r>
      <w:r w:rsidR="00285F67">
        <w:t xml:space="preserve">and </w:t>
      </w:r>
      <w:r w:rsidR="00855A46" w:rsidRPr="00AF6040">
        <w:t>the index’s</w:t>
      </w:r>
      <w:r w:rsidRPr="00AF6040">
        <w:t xml:space="preserve"> </w:t>
      </w:r>
      <w:r w:rsidR="008A5F7F" w:rsidRPr="00AF6040">
        <w:t xml:space="preserve">average </w:t>
      </w:r>
      <w:r w:rsidR="00174B44" w:rsidRPr="00AF6040">
        <w:t xml:space="preserve">yield </w:t>
      </w:r>
      <w:r w:rsidR="006A0819">
        <w:t xml:space="preserve">of </w:t>
      </w:r>
      <w:r w:rsidR="00285F67">
        <w:t>6.</w:t>
      </w:r>
      <w:r w:rsidR="006553D1">
        <w:t>87</w:t>
      </w:r>
      <w:r w:rsidR="008A5F7F" w:rsidRPr="00AF6040">
        <w:t>%</w:t>
      </w:r>
      <w:r w:rsidR="004965CE" w:rsidRPr="00AF6040">
        <w:t xml:space="preserve"> for the last 30 years</w:t>
      </w:r>
      <w:r w:rsidRPr="00AF6040">
        <w:t>.</w:t>
      </w:r>
    </w:p>
    <w:p w14:paraId="7CE57D35" w14:textId="78B008D6" w:rsidR="005117CA" w:rsidRDefault="00E13679" w:rsidP="005117CA">
      <w:pPr>
        <w:jc w:val="center"/>
      </w:pPr>
      <w:r>
        <w:rPr>
          <w:noProof/>
        </w:rPr>
        <w:lastRenderedPageBreak/>
        <w:drawing>
          <wp:inline distT="0" distB="0" distL="0" distR="0" wp14:anchorId="1560DEC5" wp14:editId="6AD7ED1B">
            <wp:extent cx="3493135"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3135" cy="2743200"/>
                    </a:xfrm>
                    <a:prstGeom prst="rect">
                      <a:avLst/>
                    </a:prstGeom>
                    <a:noFill/>
                  </pic:spPr>
                </pic:pic>
              </a:graphicData>
            </a:graphic>
          </wp:inline>
        </w:drawing>
      </w:r>
    </w:p>
    <w:p w14:paraId="149D5F2F" w14:textId="479C442E" w:rsidR="00005111" w:rsidRDefault="00005111" w:rsidP="005261C1">
      <w:pPr>
        <w:pStyle w:val="Heading1"/>
      </w:pPr>
      <w:r>
        <w:t>Employment</w:t>
      </w:r>
    </w:p>
    <w:p w14:paraId="149D5F31" w14:textId="2BA5B72A" w:rsidR="00C05052" w:rsidRPr="00D74F6D" w:rsidRDefault="00B316F7" w:rsidP="00B84330">
      <w:pPr>
        <w:rPr>
          <w:color w:val="000000" w:themeColor="text1"/>
        </w:rPr>
      </w:pPr>
      <w:r>
        <w:t>Through</w:t>
      </w:r>
      <w:r w:rsidR="00322C58">
        <w:t xml:space="preserve"> the </w:t>
      </w:r>
      <w:r w:rsidR="006553D1">
        <w:t>4</w:t>
      </w:r>
      <w:r w:rsidR="006553D1" w:rsidRPr="006553D1">
        <w:rPr>
          <w:vertAlign w:val="superscript"/>
        </w:rPr>
        <w:t>th</w:t>
      </w:r>
      <w:r w:rsidR="006553D1">
        <w:t xml:space="preserve"> </w:t>
      </w:r>
      <w:r w:rsidR="00322C58">
        <w:t>quarter</w:t>
      </w:r>
      <w:r w:rsidR="00D57C94">
        <w:t xml:space="preserve"> of 2019</w:t>
      </w:r>
      <w:r w:rsidR="00322C58">
        <w:t>, t</w:t>
      </w:r>
      <w:r w:rsidR="00D03F0F">
        <w:t xml:space="preserve">he </w:t>
      </w:r>
      <w:r w:rsidR="00F24605">
        <w:t>U</w:t>
      </w:r>
      <w:r w:rsidR="00BC00A7">
        <w:t>.</w:t>
      </w:r>
      <w:r w:rsidR="00F24605">
        <w:t>S</w:t>
      </w:r>
      <w:r w:rsidR="00BC00A7">
        <w:t>.</w:t>
      </w:r>
      <w:r w:rsidR="00F24605">
        <w:t xml:space="preserve"> </w:t>
      </w:r>
      <w:r w:rsidR="00D74F6D">
        <w:t>unemployment rate</w:t>
      </w:r>
      <w:r w:rsidR="00D03F0F">
        <w:t xml:space="preserve"> </w:t>
      </w:r>
      <w:r w:rsidR="00B97C78">
        <w:t xml:space="preserve">remained </w:t>
      </w:r>
      <w:r w:rsidR="00E13679">
        <w:t>near</w:t>
      </w:r>
      <w:r w:rsidR="00B97C78">
        <w:t xml:space="preserve"> </w:t>
      </w:r>
      <w:r w:rsidR="00D74F6D">
        <w:t>its</w:t>
      </w:r>
      <w:r w:rsidR="00621173">
        <w:t xml:space="preserve"> lowest </w:t>
      </w:r>
      <w:r w:rsidR="00D74F6D">
        <w:t xml:space="preserve">level </w:t>
      </w:r>
      <w:r w:rsidR="00322C58">
        <w:t xml:space="preserve">since </w:t>
      </w:r>
      <w:r w:rsidR="005D43B8">
        <w:t xml:space="preserve">December </w:t>
      </w:r>
      <w:r w:rsidR="00322C58">
        <w:t>1969</w:t>
      </w:r>
      <w:r w:rsidR="00105413">
        <w:rPr>
          <w:color w:val="000000" w:themeColor="text1"/>
        </w:rPr>
        <w:t xml:space="preserve">. </w:t>
      </w:r>
      <w:r w:rsidR="00B97C78">
        <w:rPr>
          <w:color w:val="000000" w:themeColor="text1"/>
        </w:rPr>
        <w:t>Growth in t</w:t>
      </w:r>
      <w:r w:rsidR="00102080" w:rsidRPr="00865CE8">
        <w:rPr>
          <w:color w:val="000000" w:themeColor="text1"/>
        </w:rPr>
        <w:t xml:space="preserve">otal </w:t>
      </w:r>
      <w:r w:rsidR="00DB663A" w:rsidRPr="00D74F6D">
        <w:rPr>
          <w:color w:val="000000" w:themeColor="text1"/>
        </w:rPr>
        <w:t>nonfarm payrolls</w:t>
      </w:r>
      <w:r w:rsidR="0052077C" w:rsidRPr="00D74F6D">
        <w:rPr>
          <w:rStyle w:val="FootnoteReference"/>
          <w:color w:val="000000" w:themeColor="text1"/>
        </w:rPr>
        <w:footnoteReference w:id="9"/>
      </w:r>
      <w:r w:rsidR="00DB663A" w:rsidRPr="00D74F6D">
        <w:rPr>
          <w:color w:val="000000" w:themeColor="text1"/>
        </w:rPr>
        <w:t xml:space="preserve"> </w:t>
      </w:r>
      <w:r w:rsidR="00B97C78">
        <w:rPr>
          <w:color w:val="000000" w:themeColor="text1"/>
        </w:rPr>
        <w:t>fell short of economists’ expectations for the 4</w:t>
      </w:r>
      <w:r w:rsidR="00B97C78" w:rsidRPr="00B97C78">
        <w:rPr>
          <w:color w:val="000000" w:themeColor="text1"/>
          <w:vertAlign w:val="superscript"/>
        </w:rPr>
        <w:t>th</w:t>
      </w:r>
      <w:r w:rsidR="00B97C78">
        <w:rPr>
          <w:color w:val="000000" w:themeColor="text1"/>
        </w:rPr>
        <w:t xml:space="preserve"> quarter, as initially strong October and November estimates were revised downward. Still, U.S. jobs </w:t>
      </w:r>
      <w:r w:rsidR="00DB663A" w:rsidRPr="00D74F6D">
        <w:rPr>
          <w:color w:val="000000" w:themeColor="text1"/>
        </w:rPr>
        <w:t>increased</w:t>
      </w:r>
      <w:r w:rsidR="00D501BC" w:rsidRPr="00D74F6D">
        <w:rPr>
          <w:color w:val="000000" w:themeColor="text1"/>
        </w:rPr>
        <w:t xml:space="preserve"> by 2.</w:t>
      </w:r>
      <w:r w:rsidR="00B97C78">
        <w:rPr>
          <w:color w:val="000000" w:themeColor="text1"/>
        </w:rPr>
        <w:t>1</w:t>
      </w:r>
      <w:r w:rsidR="00C05052" w:rsidRPr="00D74F6D">
        <w:rPr>
          <w:color w:val="000000" w:themeColor="text1"/>
        </w:rPr>
        <w:t xml:space="preserve"> million </w:t>
      </w:r>
      <w:r w:rsidR="00E13679">
        <w:rPr>
          <w:color w:val="000000" w:themeColor="text1"/>
        </w:rPr>
        <w:t xml:space="preserve">compared with </w:t>
      </w:r>
      <w:r w:rsidR="00B97C78">
        <w:rPr>
          <w:color w:val="000000" w:themeColor="text1"/>
        </w:rPr>
        <w:t>the previous</w:t>
      </w:r>
      <w:r w:rsidR="00C05052" w:rsidRPr="00D74F6D">
        <w:rPr>
          <w:color w:val="000000" w:themeColor="text1"/>
        </w:rPr>
        <w:t xml:space="preserve"> yea</w:t>
      </w:r>
      <w:r w:rsidR="005D43B8">
        <w:rPr>
          <w:color w:val="000000" w:themeColor="text1"/>
        </w:rPr>
        <w:t>r</w:t>
      </w:r>
      <w:r w:rsidR="00D57C94">
        <w:rPr>
          <w:color w:val="000000" w:themeColor="text1"/>
        </w:rPr>
        <w:t>.</w:t>
      </w:r>
    </w:p>
    <w:p w14:paraId="149D5F33" w14:textId="300D6CB3" w:rsidR="00B84330" w:rsidRDefault="00C12EFE" w:rsidP="004D099A">
      <w:pPr>
        <w:jc w:val="center"/>
      </w:pPr>
      <w:r>
        <w:rPr>
          <w:noProof/>
        </w:rPr>
        <w:drawing>
          <wp:inline distT="0" distB="0" distL="0" distR="0" wp14:anchorId="1725423E" wp14:editId="20246A44">
            <wp:extent cx="3846830" cy="2743200"/>
            <wp:effectExtent l="0" t="0" r="127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6830" cy="2743200"/>
                    </a:xfrm>
                    <a:prstGeom prst="rect">
                      <a:avLst/>
                    </a:prstGeom>
                    <a:noFill/>
                  </pic:spPr>
                </pic:pic>
              </a:graphicData>
            </a:graphic>
          </wp:inline>
        </w:drawing>
      </w:r>
    </w:p>
    <w:p w14:paraId="0D3BFDA8" w14:textId="48EDF759" w:rsidR="00A96A6A" w:rsidRDefault="00D74F6D" w:rsidP="00005111">
      <w:r>
        <w:t>The</w:t>
      </w:r>
      <w:r w:rsidR="00C05052" w:rsidRPr="00925F58">
        <w:t xml:space="preserve"> unemp</w:t>
      </w:r>
      <w:r w:rsidR="00F81F49" w:rsidRPr="00925F58">
        <w:t>loyment rate</w:t>
      </w:r>
      <w:r w:rsidR="00C937ED">
        <w:rPr>
          <w:rStyle w:val="FootnoteReference"/>
        </w:rPr>
        <w:footnoteReference w:id="10"/>
      </w:r>
      <w:r w:rsidR="00F81F49" w:rsidRPr="00925F58">
        <w:t xml:space="preserve"> </w:t>
      </w:r>
      <w:r>
        <w:t>end</w:t>
      </w:r>
      <w:r w:rsidR="00D57C94">
        <w:t>ed</w:t>
      </w:r>
      <w:r>
        <w:t xml:space="preserve"> the </w:t>
      </w:r>
      <w:r w:rsidR="00B97C78">
        <w:t>4</w:t>
      </w:r>
      <w:r w:rsidR="00B97C78" w:rsidRPr="00B97C78">
        <w:rPr>
          <w:vertAlign w:val="superscript"/>
        </w:rPr>
        <w:t>th</w:t>
      </w:r>
      <w:r w:rsidR="00B97C78">
        <w:t xml:space="preserve"> </w:t>
      </w:r>
      <w:r>
        <w:t>quarter at 3.</w:t>
      </w:r>
      <w:r w:rsidR="005D43B8">
        <w:t>5</w:t>
      </w:r>
      <w:r>
        <w:t>%</w:t>
      </w:r>
      <w:r w:rsidR="00B97C78">
        <w:t xml:space="preserve">, </w:t>
      </w:r>
      <w:r w:rsidR="00FE67AA">
        <w:t>matching</w:t>
      </w:r>
      <w:r w:rsidR="00B97C78">
        <w:t xml:space="preserve"> the previous quarter</w:t>
      </w:r>
      <w:r w:rsidR="00FE67AA">
        <w:t>’s 50-year low,</w:t>
      </w:r>
      <w:r w:rsidR="00285F67">
        <w:t xml:space="preserve"> </w:t>
      </w:r>
      <w:r w:rsidR="005D43B8">
        <w:t>with steady</w:t>
      </w:r>
      <w:r w:rsidR="00285F67">
        <w:t xml:space="preserve"> labor force participation</w:t>
      </w:r>
      <w:r>
        <w:t xml:space="preserve">. </w:t>
      </w:r>
      <w:r w:rsidR="00D57C94">
        <w:t>T</w:t>
      </w:r>
      <w:r>
        <w:t>he rate was d</w:t>
      </w:r>
      <w:r w:rsidR="00F81F49" w:rsidRPr="00925F58">
        <w:t>own 0.</w:t>
      </w:r>
      <w:r w:rsidR="00B97C78">
        <w:t>4</w:t>
      </w:r>
      <w:r w:rsidR="00072C36">
        <w:t xml:space="preserve">% </w:t>
      </w:r>
      <w:r w:rsidR="001744C6" w:rsidRPr="00925F58">
        <w:t xml:space="preserve">from the same period a </w:t>
      </w:r>
      <w:r w:rsidR="001744C6" w:rsidRPr="00925F58">
        <w:lastRenderedPageBreak/>
        <w:t xml:space="preserve">year ago and </w:t>
      </w:r>
      <w:r>
        <w:t xml:space="preserve">remained </w:t>
      </w:r>
      <w:r w:rsidR="001744C6" w:rsidRPr="00925F58">
        <w:t xml:space="preserve">well below the 30-year average </w:t>
      </w:r>
      <w:r w:rsidR="00D644B7" w:rsidRPr="00925F58">
        <w:t xml:space="preserve">unemployment rate </w:t>
      </w:r>
      <w:r w:rsidR="001744C6" w:rsidRPr="00925F58">
        <w:t xml:space="preserve">of </w:t>
      </w:r>
      <w:r w:rsidR="00D501BC" w:rsidRPr="00925F58">
        <w:t>5.</w:t>
      </w:r>
      <w:r w:rsidR="00B97C78">
        <w:t>8</w:t>
      </w:r>
      <w:r w:rsidR="001744C6" w:rsidRPr="00925F58">
        <w:t>%.</w:t>
      </w:r>
      <w:r w:rsidR="00D644B7" w:rsidRPr="00925F58">
        <w:t xml:space="preserve"> </w:t>
      </w:r>
      <w:r w:rsidR="00065E14">
        <w:t>The unemployment rate has been falling stea</w:t>
      </w:r>
      <w:r w:rsidR="004E2AB3">
        <w:t>dily since the Great Recessio</w:t>
      </w:r>
      <w:r w:rsidR="00D20BA9">
        <w:t>n</w:t>
      </w:r>
      <w:r w:rsidR="00A57EA4">
        <w:t>.</w:t>
      </w:r>
    </w:p>
    <w:p w14:paraId="1926EEEC" w14:textId="6FE584D3" w:rsidR="0017576B" w:rsidRDefault="00C12EFE" w:rsidP="00D57C94">
      <w:pPr>
        <w:jc w:val="center"/>
      </w:pPr>
      <w:r>
        <w:rPr>
          <w:noProof/>
        </w:rPr>
        <w:drawing>
          <wp:inline distT="0" distB="0" distL="0" distR="0" wp14:anchorId="3D1D6C24" wp14:editId="3B2AB16D">
            <wp:extent cx="3493135" cy="2743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93135" cy="2743200"/>
                    </a:xfrm>
                    <a:prstGeom prst="rect">
                      <a:avLst/>
                    </a:prstGeom>
                    <a:noFill/>
                  </pic:spPr>
                </pic:pic>
              </a:graphicData>
            </a:graphic>
          </wp:inline>
        </w:drawing>
      </w:r>
    </w:p>
    <w:p w14:paraId="149D5F38" w14:textId="77777777" w:rsidR="00005111" w:rsidRDefault="00005111" w:rsidP="001475FF">
      <w:pPr>
        <w:pStyle w:val="Heading1"/>
      </w:pPr>
      <w:r>
        <w:t>Inflation</w:t>
      </w:r>
    </w:p>
    <w:p w14:paraId="149D5F3A" w14:textId="4557E253" w:rsidR="00172307" w:rsidRDefault="00C90C6F" w:rsidP="00005111">
      <w:r>
        <w:t xml:space="preserve">Inflation </w:t>
      </w:r>
      <w:r w:rsidR="001A4F9E">
        <w:t>ac</w:t>
      </w:r>
      <w:r w:rsidR="009C74AB">
        <w:t>celerated</w:t>
      </w:r>
      <w:r>
        <w:t xml:space="preserve"> </w:t>
      </w:r>
      <w:r w:rsidR="009C74AB">
        <w:t>during</w:t>
      </w:r>
      <w:r>
        <w:t xml:space="preserve"> the </w:t>
      </w:r>
      <w:r w:rsidR="001A4F9E">
        <w:t>4</w:t>
      </w:r>
      <w:r w:rsidR="001A4F9E" w:rsidRPr="001A4F9E">
        <w:rPr>
          <w:vertAlign w:val="superscript"/>
        </w:rPr>
        <w:t>th</w:t>
      </w:r>
      <w:r w:rsidR="001A4F9E">
        <w:t xml:space="preserve"> </w:t>
      </w:r>
      <w:r>
        <w:t xml:space="preserve">quarter due largely to </w:t>
      </w:r>
      <w:r w:rsidR="001A4F9E">
        <w:t>higher prices for shelter,</w:t>
      </w:r>
      <w:r>
        <w:t xml:space="preserve"> </w:t>
      </w:r>
      <w:r w:rsidR="009C74AB">
        <w:t>energy</w:t>
      </w:r>
      <w:r w:rsidR="001A4F9E">
        <w:t>, and medical care</w:t>
      </w:r>
      <w:r w:rsidR="001E7445">
        <w:t xml:space="preserve">. </w:t>
      </w:r>
      <w:r w:rsidR="006F7FB2" w:rsidRPr="0016088B">
        <w:t>The Consumer Price Index (CPI)</w:t>
      </w:r>
      <w:r w:rsidR="0076678E">
        <w:rPr>
          <w:rStyle w:val="FootnoteReference"/>
        </w:rPr>
        <w:footnoteReference w:id="11"/>
      </w:r>
      <w:r w:rsidR="006F7FB2" w:rsidRPr="0016088B">
        <w:t xml:space="preserve"> </w:t>
      </w:r>
      <w:r w:rsidR="00CD3F6E">
        <w:t xml:space="preserve">has </w:t>
      </w:r>
      <w:r w:rsidR="006F7FB2" w:rsidRPr="0016088B">
        <w:t xml:space="preserve">increased </w:t>
      </w:r>
      <w:r w:rsidR="0016088B" w:rsidRPr="0016088B">
        <w:t xml:space="preserve">by </w:t>
      </w:r>
      <w:r w:rsidR="001A4F9E">
        <w:t>2.29</w:t>
      </w:r>
      <w:r w:rsidR="0016088B" w:rsidRPr="0016088B">
        <w:t>%</w:t>
      </w:r>
      <w:r w:rsidR="00CD3F6E">
        <w:t xml:space="preserve"> since</w:t>
      </w:r>
      <w:r>
        <w:t xml:space="preserve"> </w:t>
      </w:r>
      <w:r w:rsidR="00072C36">
        <w:t xml:space="preserve">last </w:t>
      </w:r>
      <w:r w:rsidR="001A4F9E">
        <w:t>December</w:t>
      </w:r>
      <w:r w:rsidR="006F7FB2" w:rsidRPr="0016088B">
        <w:t>.</w:t>
      </w:r>
      <w:r w:rsidR="00B071DB" w:rsidRPr="0016088B">
        <w:t xml:space="preserve"> </w:t>
      </w:r>
      <w:r w:rsidR="00BD3693">
        <w:t>According to Federal Reserve Bank of New York’s S</w:t>
      </w:r>
      <w:r w:rsidR="00A82B9E">
        <w:t>urvey of Consumer Expectations,</w:t>
      </w:r>
      <w:r w:rsidR="00BD3693">
        <w:t xml:space="preserve"> inflation</w:t>
      </w:r>
      <w:r w:rsidR="00A82B9E">
        <w:t xml:space="preserve"> </w:t>
      </w:r>
      <w:r w:rsidR="001E7445">
        <w:t>expectations</w:t>
      </w:r>
      <w:r w:rsidR="00E274D8">
        <w:t xml:space="preserve"> </w:t>
      </w:r>
      <w:r w:rsidR="001A4F9E">
        <w:t>inched up</w:t>
      </w:r>
      <w:r w:rsidR="009C74AB">
        <w:t xml:space="preserve"> </w:t>
      </w:r>
      <w:r w:rsidR="00B316F7">
        <w:t xml:space="preserve">in December </w:t>
      </w:r>
      <w:r w:rsidR="009C74AB">
        <w:t xml:space="preserve">to 2.5% </w:t>
      </w:r>
      <w:r w:rsidR="00E274D8">
        <w:t xml:space="preserve">for the </w:t>
      </w:r>
      <w:r w:rsidR="00BD3693">
        <w:t>one</w:t>
      </w:r>
      <w:r w:rsidR="00E274D8">
        <w:t>-</w:t>
      </w:r>
      <w:r w:rsidR="00BD3693">
        <w:t>year</w:t>
      </w:r>
      <w:r>
        <w:t xml:space="preserve"> </w:t>
      </w:r>
      <w:r w:rsidR="009C74AB">
        <w:t xml:space="preserve">horizon </w:t>
      </w:r>
      <w:r w:rsidR="00E274D8">
        <w:t xml:space="preserve">and </w:t>
      </w:r>
      <w:r w:rsidR="001A4F9E">
        <w:t xml:space="preserve">held at </w:t>
      </w:r>
      <w:r w:rsidR="009C74AB">
        <w:t>2.</w:t>
      </w:r>
      <w:r w:rsidR="001A4F9E">
        <w:t>5</w:t>
      </w:r>
      <w:r w:rsidR="009C74AB">
        <w:t xml:space="preserve">% for the </w:t>
      </w:r>
      <w:r w:rsidR="00E274D8">
        <w:t>three-year</w:t>
      </w:r>
      <w:r w:rsidR="009C74AB">
        <w:t xml:space="preserve"> horizon</w:t>
      </w:r>
      <w:r w:rsidR="00BD3693">
        <w:t xml:space="preserve">. </w:t>
      </w:r>
    </w:p>
    <w:p w14:paraId="149D5F3C" w14:textId="25030E33" w:rsidR="00B94E68" w:rsidRDefault="00C12EFE" w:rsidP="0026599C">
      <w:pPr>
        <w:jc w:val="center"/>
      </w:pPr>
      <w:r>
        <w:rPr>
          <w:noProof/>
        </w:rPr>
        <w:drawing>
          <wp:inline distT="0" distB="0" distL="0" distR="0" wp14:anchorId="1099003E" wp14:editId="145F3F10">
            <wp:extent cx="3493135" cy="2743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3135" cy="2743200"/>
                    </a:xfrm>
                    <a:prstGeom prst="rect">
                      <a:avLst/>
                    </a:prstGeom>
                    <a:noFill/>
                  </pic:spPr>
                </pic:pic>
              </a:graphicData>
            </a:graphic>
          </wp:inline>
        </w:drawing>
      </w:r>
    </w:p>
    <w:p w14:paraId="149D5F3E" w14:textId="4230C050" w:rsidR="00A11CAC" w:rsidRDefault="006F7FB2" w:rsidP="006F7FB2">
      <w:r w:rsidRPr="004E4B6F">
        <w:lastRenderedPageBreak/>
        <w:t>Prices at the prod</w:t>
      </w:r>
      <w:r w:rsidR="000E6A61" w:rsidRPr="004E4B6F">
        <w:t>ucer level</w:t>
      </w:r>
      <w:r w:rsidR="00E274D8">
        <w:t xml:space="preserve"> </w:t>
      </w:r>
      <w:r w:rsidR="00B316F7">
        <w:t>rose slightly</w:t>
      </w:r>
      <w:r w:rsidR="0042476E">
        <w:t xml:space="preserve"> over</w:t>
      </w:r>
      <w:r w:rsidR="00E274D8">
        <w:t xml:space="preserve"> the </w:t>
      </w:r>
      <w:r w:rsidR="0042476E">
        <w:t>4</w:t>
      </w:r>
      <w:r w:rsidR="0042476E" w:rsidRPr="0042476E">
        <w:rPr>
          <w:vertAlign w:val="superscript"/>
        </w:rPr>
        <w:t>th</w:t>
      </w:r>
      <w:r w:rsidR="0042476E">
        <w:t xml:space="preserve"> </w:t>
      </w:r>
      <w:r w:rsidR="00E274D8">
        <w:t>quarter</w:t>
      </w:r>
      <w:r w:rsidR="0042476E">
        <w:t>,</w:t>
      </w:r>
      <w:r w:rsidR="00FE5B60">
        <w:t xml:space="preserve"> with </w:t>
      </w:r>
      <w:r w:rsidR="0042476E">
        <w:t>December</w:t>
      </w:r>
      <w:r w:rsidR="00FE5B60">
        <w:t xml:space="preserve"> price</w:t>
      </w:r>
      <w:r w:rsidR="002435D7">
        <w:t>s</w:t>
      </w:r>
      <w:r w:rsidR="00FE5B60">
        <w:t xml:space="preserve"> </w:t>
      </w:r>
      <w:r w:rsidR="0042476E">
        <w:t>up</w:t>
      </w:r>
      <w:r w:rsidR="00FE5B60">
        <w:t xml:space="preserve"> for goods</w:t>
      </w:r>
      <w:r w:rsidR="0042476E">
        <w:t>, especially energy,</w:t>
      </w:r>
      <w:r w:rsidR="00FE5B60">
        <w:t xml:space="preserve"> and </w:t>
      </w:r>
      <w:r w:rsidR="0042476E">
        <w:t xml:space="preserve">unchanged for </w:t>
      </w:r>
      <w:r w:rsidR="00FE5B60">
        <w:t>services. T</w:t>
      </w:r>
      <w:r w:rsidRPr="004E4B6F">
        <w:t>he Producer Pr</w:t>
      </w:r>
      <w:r w:rsidR="00174B44" w:rsidRPr="004E4B6F">
        <w:t>ice Index (PPI)</w:t>
      </w:r>
      <w:r w:rsidR="00CB1375">
        <w:rPr>
          <w:rStyle w:val="FootnoteReference"/>
        </w:rPr>
        <w:footnoteReference w:id="12"/>
      </w:r>
      <w:r w:rsidR="00174B44" w:rsidRPr="004E4B6F">
        <w:t xml:space="preserve"> </w:t>
      </w:r>
      <w:r w:rsidR="0042476E">
        <w:t xml:space="preserve">for all commodities </w:t>
      </w:r>
      <w:r w:rsidR="002435D7">
        <w:t>was</w:t>
      </w:r>
      <w:r w:rsidR="007B7D73" w:rsidRPr="004E4B6F">
        <w:t xml:space="preserve"> </w:t>
      </w:r>
      <w:r w:rsidR="0042476E">
        <w:t>0.90</w:t>
      </w:r>
      <w:r w:rsidR="00174B44" w:rsidRPr="004E4B6F">
        <w:t>%</w:t>
      </w:r>
      <w:r w:rsidRPr="004E4B6F">
        <w:t xml:space="preserve"> </w:t>
      </w:r>
      <w:r w:rsidR="002435D7">
        <w:t xml:space="preserve">lower </w:t>
      </w:r>
      <w:r w:rsidR="0039736B">
        <w:t xml:space="preserve">in </w:t>
      </w:r>
      <w:r w:rsidR="0042476E">
        <w:t>December</w:t>
      </w:r>
      <w:r w:rsidR="0039736B">
        <w:t xml:space="preserve"> </w:t>
      </w:r>
      <w:r w:rsidRPr="004E4B6F">
        <w:t>compared to the same period last year</w:t>
      </w:r>
      <w:r w:rsidR="00FE5B60">
        <w:t>, falling</w:t>
      </w:r>
      <w:r w:rsidR="00E274D8">
        <w:t xml:space="preserve"> well</w:t>
      </w:r>
      <w:r w:rsidR="0039736B">
        <w:t xml:space="preserve"> </w:t>
      </w:r>
      <w:r w:rsidR="002435D7">
        <w:t>below</w:t>
      </w:r>
      <w:r w:rsidR="001E7445">
        <w:t xml:space="preserve"> </w:t>
      </w:r>
      <w:r w:rsidR="0031179D" w:rsidRPr="004E4B6F">
        <w:t xml:space="preserve">the 30-year average of </w:t>
      </w:r>
      <w:r w:rsidR="00FE5B60">
        <w:t xml:space="preserve">a </w:t>
      </w:r>
      <w:r w:rsidR="0039736B">
        <w:t>2.</w:t>
      </w:r>
      <w:r w:rsidR="0042476E">
        <w:t>06</w:t>
      </w:r>
      <w:r w:rsidR="0031179D" w:rsidRPr="004E4B6F">
        <w:t>%</w:t>
      </w:r>
      <w:r w:rsidR="00FE5B60">
        <w:t xml:space="preserve"> annual increase</w:t>
      </w:r>
      <w:r w:rsidR="0031179D" w:rsidRPr="004E4B6F">
        <w:t xml:space="preserve">. </w:t>
      </w:r>
    </w:p>
    <w:p w14:paraId="149D5F40" w14:textId="0AECCA21" w:rsidR="00B94E68" w:rsidRDefault="00C12EFE" w:rsidP="00166C08">
      <w:pPr>
        <w:jc w:val="center"/>
      </w:pPr>
      <w:r>
        <w:rPr>
          <w:noProof/>
        </w:rPr>
        <w:drawing>
          <wp:inline distT="0" distB="0" distL="0" distR="0" wp14:anchorId="6192D982" wp14:editId="64C8EB03">
            <wp:extent cx="3493135" cy="2743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93135" cy="2743200"/>
                    </a:xfrm>
                    <a:prstGeom prst="rect">
                      <a:avLst/>
                    </a:prstGeom>
                    <a:noFill/>
                  </pic:spPr>
                </pic:pic>
              </a:graphicData>
            </a:graphic>
          </wp:inline>
        </w:drawing>
      </w:r>
    </w:p>
    <w:p w14:paraId="149D5F41" w14:textId="77777777" w:rsidR="00005111" w:rsidRDefault="00005111" w:rsidP="001475FF">
      <w:pPr>
        <w:pStyle w:val="Heading1"/>
      </w:pPr>
      <w:r>
        <w:t>Housing</w:t>
      </w:r>
    </w:p>
    <w:p w14:paraId="7135DBE1" w14:textId="7072ED42" w:rsidR="00A96A6A" w:rsidRDefault="00B0395F">
      <w:r w:rsidRPr="0094654A">
        <w:t xml:space="preserve">During the </w:t>
      </w:r>
      <w:r w:rsidR="00536754">
        <w:t>4</w:t>
      </w:r>
      <w:r w:rsidR="00536754" w:rsidRPr="00536754">
        <w:rPr>
          <w:vertAlign w:val="superscript"/>
        </w:rPr>
        <w:t>th</w:t>
      </w:r>
      <w:r w:rsidR="00536754">
        <w:t xml:space="preserve"> </w:t>
      </w:r>
      <w:r w:rsidRPr="0094654A">
        <w:t>quarter, the h</w:t>
      </w:r>
      <w:r w:rsidR="00CD0AEC" w:rsidRPr="0094654A">
        <w:t xml:space="preserve">ousing </w:t>
      </w:r>
      <w:r w:rsidRPr="0094654A">
        <w:t xml:space="preserve">market </w:t>
      </w:r>
      <w:r w:rsidR="00536754">
        <w:t>rebounded, with n</w:t>
      </w:r>
      <w:r w:rsidRPr="0094654A">
        <w:t>ew home starts</w:t>
      </w:r>
      <w:r w:rsidR="00C828B0">
        <w:rPr>
          <w:rStyle w:val="FootnoteReference"/>
        </w:rPr>
        <w:footnoteReference w:id="13"/>
      </w:r>
      <w:r w:rsidRPr="0094654A">
        <w:t xml:space="preserve"> </w:t>
      </w:r>
      <w:r w:rsidR="00536754">
        <w:t>rising for</w:t>
      </w:r>
      <w:r w:rsidR="00A07D5A">
        <w:t xml:space="preserve"> t</w:t>
      </w:r>
      <w:r w:rsidR="00536754">
        <w:t>hree consecutive months to reach a 13-year high of 1.61</w:t>
      </w:r>
      <w:r w:rsidRPr="0094654A">
        <w:t xml:space="preserve"> million in </w:t>
      </w:r>
      <w:r w:rsidR="00536754">
        <w:t>December</w:t>
      </w:r>
      <w:r w:rsidRPr="0094654A">
        <w:t xml:space="preserve">. </w:t>
      </w:r>
      <w:r w:rsidR="00536754">
        <w:t>T</w:t>
      </w:r>
      <w:r w:rsidR="0028237E">
        <w:t xml:space="preserve">otal </w:t>
      </w:r>
      <w:r w:rsidR="00536754">
        <w:t xml:space="preserve">new </w:t>
      </w:r>
      <w:r w:rsidR="0028237E">
        <w:t xml:space="preserve">housing starts were up </w:t>
      </w:r>
      <w:r w:rsidR="00A07D5A">
        <w:t>2</w:t>
      </w:r>
      <w:r w:rsidR="00536754">
        <w:t>7</w:t>
      </w:r>
      <w:r w:rsidR="00A07D5A">
        <w:t>.</w:t>
      </w:r>
      <w:r w:rsidR="00536754">
        <w:t>0</w:t>
      </w:r>
      <w:r w:rsidR="0028237E">
        <w:t xml:space="preserve">% over last quarter. </w:t>
      </w:r>
      <w:r w:rsidR="0039736B">
        <w:t>Single</w:t>
      </w:r>
      <w:r w:rsidR="0026329B">
        <w:t xml:space="preserve">-family </w:t>
      </w:r>
      <w:r w:rsidR="0039736B">
        <w:t>home</w:t>
      </w:r>
      <w:r w:rsidR="00204D9D">
        <w:t xml:space="preserve"> </w:t>
      </w:r>
      <w:r w:rsidR="0039736B">
        <w:t>s</w:t>
      </w:r>
      <w:r w:rsidR="00204D9D">
        <w:t>tarts</w:t>
      </w:r>
      <w:r w:rsidR="0026329B">
        <w:t xml:space="preserve"> </w:t>
      </w:r>
      <w:r w:rsidR="00536754">
        <w:t>jumped 11.2%, reflecting gains in the Midwest and South.</w:t>
      </w:r>
      <w:r w:rsidR="0028237E">
        <w:t xml:space="preserve"> </w:t>
      </w:r>
      <w:r w:rsidR="00536754">
        <w:t>Despite these strong gains,</w:t>
      </w:r>
      <w:r w:rsidR="0028237E">
        <w:t xml:space="preserve"> </w:t>
      </w:r>
      <w:r w:rsidR="00FB0F9F">
        <w:t>building p</w:t>
      </w:r>
      <w:r w:rsidR="00394236">
        <w:t xml:space="preserve">ermits </w:t>
      </w:r>
      <w:r w:rsidR="00204D9D">
        <w:t xml:space="preserve">dropped </w:t>
      </w:r>
      <w:r w:rsidR="00536754">
        <w:t>3.9</w:t>
      </w:r>
      <w:r w:rsidR="00204D9D">
        <w:t>%</w:t>
      </w:r>
      <w:r w:rsidR="00670FB1">
        <w:t xml:space="preserve"> in </w:t>
      </w:r>
      <w:r w:rsidR="00536754">
        <w:t>December</w:t>
      </w:r>
      <w:r w:rsidRPr="0094654A">
        <w:t xml:space="preserve">. </w:t>
      </w:r>
      <w:r w:rsidR="00536754">
        <w:t>L</w:t>
      </w:r>
      <w:r w:rsidR="00670FB1">
        <w:t xml:space="preserve">ower interest rates </w:t>
      </w:r>
      <w:r w:rsidR="00C737DC">
        <w:t xml:space="preserve">and tight inventories </w:t>
      </w:r>
      <w:r w:rsidR="00536754">
        <w:t>are credited for the</w:t>
      </w:r>
      <w:r w:rsidR="00670FB1">
        <w:t xml:space="preserve"> </w:t>
      </w:r>
      <w:r w:rsidR="003B0615">
        <w:t>jumpstart to</w:t>
      </w:r>
      <w:r w:rsidR="00670FB1">
        <w:t xml:space="preserve"> the housing sector in recent months</w:t>
      </w:r>
      <w:r w:rsidR="003B0615">
        <w:t>, while shortages of lots and labor continue to plague the sector</w:t>
      </w:r>
      <w:r w:rsidR="0028237E">
        <w:t xml:space="preserve">. </w:t>
      </w:r>
      <w:r w:rsidR="003B0615">
        <w:t>New home starts throughout the 4</w:t>
      </w:r>
      <w:r w:rsidR="003B0615" w:rsidRPr="003B0615">
        <w:rPr>
          <w:vertAlign w:val="superscript"/>
        </w:rPr>
        <w:t>th</w:t>
      </w:r>
      <w:r w:rsidR="003B0615">
        <w:t xml:space="preserve"> quarter of 2019 exceeded</w:t>
      </w:r>
      <w:r w:rsidR="00424E74" w:rsidRPr="0094654A">
        <w:t xml:space="preserve"> the 30-year average of 1.</w:t>
      </w:r>
      <w:r w:rsidR="005E3622" w:rsidRPr="0094654A">
        <w:t>3</w:t>
      </w:r>
      <w:r w:rsidR="00394236">
        <w:t>0</w:t>
      </w:r>
      <w:r w:rsidR="00424E74" w:rsidRPr="0094654A">
        <w:t xml:space="preserve"> </w:t>
      </w:r>
      <w:r w:rsidR="00424E74" w:rsidRPr="004F1527">
        <w:t>million</w:t>
      </w:r>
      <w:r w:rsidR="00D55969">
        <w:t xml:space="preserve"> units per month</w:t>
      </w:r>
      <w:r w:rsidR="00424E74" w:rsidRPr="004F1527">
        <w:t>.</w:t>
      </w:r>
      <w:r w:rsidR="00F80395">
        <w:t xml:space="preserve"> </w:t>
      </w:r>
    </w:p>
    <w:p w14:paraId="149D5F44" w14:textId="17521F53" w:rsidR="00B5315D" w:rsidRDefault="00C12EFE" w:rsidP="001B4B76">
      <w:pPr>
        <w:jc w:val="center"/>
      </w:pPr>
      <w:r>
        <w:rPr>
          <w:noProof/>
        </w:rPr>
        <w:lastRenderedPageBreak/>
        <w:drawing>
          <wp:inline distT="0" distB="0" distL="0" distR="0" wp14:anchorId="016AC8F8" wp14:editId="150FB9A8">
            <wp:extent cx="3816350" cy="27432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6350" cy="2743200"/>
                    </a:xfrm>
                    <a:prstGeom prst="rect">
                      <a:avLst/>
                    </a:prstGeom>
                    <a:noFill/>
                  </pic:spPr>
                </pic:pic>
              </a:graphicData>
            </a:graphic>
          </wp:inline>
        </w:drawing>
      </w:r>
    </w:p>
    <w:p w14:paraId="149D5F46" w14:textId="4F2803B6" w:rsidR="00A96795" w:rsidRDefault="00A223EC" w:rsidP="000A1224">
      <w:r>
        <w:t xml:space="preserve">The cost </w:t>
      </w:r>
      <w:r w:rsidR="00BC00A7">
        <w:t xml:space="preserve">of financing </w:t>
      </w:r>
      <w:r>
        <w:t xml:space="preserve">for </w:t>
      </w:r>
      <w:r w:rsidR="001B4B76">
        <w:t xml:space="preserve">would-be homebuyers </w:t>
      </w:r>
      <w:r w:rsidR="003B0615">
        <w:t>rose slightly</w:t>
      </w:r>
      <w:r w:rsidR="00394236">
        <w:t xml:space="preserve"> </w:t>
      </w:r>
      <w:r w:rsidR="00670FB1">
        <w:t>during</w:t>
      </w:r>
      <w:r w:rsidR="00394236">
        <w:t xml:space="preserve"> the </w:t>
      </w:r>
      <w:r w:rsidR="003B0615">
        <w:t>4</w:t>
      </w:r>
      <w:r w:rsidR="003B0615" w:rsidRPr="003B0615">
        <w:rPr>
          <w:vertAlign w:val="superscript"/>
        </w:rPr>
        <w:t>th</w:t>
      </w:r>
      <w:r w:rsidR="003B0615">
        <w:t xml:space="preserve"> </w:t>
      </w:r>
      <w:r w:rsidR="00394236">
        <w:t>quarter</w:t>
      </w:r>
      <w:r w:rsidR="0026329B">
        <w:t xml:space="preserve"> </w:t>
      </w:r>
      <w:r w:rsidR="001B4B76">
        <w:t>as the 30-year fixed-rate mortgage</w:t>
      </w:r>
      <w:r w:rsidR="00250313">
        <w:rPr>
          <w:rStyle w:val="FootnoteReference"/>
        </w:rPr>
        <w:footnoteReference w:id="14"/>
      </w:r>
      <w:r w:rsidR="001B4B76">
        <w:t xml:space="preserve"> </w:t>
      </w:r>
      <w:r w:rsidR="003B0615">
        <w:t>inched up</w:t>
      </w:r>
      <w:r w:rsidR="0026329B">
        <w:t xml:space="preserve"> to </w:t>
      </w:r>
      <w:r w:rsidR="0028237E">
        <w:t>3.</w:t>
      </w:r>
      <w:r w:rsidR="003B0615">
        <w:t>7</w:t>
      </w:r>
      <w:r w:rsidR="00670FB1">
        <w:t>4</w:t>
      </w:r>
      <w:r w:rsidR="00BE4FA9">
        <w:t>%</w:t>
      </w:r>
      <w:r w:rsidR="003B0615">
        <w:t xml:space="preserve"> to end 2019</w:t>
      </w:r>
      <w:r w:rsidR="001B4B76">
        <w:t>.</w:t>
      </w:r>
      <w:r w:rsidR="00A730DC">
        <w:t xml:space="preserve"> </w:t>
      </w:r>
      <w:r w:rsidR="00670FB1">
        <w:t>The</w:t>
      </w:r>
      <w:r w:rsidR="00A730DC">
        <w:t xml:space="preserve"> Fed announced </w:t>
      </w:r>
      <w:r w:rsidR="003B0615">
        <w:t>one</w:t>
      </w:r>
      <w:r w:rsidR="00670FB1">
        <w:t xml:space="preserve"> target rate cut</w:t>
      </w:r>
      <w:r w:rsidR="003B0615">
        <w:t xml:space="preserve"> of</w:t>
      </w:r>
      <w:r w:rsidR="00670FB1">
        <w:t xml:space="preserve"> </w:t>
      </w:r>
      <w:r w:rsidR="003B0615">
        <w:t xml:space="preserve">25 basis points </w:t>
      </w:r>
      <w:r w:rsidR="00670FB1">
        <w:t xml:space="preserve">in the </w:t>
      </w:r>
      <w:r w:rsidR="003B0615">
        <w:t>4</w:t>
      </w:r>
      <w:r w:rsidR="003B0615" w:rsidRPr="003B0615">
        <w:rPr>
          <w:vertAlign w:val="superscript"/>
        </w:rPr>
        <w:t>th</w:t>
      </w:r>
      <w:r w:rsidR="003B0615">
        <w:t xml:space="preserve"> </w:t>
      </w:r>
      <w:r w:rsidR="00670FB1">
        <w:t>quarter</w:t>
      </w:r>
      <w:r w:rsidR="00A730DC">
        <w:t>.</w:t>
      </w:r>
    </w:p>
    <w:p w14:paraId="0D0A69F6" w14:textId="562C41CB" w:rsidR="00A96A6A" w:rsidRDefault="00C12EFE" w:rsidP="00453708">
      <w:pPr>
        <w:jc w:val="center"/>
      </w:pPr>
      <w:r>
        <w:rPr>
          <w:noProof/>
        </w:rPr>
        <w:drawing>
          <wp:inline distT="0" distB="0" distL="0" distR="0" wp14:anchorId="6DC841B3" wp14:editId="5F3A2F0F">
            <wp:extent cx="3816350" cy="2737485"/>
            <wp:effectExtent l="0" t="0" r="0" b="571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6350" cy="2737485"/>
                    </a:xfrm>
                    <a:prstGeom prst="rect">
                      <a:avLst/>
                    </a:prstGeom>
                    <a:noFill/>
                  </pic:spPr>
                </pic:pic>
              </a:graphicData>
            </a:graphic>
          </wp:inline>
        </w:drawing>
      </w:r>
    </w:p>
    <w:p w14:paraId="1D2DE37C" w14:textId="06BBB7F6" w:rsidR="00A96A6A" w:rsidRDefault="00B767AE" w:rsidP="00773B5B">
      <w:r>
        <w:t>The S&amp;</w:t>
      </w:r>
      <w:r w:rsidR="00BD1AF4">
        <w:t>P Case-Shiller Home Price Index (20-city)</w:t>
      </w:r>
      <w:r w:rsidR="00B2585A">
        <w:rPr>
          <w:rStyle w:val="FootnoteReference"/>
        </w:rPr>
        <w:footnoteReference w:id="15"/>
      </w:r>
      <w:r w:rsidR="00BD1AF4">
        <w:t xml:space="preserve"> </w:t>
      </w:r>
      <w:r w:rsidR="00BE4FA9">
        <w:t>for</w:t>
      </w:r>
      <w:r w:rsidR="00BD1AF4">
        <w:t xml:space="preserve"> </w:t>
      </w:r>
      <w:r w:rsidR="00C737DC">
        <w:t>November</w:t>
      </w:r>
      <w:r w:rsidR="00BD1AF4">
        <w:t xml:space="preserve"> 201</w:t>
      </w:r>
      <w:r w:rsidR="00A730DC">
        <w:t>9</w:t>
      </w:r>
      <w:r w:rsidR="00BD1AF4">
        <w:t xml:space="preserve"> </w:t>
      </w:r>
      <w:r w:rsidR="001868CB">
        <w:t>increased</w:t>
      </w:r>
      <w:r w:rsidR="00E2306A">
        <w:t xml:space="preserve"> </w:t>
      </w:r>
      <w:r w:rsidR="001868CB">
        <w:t xml:space="preserve">by </w:t>
      </w:r>
      <w:r w:rsidR="0028237E">
        <w:t>2</w:t>
      </w:r>
      <w:r w:rsidR="00A730DC">
        <w:t>.</w:t>
      </w:r>
      <w:r w:rsidR="00C737DC">
        <w:t>5</w:t>
      </w:r>
      <w:r w:rsidR="00E2306A">
        <w:t>%</w:t>
      </w:r>
      <w:r w:rsidR="003A0447">
        <w:t xml:space="preserve"> over the year</w:t>
      </w:r>
      <w:r w:rsidR="00933213">
        <w:t xml:space="preserve">, with </w:t>
      </w:r>
      <w:r w:rsidR="00C737DC">
        <w:t>the largest gains in Southern and Southwestern cities</w:t>
      </w:r>
      <w:r w:rsidR="0096732C">
        <w:t>.</w:t>
      </w:r>
      <w:r w:rsidR="00933213">
        <w:t xml:space="preserve"> </w:t>
      </w:r>
      <w:r w:rsidR="00873466">
        <w:t xml:space="preserve">Last </w:t>
      </w:r>
      <w:r w:rsidR="00C737DC">
        <w:t>November</w:t>
      </w:r>
      <w:r w:rsidR="00873466">
        <w:t xml:space="preserve">, home prices were increasing at a </w:t>
      </w:r>
      <w:r w:rsidR="00C737DC">
        <w:t>4.5</w:t>
      </w:r>
      <w:r w:rsidR="00873466">
        <w:t>% annual rate.</w:t>
      </w:r>
      <w:r w:rsidR="00933213">
        <w:t xml:space="preserve"> </w:t>
      </w:r>
      <w:r w:rsidR="003A0447">
        <w:t xml:space="preserve">The 20-city composite lagged the national index. </w:t>
      </w:r>
      <w:r w:rsidR="00C737DC">
        <w:t>Home inventories were near record lows, especially for starter homes, fueling the late-2019 rebound in prices</w:t>
      </w:r>
      <w:r w:rsidR="00933213">
        <w:t>.</w:t>
      </w:r>
    </w:p>
    <w:p w14:paraId="149D5F4C" w14:textId="7E0B98FA" w:rsidR="0064538F" w:rsidRDefault="00C12EFE" w:rsidP="002775DB">
      <w:pPr>
        <w:jc w:val="center"/>
      </w:pPr>
      <w:r>
        <w:rPr>
          <w:noProof/>
        </w:rPr>
        <w:lastRenderedPageBreak/>
        <w:drawing>
          <wp:inline distT="0" distB="0" distL="0" distR="0" wp14:anchorId="332FD33E" wp14:editId="2A684AD5">
            <wp:extent cx="3493135" cy="27432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93135" cy="2743200"/>
                    </a:xfrm>
                    <a:prstGeom prst="rect">
                      <a:avLst/>
                    </a:prstGeom>
                    <a:noFill/>
                  </pic:spPr>
                </pic:pic>
              </a:graphicData>
            </a:graphic>
          </wp:inline>
        </w:drawing>
      </w:r>
    </w:p>
    <w:p w14:paraId="149D5F4D" w14:textId="52E84594" w:rsidR="00005111" w:rsidRDefault="0079609A" w:rsidP="001475FF">
      <w:pPr>
        <w:pStyle w:val="Heading1"/>
      </w:pPr>
      <w:r>
        <w:t>Consumer Spending</w:t>
      </w:r>
    </w:p>
    <w:p w14:paraId="149D5F51" w14:textId="6D016BA6" w:rsidR="0079609A" w:rsidRDefault="00873466" w:rsidP="00A04AD3">
      <w:r>
        <w:t>T</w:t>
      </w:r>
      <w:r w:rsidR="0079609A" w:rsidRPr="00FD4516">
        <w:t>he</w:t>
      </w:r>
      <w:r w:rsidR="0079609A" w:rsidRPr="00971553">
        <w:t xml:space="preserve"> level of Personal Consumption Expenditures (PCE)</w:t>
      </w:r>
      <w:r w:rsidR="00421F60">
        <w:rPr>
          <w:rStyle w:val="FootnoteReference"/>
        </w:rPr>
        <w:footnoteReference w:id="16"/>
      </w:r>
      <w:r w:rsidR="0079609A" w:rsidRPr="00971553">
        <w:t xml:space="preserve"> </w:t>
      </w:r>
      <w:r w:rsidR="00933213">
        <w:t>rose</w:t>
      </w:r>
      <w:r w:rsidR="0079609A" w:rsidRPr="00971553">
        <w:t xml:space="preserve"> </w:t>
      </w:r>
      <w:r w:rsidR="00914EA8">
        <w:t xml:space="preserve">by </w:t>
      </w:r>
      <w:r w:rsidR="00BA05F4">
        <w:t>4.98</w:t>
      </w:r>
      <w:r w:rsidR="0079609A" w:rsidRPr="00971553">
        <w:t xml:space="preserve">% </w:t>
      </w:r>
      <w:r w:rsidR="005C532B">
        <w:t xml:space="preserve">from </w:t>
      </w:r>
      <w:r w:rsidR="00BA05F4">
        <w:t>December</w:t>
      </w:r>
      <w:r w:rsidR="00A04AD3">
        <w:t xml:space="preserve"> 2018 to </w:t>
      </w:r>
      <w:r w:rsidR="00BA05F4">
        <w:t>December</w:t>
      </w:r>
      <w:r w:rsidR="00A04AD3">
        <w:t xml:space="preserve"> 2019</w:t>
      </w:r>
      <w:r w:rsidR="002F6282">
        <w:t xml:space="preserve">. </w:t>
      </w:r>
      <w:r w:rsidR="00933213">
        <w:t>Increased</w:t>
      </w:r>
      <w:r w:rsidR="00155E88">
        <w:t xml:space="preserve"> spending on </w:t>
      </w:r>
      <w:r w:rsidR="00A04AD3">
        <w:t>healthcare</w:t>
      </w:r>
      <w:r w:rsidR="00155E88">
        <w:t xml:space="preserve"> </w:t>
      </w:r>
      <w:r w:rsidR="00BA05F4">
        <w:t>and prescription drugs led</w:t>
      </w:r>
      <w:r w:rsidR="00155E88">
        <w:t xml:space="preserve"> the recent expenditure </w:t>
      </w:r>
      <w:r w:rsidR="00BA05F4">
        <w:t>growth</w:t>
      </w:r>
      <w:r w:rsidR="002A0B80">
        <w:t xml:space="preserve">. </w:t>
      </w:r>
      <w:r w:rsidR="00BA05F4">
        <w:t>December’s increase outpaced</w:t>
      </w:r>
      <w:r w:rsidR="00971553" w:rsidRPr="00971553">
        <w:t xml:space="preserve"> </w:t>
      </w:r>
      <w:r w:rsidR="0079609A" w:rsidRPr="00971553">
        <w:t xml:space="preserve">both the 30-year average level of </w:t>
      </w:r>
      <w:r>
        <w:t>4.</w:t>
      </w:r>
      <w:r w:rsidR="002A0B80">
        <w:t>8</w:t>
      </w:r>
      <w:r w:rsidR="00BA05F4">
        <w:t>1</w:t>
      </w:r>
      <w:r w:rsidR="0079609A" w:rsidRPr="00971553">
        <w:t xml:space="preserve">% and </w:t>
      </w:r>
      <w:r w:rsidR="001E7445">
        <w:t xml:space="preserve">the </w:t>
      </w:r>
      <w:r w:rsidR="00BA05F4">
        <w:t>3.50</w:t>
      </w:r>
      <w:r w:rsidR="0079609A" w:rsidRPr="00971553">
        <w:t xml:space="preserve">% </w:t>
      </w:r>
      <w:r w:rsidR="008B1963">
        <w:t>level</w:t>
      </w:r>
      <w:r w:rsidR="00CA2DA3">
        <w:t xml:space="preserve"> from </w:t>
      </w:r>
      <w:r w:rsidR="0079609A" w:rsidRPr="00971553">
        <w:t xml:space="preserve">the same period </w:t>
      </w:r>
      <w:r w:rsidR="005C532B">
        <w:t>a</w:t>
      </w:r>
      <w:r w:rsidR="0079609A" w:rsidRPr="00971553">
        <w:t xml:space="preserve"> year</w:t>
      </w:r>
      <w:r w:rsidR="005C532B">
        <w:t xml:space="preserve"> ago</w:t>
      </w:r>
      <w:r w:rsidR="0079609A" w:rsidRPr="00971553">
        <w:t>.</w:t>
      </w:r>
    </w:p>
    <w:p w14:paraId="419D69CE" w14:textId="4F9C455B" w:rsidR="00A96A6A" w:rsidRDefault="00F14BBD" w:rsidP="00CF06AE">
      <w:pPr>
        <w:jc w:val="center"/>
      </w:pPr>
      <w:r>
        <w:rPr>
          <w:noProof/>
        </w:rPr>
        <w:drawing>
          <wp:inline distT="0" distB="0" distL="0" distR="0" wp14:anchorId="70A9A1ED" wp14:editId="28D006A9">
            <wp:extent cx="3493135" cy="274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93135" cy="2743200"/>
                    </a:xfrm>
                    <a:prstGeom prst="rect">
                      <a:avLst/>
                    </a:prstGeom>
                    <a:noFill/>
                  </pic:spPr>
                </pic:pic>
              </a:graphicData>
            </a:graphic>
          </wp:inline>
        </w:drawing>
      </w:r>
    </w:p>
    <w:p w14:paraId="149D5F53" w14:textId="0844F194" w:rsidR="0079609A" w:rsidRDefault="00515DB3" w:rsidP="00F92FD1">
      <w:r>
        <w:lastRenderedPageBreak/>
        <w:t xml:space="preserve">Automotive companies </w:t>
      </w:r>
      <w:r w:rsidR="00695980">
        <w:t xml:space="preserve">reported </w:t>
      </w:r>
      <w:r w:rsidR="008B37F0" w:rsidRPr="008B37F0">
        <w:t>1</w:t>
      </w:r>
      <w:r w:rsidR="00BA05F4">
        <w:t>6.7</w:t>
      </w:r>
      <w:r w:rsidR="0079609A" w:rsidRPr="008B37F0">
        <w:t xml:space="preserve"> million autos and light trucks sold</w:t>
      </w:r>
      <w:r w:rsidR="00933E80">
        <w:rPr>
          <w:rStyle w:val="FootnoteReference"/>
        </w:rPr>
        <w:footnoteReference w:id="17"/>
      </w:r>
      <w:r w:rsidR="0079609A" w:rsidRPr="008B37F0">
        <w:t xml:space="preserve"> in </w:t>
      </w:r>
      <w:r w:rsidR="00BA05F4">
        <w:t>December</w:t>
      </w:r>
      <w:r w:rsidR="008B3E4E">
        <w:t>,</w:t>
      </w:r>
      <w:r w:rsidR="005B40E5">
        <w:t xml:space="preserve"> </w:t>
      </w:r>
      <w:r w:rsidR="00BA05F4">
        <w:t>down</w:t>
      </w:r>
      <w:r w:rsidR="008B3E4E">
        <w:t xml:space="preserve"> </w:t>
      </w:r>
      <w:r w:rsidR="002361FB">
        <w:t>0</w:t>
      </w:r>
      <w:r w:rsidR="00155E88">
        <w:t>.</w:t>
      </w:r>
      <w:r w:rsidR="00BA05F4">
        <w:t>4</w:t>
      </w:r>
      <w:r w:rsidR="0079609A" w:rsidRPr="008B37F0">
        <w:t xml:space="preserve"> million </w:t>
      </w:r>
      <w:r w:rsidR="00155E88">
        <w:t xml:space="preserve">units </w:t>
      </w:r>
      <w:r w:rsidR="00CF06AE">
        <w:t xml:space="preserve">from </w:t>
      </w:r>
      <w:r w:rsidR="00BA05F4">
        <w:t>November</w:t>
      </w:r>
      <w:r w:rsidR="002361FB">
        <w:t xml:space="preserve"> </w:t>
      </w:r>
      <w:r w:rsidR="00BA05F4">
        <w:t>and</w:t>
      </w:r>
      <w:r w:rsidR="002361FB">
        <w:t xml:space="preserve"> </w:t>
      </w:r>
      <w:r w:rsidR="00155E88">
        <w:t>0.</w:t>
      </w:r>
      <w:r w:rsidR="00BA05F4">
        <w:t>7</w:t>
      </w:r>
      <w:r w:rsidR="00155E88">
        <w:t xml:space="preserve"> million </w:t>
      </w:r>
      <w:r w:rsidR="003A679B">
        <w:t>over the year</w:t>
      </w:r>
      <w:r w:rsidR="00155E88">
        <w:t>.</w:t>
      </w:r>
      <w:r w:rsidR="0079609A" w:rsidRPr="008B37F0">
        <w:t xml:space="preserve"> </w:t>
      </w:r>
      <w:r w:rsidR="00BA05F4">
        <w:t>December</w:t>
      </w:r>
      <w:r w:rsidR="00155E88">
        <w:t xml:space="preserve"> sales were</w:t>
      </w:r>
      <w:r w:rsidR="0079609A" w:rsidRPr="008B37F0">
        <w:t xml:space="preserve"> </w:t>
      </w:r>
      <w:r w:rsidR="003A679B">
        <w:t>1.</w:t>
      </w:r>
      <w:r w:rsidR="00E71440">
        <w:t>4</w:t>
      </w:r>
      <w:r w:rsidR="0079609A" w:rsidRPr="008B37F0">
        <w:t xml:space="preserve"> million units a</w:t>
      </w:r>
      <w:r w:rsidR="008B37F0" w:rsidRPr="008B37F0">
        <w:t>bove the 30-year average of 15.</w:t>
      </w:r>
      <w:r w:rsidR="008B3E4E">
        <w:t>3</w:t>
      </w:r>
      <w:r w:rsidR="0079609A" w:rsidRPr="008B37F0">
        <w:t xml:space="preserve"> million</w:t>
      </w:r>
      <w:r w:rsidR="00354195">
        <w:t xml:space="preserve"> units per month</w:t>
      </w:r>
      <w:r w:rsidR="00F92FD1">
        <w:t>.</w:t>
      </w:r>
    </w:p>
    <w:p w14:paraId="571A905C" w14:textId="457D3F74" w:rsidR="002E3647" w:rsidRDefault="00F14BBD" w:rsidP="003A679B">
      <w:pPr>
        <w:jc w:val="center"/>
      </w:pPr>
      <w:r>
        <w:rPr>
          <w:noProof/>
        </w:rPr>
        <w:drawing>
          <wp:inline distT="0" distB="0" distL="0" distR="0" wp14:anchorId="6A2176D8" wp14:editId="5C7311C3">
            <wp:extent cx="4090670" cy="2743200"/>
            <wp:effectExtent l="0" t="0" r="508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0670" cy="2743200"/>
                    </a:xfrm>
                    <a:prstGeom prst="rect">
                      <a:avLst/>
                    </a:prstGeom>
                    <a:noFill/>
                  </pic:spPr>
                </pic:pic>
              </a:graphicData>
            </a:graphic>
          </wp:inline>
        </w:drawing>
      </w:r>
    </w:p>
    <w:p w14:paraId="59B475FF" w14:textId="2763FF48" w:rsidR="002E3647" w:rsidRDefault="008A581A" w:rsidP="00354195">
      <w:r w:rsidRPr="002E3647">
        <w:t>The c</w:t>
      </w:r>
      <w:r w:rsidR="008C5503" w:rsidRPr="002E3647">
        <w:t>onsumer sentiment</w:t>
      </w:r>
      <w:r w:rsidR="00291FFB" w:rsidRPr="002E3647">
        <w:rPr>
          <w:rStyle w:val="FootnoteReference"/>
        </w:rPr>
        <w:footnoteReference w:id="18"/>
      </w:r>
      <w:r w:rsidR="008C5503" w:rsidRPr="002E3647">
        <w:t xml:space="preserve"> </w:t>
      </w:r>
      <w:r w:rsidRPr="002E3647">
        <w:t>index ended</w:t>
      </w:r>
      <w:r w:rsidR="008C5503" w:rsidRPr="002E3647">
        <w:t xml:space="preserve"> </w:t>
      </w:r>
      <w:r w:rsidR="00E71440">
        <w:t>the 4</w:t>
      </w:r>
      <w:r w:rsidR="00E71440" w:rsidRPr="00E71440">
        <w:rPr>
          <w:vertAlign w:val="superscript"/>
        </w:rPr>
        <w:t>th</w:t>
      </w:r>
      <w:r w:rsidR="00E71440">
        <w:t xml:space="preserve"> quarter</w:t>
      </w:r>
      <w:r w:rsidRPr="002E3647">
        <w:t xml:space="preserve"> at </w:t>
      </w:r>
      <w:r w:rsidR="003A679B">
        <w:t>9</w:t>
      </w:r>
      <w:r w:rsidR="00E71440">
        <w:t>9</w:t>
      </w:r>
      <w:r w:rsidR="003A679B">
        <w:t>.</w:t>
      </w:r>
      <w:r w:rsidR="00E71440">
        <w:t>3 after rising in all three months</w:t>
      </w:r>
      <w:r w:rsidR="00B316F7">
        <w:t xml:space="preserve"> of the quarter</w:t>
      </w:r>
      <w:r w:rsidRPr="002E3647">
        <w:t xml:space="preserve">. </w:t>
      </w:r>
      <w:r w:rsidR="00E71440">
        <w:t xml:space="preserve">December’s advance primarily reflected rising sentiment among </w:t>
      </w:r>
      <w:proofErr w:type="gramStart"/>
      <w:r w:rsidR="00E71440">
        <w:t>higher-income</w:t>
      </w:r>
      <w:proofErr w:type="gramEnd"/>
      <w:r w:rsidR="00E71440">
        <w:t xml:space="preserve"> households, and came despite the impeachment trial of President Trump</w:t>
      </w:r>
      <w:r w:rsidR="006970E9" w:rsidRPr="002E3647">
        <w:t xml:space="preserve">. </w:t>
      </w:r>
      <w:r w:rsidR="00E71440">
        <w:t>December’s</w:t>
      </w:r>
      <w:r w:rsidR="006970E9" w:rsidRPr="002E3647">
        <w:t xml:space="preserve"> consumer sentiment </w:t>
      </w:r>
      <w:r w:rsidR="003A679B">
        <w:t xml:space="preserve">reading </w:t>
      </w:r>
      <w:r w:rsidR="006970E9" w:rsidRPr="002E3647">
        <w:t xml:space="preserve">was </w:t>
      </w:r>
      <w:r w:rsidR="00A073CB">
        <w:t>above</w:t>
      </w:r>
      <w:r w:rsidR="003A679B">
        <w:t xml:space="preserve"> </w:t>
      </w:r>
      <w:r w:rsidR="00316E8F">
        <w:t xml:space="preserve">its level of </w:t>
      </w:r>
      <w:r w:rsidR="00A073CB">
        <w:t>98.3</w:t>
      </w:r>
      <w:r w:rsidR="00316E8F">
        <w:t xml:space="preserve"> one year prior </w:t>
      </w:r>
      <w:r w:rsidR="00A073CB">
        <w:t>and well above</w:t>
      </w:r>
      <w:r w:rsidR="006970E9" w:rsidRPr="002E3647">
        <w:t xml:space="preserve"> the 30-year average of </w:t>
      </w:r>
      <w:r w:rsidRPr="002E3647">
        <w:t>87.</w:t>
      </w:r>
      <w:r w:rsidR="00A073CB">
        <w:t>6</w:t>
      </w:r>
      <w:r w:rsidR="00291FFB" w:rsidRPr="002E3647">
        <w:t>.</w:t>
      </w:r>
    </w:p>
    <w:p w14:paraId="182CF22B" w14:textId="56FC6397" w:rsidR="000D5719" w:rsidRDefault="00F14BBD" w:rsidP="002E3647">
      <w:pPr>
        <w:jc w:val="center"/>
      </w:pPr>
      <w:r>
        <w:rPr>
          <w:noProof/>
        </w:rPr>
        <w:lastRenderedPageBreak/>
        <w:drawing>
          <wp:inline distT="0" distB="0" distL="0" distR="0" wp14:anchorId="60D56DF0" wp14:editId="192C63C6">
            <wp:extent cx="4090670" cy="2743200"/>
            <wp:effectExtent l="0" t="0" r="508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90670" cy="2743200"/>
                    </a:xfrm>
                    <a:prstGeom prst="rect">
                      <a:avLst/>
                    </a:prstGeom>
                    <a:noFill/>
                  </pic:spPr>
                </pic:pic>
              </a:graphicData>
            </a:graphic>
          </wp:inline>
        </w:drawing>
      </w:r>
    </w:p>
    <w:p w14:paraId="149D5F56" w14:textId="77777777" w:rsidR="0091664E" w:rsidRDefault="0091664E" w:rsidP="0091664E">
      <w:pPr>
        <w:pStyle w:val="Heading1"/>
      </w:pPr>
      <w:r>
        <w:t>Capital Markets</w:t>
      </w:r>
    </w:p>
    <w:p w14:paraId="79C54A89" w14:textId="79C5E6B1" w:rsidR="002E3647" w:rsidRDefault="00FB7EF9" w:rsidP="00B875CA">
      <w:r>
        <w:t>U</w:t>
      </w:r>
      <w:r w:rsidR="00BC00A7">
        <w:t>.</w:t>
      </w:r>
      <w:r>
        <w:t>S</w:t>
      </w:r>
      <w:r w:rsidR="00BC00A7">
        <w:t>.</w:t>
      </w:r>
      <w:r>
        <w:t xml:space="preserve"> </w:t>
      </w:r>
      <w:r w:rsidR="008B3E4E">
        <w:t xml:space="preserve">stock </w:t>
      </w:r>
      <w:r w:rsidR="00890B68">
        <w:t>indices</w:t>
      </w:r>
      <w:r w:rsidR="002A14C5">
        <w:t xml:space="preserve"> </w:t>
      </w:r>
      <w:r w:rsidR="00BA5F96">
        <w:t>posted widespread gains during the 4</w:t>
      </w:r>
      <w:r w:rsidR="00BA5F96" w:rsidRPr="00BA5F96">
        <w:rPr>
          <w:vertAlign w:val="superscript"/>
        </w:rPr>
        <w:t>th</w:t>
      </w:r>
      <w:r w:rsidR="00BA5F96">
        <w:t xml:space="preserve"> quarter of 2019</w:t>
      </w:r>
      <w:r w:rsidR="00F417FC">
        <w:t xml:space="preserve">, pushing annual </w:t>
      </w:r>
      <w:r w:rsidR="004B3923">
        <w:t>growth</w:t>
      </w:r>
      <w:r w:rsidR="00F417FC">
        <w:t xml:space="preserve"> to 6-year highs for the S&amp;P 500 and NASDAQ Composite</w:t>
      </w:r>
      <w:r w:rsidR="00F27237">
        <w:t xml:space="preserve">. </w:t>
      </w:r>
      <w:r w:rsidR="00F417FC">
        <w:t>Advancement toward a U.S.-China trade deal late in the year eased investors’ trade concerns</w:t>
      </w:r>
      <w:r w:rsidR="00822897">
        <w:t xml:space="preserve">. </w:t>
      </w:r>
      <w:r w:rsidR="00F417FC">
        <w:t xml:space="preserve">Also contributing to stock growth were three Federal Reserve rate cuts throughout the year and high consumer sentiment, despite slowing growth and a looming impeachment trial. </w:t>
      </w:r>
      <w:r w:rsidR="004778D8" w:rsidRPr="00093D9A">
        <w:t xml:space="preserve">The S&amp;P 500 </w:t>
      </w:r>
      <w:r w:rsidR="00953DDB" w:rsidRPr="00093D9A">
        <w:t xml:space="preserve">closed the quarter at </w:t>
      </w:r>
      <w:r w:rsidR="00F417FC">
        <w:t>3,230.78</w:t>
      </w:r>
      <w:r w:rsidR="00BC00A7">
        <w:t>,</w:t>
      </w:r>
      <w:r w:rsidR="004476DE" w:rsidRPr="00093D9A">
        <w:t xml:space="preserve"> </w:t>
      </w:r>
      <w:r w:rsidR="009C4651">
        <w:t>up</w:t>
      </w:r>
      <w:r w:rsidR="002A14C5">
        <w:t xml:space="preserve"> </w:t>
      </w:r>
      <w:r w:rsidR="00F417FC">
        <w:t>8.5</w:t>
      </w:r>
      <w:r w:rsidR="00953DDB" w:rsidRPr="00093D9A">
        <w:t xml:space="preserve">% </w:t>
      </w:r>
      <w:r w:rsidR="008972D1" w:rsidRPr="00093D9A">
        <w:t xml:space="preserve">from </w:t>
      </w:r>
      <w:r w:rsidR="00953DDB" w:rsidRPr="00093D9A">
        <w:t xml:space="preserve">the </w:t>
      </w:r>
      <w:r w:rsidR="008972D1" w:rsidRPr="00093D9A">
        <w:t xml:space="preserve">previous </w:t>
      </w:r>
      <w:r w:rsidR="00953DDB" w:rsidRPr="00093D9A">
        <w:t xml:space="preserve">quarter and </w:t>
      </w:r>
      <w:r w:rsidR="00F417FC">
        <w:t>28.9</w:t>
      </w:r>
      <w:r w:rsidR="002A14C5">
        <w:t xml:space="preserve">% </w:t>
      </w:r>
      <w:r w:rsidR="00CD3F6E">
        <w:t>from</w:t>
      </w:r>
      <w:r w:rsidR="009C4651">
        <w:t xml:space="preserve"> the same period last year</w:t>
      </w:r>
      <w:r w:rsidR="00953DDB" w:rsidRPr="00093D9A">
        <w:t xml:space="preserve">. </w:t>
      </w:r>
      <w:r w:rsidR="002A14C5">
        <w:t xml:space="preserve">The Dow Jones </w:t>
      </w:r>
      <w:r w:rsidR="009445E7">
        <w:t>was</w:t>
      </w:r>
      <w:r w:rsidR="002A14C5">
        <w:t xml:space="preserve"> </w:t>
      </w:r>
      <w:r w:rsidR="009C4651">
        <w:t>up</w:t>
      </w:r>
      <w:r w:rsidR="002A14C5">
        <w:t xml:space="preserve"> </w:t>
      </w:r>
      <w:r w:rsidR="00F417FC">
        <w:t>6.0</w:t>
      </w:r>
      <w:r w:rsidR="002A14C5">
        <w:t xml:space="preserve">% in the </w:t>
      </w:r>
      <w:r w:rsidR="00F417FC">
        <w:t>4</w:t>
      </w:r>
      <w:r w:rsidR="00F417FC" w:rsidRPr="00F417FC">
        <w:rPr>
          <w:vertAlign w:val="superscript"/>
        </w:rPr>
        <w:t>th</w:t>
      </w:r>
      <w:r w:rsidR="00F417FC">
        <w:t xml:space="preserve"> </w:t>
      </w:r>
      <w:r w:rsidR="002A14C5">
        <w:t xml:space="preserve">quarter and </w:t>
      </w:r>
      <w:r w:rsidR="00F417FC">
        <w:t>22.3</w:t>
      </w:r>
      <w:r w:rsidR="002A14C5">
        <w:t xml:space="preserve">% </w:t>
      </w:r>
      <w:r w:rsidR="009C4651">
        <w:t>over the year</w:t>
      </w:r>
      <w:r w:rsidR="002A14C5">
        <w:t xml:space="preserve">. </w:t>
      </w:r>
      <w:r w:rsidR="004B3923">
        <w:t>T</w:t>
      </w:r>
      <w:r w:rsidR="00822897">
        <w:t xml:space="preserve">he NASDAQ Composite </w:t>
      </w:r>
      <w:r w:rsidR="004B3923">
        <w:t>experienced double-digit growth in the 4</w:t>
      </w:r>
      <w:r w:rsidR="004B3923" w:rsidRPr="004B3923">
        <w:rPr>
          <w:vertAlign w:val="superscript"/>
        </w:rPr>
        <w:t>th</w:t>
      </w:r>
      <w:r w:rsidR="004B3923">
        <w:t xml:space="preserve"> quarter at 12.2% and</w:t>
      </w:r>
      <w:r w:rsidR="00822897">
        <w:t xml:space="preserve"> </w:t>
      </w:r>
      <w:r w:rsidR="004B3923">
        <w:t xml:space="preserve">ended </w:t>
      </w:r>
      <w:r w:rsidR="00822897">
        <w:t xml:space="preserve">the year </w:t>
      </w:r>
      <w:r w:rsidR="004B3923">
        <w:t>up</w:t>
      </w:r>
      <w:r w:rsidR="00822897">
        <w:t xml:space="preserve"> </w:t>
      </w:r>
      <w:r w:rsidR="004B3923">
        <w:t>35.2</w:t>
      </w:r>
      <w:r w:rsidR="00E2557A">
        <w:t>%</w:t>
      </w:r>
      <w:r w:rsidR="00953DDB" w:rsidRPr="00093D9A">
        <w:t>.</w:t>
      </w:r>
      <w:r w:rsidR="002A14C5">
        <w:t xml:space="preserve"> </w:t>
      </w:r>
    </w:p>
    <w:p w14:paraId="3C77E48B" w14:textId="04308C21" w:rsidR="002E3647" w:rsidRDefault="005828F0" w:rsidP="002308A9">
      <w:pPr>
        <w:jc w:val="center"/>
      </w:pPr>
      <w:r w:rsidRPr="005828F0">
        <w:rPr>
          <w:noProof/>
        </w:rPr>
        <w:drawing>
          <wp:inline distT="0" distB="0" distL="0" distR="0" wp14:anchorId="10D7B3F7" wp14:editId="7E685923">
            <wp:extent cx="4791075" cy="15335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91075" cy="1533525"/>
                    </a:xfrm>
                    <a:prstGeom prst="rect">
                      <a:avLst/>
                    </a:prstGeom>
                    <a:noFill/>
                    <a:ln>
                      <a:noFill/>
                    </a:ln>
                  </pic:spPr>
                </pic:pic>
              </a:graphicData>
            </a:graphic>
          </wp:inline>
        </w:drawing>
      </w:r>
    </w:p>
    <w:p w14:paraId="3743084E" w14:textId="31D725EE" w:rsidR="00857079" w:rsidRDefault="005C2215" w:rsidP="00BB3B04">
      <w:pPr>
        <w:jc w:val="center"/>
        <w:rPr>
          <w:color w:val="FF0000"/>
        </w:rPr>
      </w:pPr>
      <w:r>
        <w:rPr>
          <w:noProof/>
          <w:color w:val="FF0000"/>
        </w:rPr>
        <w:lastRenderedPageBreak/>
        <w:drawing>
          <wp:inline distT="0" distB="0" distL="0" distR="0" wp14:anchorId="0F4F6EE2" wp14:editId="1174330D">
            <wp:extent cx="4097020" cy="27495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97020" cy="2749550"/>
                    </a:xfrm>
                    <a:prstGeom prst="rect">
                      <a:avLst/>
                    </a:prstGeom>
                    <a:noFill/>
                  </pic:spPr>
                </pic:pic>
              </a:graphicData>
            </a:graphic>
          </wp:inline>
        </w:drawing>
      </w:r>
    </w:p>
    <w:p w14:paraId="3E9D1768" w14:textId="7E696505" w:rsidR="0007515A" w:rsidRDefault="00100DF8" w:rsidP="00354195">
      <w:r>
        <w:t>Stock market v</w:t>
      </w:r>
      <w:r w:rsidR="0007515A">
        <w:t>olatility</w:t>
      </w:r>
      <w:r w:rsidR="0007515A">
        <w:rPr>
          <w:rStyle w:val="FootnoteReference"/>
        </w:rPr>
        <w:footnoteReference w:id="19"/>
      </w:r>
      <w:r>
        <w:t xml:space="preserve"> ended the </w:t>
      </w:r>
      <w:r w:rsidR="004B3923">
        <w:t>4</w:t>
      </w:r>
      <w:r w:rsidR="004B3923" w:rsidRPr="004B3923">
        <w:rPr>
          <w:vertAlign w:val="superscript"/>
        </w:rPr>
        <w:t>th</w:t>
      </w:r>
      <w:r w:rsidR="004B3923">
        <w:t xml:space="preserve"> </w:t>
      </w:r>
      <w:r>
        <w:t>quarter at 1</w:t>
      </w:r>
      <w:r w:rsidR="004B3923">
        <w:t>3.78</w:t>
      </w:r>
      <w:r>
        <w:t xml:space="preserve">, </w:t>
      </w:r>
      <w:r w:rsidR="004B3923">
        <w:t>down 15.1</w:t>
      </w:r>
      <w:r>
        <w:t xml:space="preserve">% since last quarter </w:t>
      </w:r>
      <w:r w:rsidR="004B3923">
        <w:t>and</w:t>
      </w:r>
      <w:r>
        <w:t xml:space="preserve"> below the 10-year average of </w:t>
      </w:r>
      <w:r w:rsidR="004B3923">
        <w:t>16.86</w:t>
      </w:r>
      <w:r>
        <w:t xml:space="preserve">. </w:t>
      </w:r>
      <w:r w:rsidR="00D44971">
        <w:t>T</w:t>
      </w:r>
      <w:r>
        <w:t>he volatility index, a proxy for investor anxiety derived from tracking options prices on S&amp;P 500 stocks</w:t>
      </w:r>
      <w:r w:rsidR="00C01B26">
        <w:t xml:space="preserve">, </w:t>
      </w:r>
      <w:r w:rsidR="00D44971">
        <w:t xml:space="preserve">dipped to a 15-month low </w:t>
      </w:r>
      <w:r w:rsidR="005C6CD5">
        <w:t xml:space="preserve">of 11.54 </w:t>
      </w:r>
      <w:r w:rsidR="00D44971">
        <w:t xml:space="preserve">in November despite mixed signals on U.S.-China trade talks, and reversed its usual negative correlation with stock market performance. </w:t>
      </w:r>
      <w:r w:rsidR="005C6CD5">
        <w:t xml:space="preserve">Policy easing by the Fed and </w:t>
      </w:r>
      <w:r w:rsidR="00F72052">
        <w:t>signs of growth in</w:t>
      </w:r>
      <w:r w:rsidR="005C6CD5">
        <w:t xml:space="preserve"> other developed economies across the globe </w:t>
      </w:r>
      <w:r w:rsidR="00F72052">
        <w:t xml:space="preserve">helped to </w:t>
      </w:r>
      <w:r w:rsidR="005C6CD5">
        <w:t>maintain investor calm through the 4</w:t>
      </w:r>
      <w:r w:rsidR="005C6CD5" w:rsidRPr="005C6CD5">
        <w:rPr>
          <w:vertAlign w:val="superscript"/>
        </w:rPr>
        <w:t>th</w:t>
      </w:r>
      <w:r w:rsidR="005C6CD5">
        <w:t xml:space="preserve"> quarter</w:t>
      </w:r>
      <w:r w:rsidR="00C01B26">
        <w:t>.</w:t>
      </w:r>
    </w:p>
    <w:p w14:paraId="0420E509" w14:textId="39FEA89D" w:rsidR="00100DF8" w:rsidRPr="00354195" w:rsidRDefault="005C2215" w:rsidP="00FD0160">
      <w:pPr>
        <w:jc w:val="center"/>
      </w:pPr>
      <w:r>
        <w:rPr>
          <w:noProof/>
        </w:rPr>
        <w:drawing>
          <wp:inline distT="0" distB="0" distL="0" distR="0" wp14:anchorId="4FCF91ED" wp14:editId="115D0E6A">
            <wp:extent cx="4097020" cy="27495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97020" cy="2749550"/>
                    </a:xfrm>
                    <a:prstGeom prst="rect">
                      <a:avLst/>
                    </a:prstGeom>
                    <a:noFill/>
                  </pic:spPr>
                </pic:pic>
              </a:graphicData>
            </a:graphic>
          </wp:inline>
        </w:drawing>
      </w:r>
    </w:p>
    <w:p w14:paraId="149D5F93" w14:textId="77777777" w:rsidR="00E44639" w:rsidRDefault="00E44639" w:rsidP="00E44639">
      <w:pPr>
        <w:pStyle w:val="Heading1"/>
      </w:pPr>
      <w:r>
        <w:lastRenderedPageBreak/>
        <w:t>Outlook</w:t>
      </w:r>
    </w:p>
    <w:p w14:paraId="149D5F95" w14:textId="54633B68" w:rsidR="0022226D" w:rsidRDefault="00886D3A" w:rsidP="00E44639">
      <w:r w:rsidRPr="00090DA6">
        <w:t xml:space="preserve">The </w:t>
      </w:r>
      <w:r w:rsidR="00F60736" w:rsidRPr="00090DA6">
        <w:t xml:space="preserve">U.S. </w:t>
      </w:r>
      <w:r w:rsidRPr="00090DA6">
        <w:t>Federal</w:t>
      </w:r>
      <w:r w:rsidR="00F60736" w:rsidRPr="00090DA6">
        <w:t xml:space="preserve"> Open Market Committee is projecting real GDP growth</w:t>
      </w:r>
      <w:r w:rsidR="00BF5CE2">
        <w:rPr>
          <w:rStyle w:val="FootnoteReference"/>
        </w:rPr>
        <w:footnoteReference w:id="20"/>
      </w:r>
      <w:r w:rsidR="00F60736" w:rsidRPr="00090DA6">
        <w:t xml:space="preserve"> to slow </w:t>
      </w:r>
      <w:r w:rsidR="00265131">
        <w:t>steadily</w:t>
      </w:r>
      <w:r w:rsidR="00AB6F46">
        <w:t xml:space="preserve"> </w:t>
      </w:r>
      <w:r w:rsidR="00F60736" w:rsidRPr="00090DA6">
        <w:t xml:space="preserve">to </w:t>
      </w:r>
      <w:r w:rsidR="00090DA6" w:rsidRPr="00090DA6">
        <w:t>1</w:t>
      </w:r>
      <w:r w:rsidR="00F60736" w:rsidRPr="00090DA6">
        <w:t>.</w:t>
      </w:r>
      <w:r w:rsidR="000D646D">
        <w:t>90</w:t>
      </w:r>
      <w:r w:rsidR="00F60736" w:rsidRPr="00090DA6">
        <w:t>% by 20</w:t>
      </w:r>
      <w:r w:rsidR="00090DA6" w:rsidRPr="00090DA6">
        <w:t>2</w:t>
      </w:r>
      <w:r w:rsidR="000D646D">
        <w:t>1 and 202</w:t>
      </w:r>
      <w:r w:rsidR="00140FEE">
        <w:t>2</w:t>
      </w:r>
      <w:r w:rsidR="00F60736" w:rsidRPr="00090DA6">
        <w:t>. They expect growth in Personal Consumption Expendit</w:t>
      </w:r>
      <w:r w:rsidR="00090DA6" w:rsidRPr="00090DA6">
        <w:t>ures (PCE)</w:t>
      </w:r>
      <w:r w:rsidR="005D3CEF">
        <w:rPr>
          <w:rStyle w:val="FootnoteReference"/>
        </w:rPr>
        <w:footnoteReference w:id="21"/>
      </w:r>
      <w:r w:rsidR="00090DA6" w:rsidRPr="00090DA6">
        <w:t xml:space="preserve"> to accelerate </w:t>
      </w:r>
      <w:r w:rsidR="00F60736" w:rsidRPr="00090DA6">
        <w:t>to 2.</w:t>
      </w:r>
      <w:r w:rsidR="00140FEE">
        <w:t>10</w:t>
      </w:r>
      <w:r w:rsidR="00090DA6" w:rsidRPr="00090DA6">
        <w:t xml:space="preserve">% by </w:t>
      </w:r>
      <w:r w:rsidR="00AB6F46">
        <w:t>202</w:t>
      </w:r>
      <w:r w:rsidR="00140FEE">
        <w:t>2</w:t>
      </w:r>
      <w:r w:rsidR="00F60736" w:rsidRPr="00090DA6">
        <w:t>. Their forecast for the unemployment rate</w:t>
      </w:r>
      <w:r w:rsidR="00E72196">
        <w:rPr>
          <w:rStyle w:val="FootnoteReference"/>
        </w:rPr>
        <w:footnoteReference w:id="22"/>
      </w:r>
      <w:r w:rsidR="00F60736" w:rsidRPr="00090DA6">
        <w:t xml:space="preserve"> is a </w:t>
      </w:r>
      <w:r w:rsidR="00E2557A">
        <w:t xml:space="preserve">gradual </w:t>
      </w:r>
      <w:r w:rsidR="00265131">
        <w:t>climb</w:t>
      </w:r>
      <w:r w:rsidR="00F60736" w:rsidRPr="00090DA6">
        <w:t xml:space="preserve"> to </w:t>
      </w:r>
      <w:r w:rsidR="00090DA6" w:rsidRPr="00090DA6">
        <w:t>3</w:t>
      </w:r>
      <w:r w:rsidR="00F60736" w:rsidRPr="00090DA6">
        <w:t>.</w:t>
      </w:r>
      <w:r w:rsidR="000D646D">
        <w:t>7</w:t>
      </w:r>
      <w:r w:rsidR="00140FEE">
        <w:t>5</w:t>
      </w:r>
      <w:r w:rsidR="00F60736" w:rsidRPr="00090DA6">
        <w:t xml:space="preserve">% </w:t>
      </w:r>
      <w:r w:rsidR="00F11B2B">
        <w:t>by</w:t>
      </w:r>
      <w:r w:rsidR="00F60736" w:rsidRPr="00090DA6">
        <w:t xml:space="preserve"> 20</w:t>
      </w:r>
      <w:r w:rsidR="00090DA6" w:rsidRPr="00090DA6">
        <w:t>2</w:t>
      </w:r>
      <w:r w:rsidR="00140FEE">
        <w:t>2</w:t>
      </w:r>
      <w:r w:rsidR="00F60736" w:rsidRPr="00090DA6">
        <w:t>.</w:t>
      </w:r>
    </w:p>
    <w:p w14:paraId="4D630423" w14:textId="0BD4F092" w:rsidR="00FD0160" w:rsidRDefault="005C2215" w:rsidP="002308A9">
      <w:pPr>
        <w:jc w:val="center"/>
      </w:pPr>
      <w:r w:rsidRPr="005C2215">
        <w:rPr>
          <w:noProof/>
        </w:rPr>
        <w:drawing>
          <wp:inline distT="0" distB="0" distL="0" distR="0" wp14:anchorId="01F3905A" wp14:editId="4B5F39E4">
            <wp:extent cx="5943600" cy="11252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1125220"/>
                    </a:xfrm>
                    <a:prstGeom prst="rect">
                      <a:avLst/>
                    </a:prstGeom>
                    <a:noFill/>
                    <a:ln>
                      <a:noFill/>
                    </a:ln>
                  </pic:spPr>
                </pic:pic>
              </a:graphicData>
            </a:graphic>
          </wp:inline>
        </w:drawing>
      </w:r>
    </w:p>
    <w:p w14:paraId="3DA5A3C9" w14:textId="77777777" w:rsidR="002308A9" w:rsidRDefault="002308A9">
      <w:pPr>
        <w:rPr>
          <w:rFonts w:asciiTheme="majorHAnsi" w:eastAsiaTheme="majorEastAsia" w:hAnsiTheme="majorHAnsi" w:cstheme="majorBidi"/>
          <w:color w:val="008FD5"/>
          <w:sz w:val="36"/>
          <w:szCs w:val="32"/>
        </w:rPr>
      </w:pPr>
      <w:r>
        <w:br w:type="page"/>
      </w:r>
    </w:p>
    <w:p w14:paraId="149D5FB3" w14:textId="386CB697" w:rsidR="00005111" w:rsidRPr="0017465F" w:rsidRDefault="00005111" w:rsidP="001475FF">
      <w:pPr>
        <w:pStyle w:val="Heading1"/>
      </w:pPr>
      <w:r w:rsidRPr="0017465F">
        <w:lastRenderedPageBreak/>
        <w:t>About This Report</w:t>
      </w:r>
    </w:p>
    <w:p w14:paraId="149D5FB4" w14:textId="5800CD46" w:rsidR="002F3682" w:rsidRDefault="00BB34CA" w:rsidP="00005111">
      <w:r w:rsidRPr="0017465F">
        <w:t xml:space="preserve">The </w:t>
      </w:r>
      <w:r w:rsidRPr="0017465F">
        <w:rPr>
          <w:i/>
        </w:rPr>
        <w:t>Quarterly Economic Update</w:t>
      </w:r>
      <w:r w:rsidRPr="0017465F">
        <w:t xml:space="preserve"> is a free publication sponsored by </w:t>
      </w:r>
      <w:proofErr w:type="spellStart"/>
      <w:r w:rsidRPr="0017465F">
        <w:t>TagniFi</w:t>
      </w:r>
      <w:proofErr w:type="spellEnd"/>
      <w:r w:rsidRPr="0017465F">
        <w:t>. You are free to share this report and include its contents in the economic outlook section of your valuation reports</w:t>
      </w:r>
      <w:r w:rsidR="00DF67C7" w:rsidRPr="0017465F">
        <w:t xml:space="preserve"> as required by </w:t>
      </w:r>
      <w:r w:rsidR="00DF67C7" w:rsidRPr="0017465F">
        <w:rPr>
          <w:i/>
        </w:rPr>
        <w:t>Revenue Ruling 59-60</w:t>
      </w:r>
      <w:r w:rsidRPr="0017465F">
        <w:t xml:space="preserve">. Please forward this </w:t>
      </w:r>
      <w:r w:rsidR="00DF67C7" w:rsidRPr="0017465F">
        <w:t xml:space="preserve">free </w:t>
      </w:r>
      <w:r w:rsidRPr="0017465F">
        <w:t>report to a c</w:t>
      </w:r>
      <w:r w:rsidR="00DF67C7" w:rsidRPr="0017465F">
        <w:t xml:space="preserve">olleague to help us spread the word about </w:t>
      </w:r>
      <w:proofErr w:type="spellStart"/>
      <w:r w:rsidR="00DF67C7" w:rsidRPr="0017465F">
        <w:t>TagniFi</w:t>
      </w:r>
      <w:proofErr w:type="spellEnd"/>
      <w:r w:rsidRPr="0017465F">
        <w:t>.</w:t>
      </w:r>
    </w:p>
    <w:p w14:paraId="149D5FB5" w14:textId="77777777" w:rsidR="001475FF" w:rsidRDefault="001475FF" w:rsidP="001475FF">
      <w:pPr>
        <w:pStyle w:val="Heading1"/>
      </w:pPr>
      <w:bookmarkStart w:id="0" w:name="_Hlk31896782"/>
      <w:r>
        <w:t xml:space="preserve">About </w:t>
      </w:r>
      <w:proofErr w:type="spellStart"/>
      <w:r>
        <w:t>TagniFi</w:t>
      </w:r>
      <w:proofErr w:type="spellEnd"/>
    </w:p>
    <w:bookmarkEnd w:id="0"/>
    <w:p w14:paraId="48B0785A" w14:textId="605E137B" w:rsidR="00964DD4" w:rsidRDefault="00964DD4" w:rsidP="00964DD4">
      <w:r>
        <w:t xml:space="preserve">In July 2015 we released our first dataset, </w:t>
      </w:r>
      <w:proofErr w:type="spellStart"/>
      <w:r>
        <w:t>TagniFi</w:t>
      </w:r>
      <w:proofErr w:type="spellEnd"/>
      <w:r>
        <w:t xml:space="preserve"> Fundamentals, because we thought investors and finance professionals needed a better solution for financial data. Since then our mission has remained the same: to serve our clients with the best financial data available at a reasonable price. We do this by developing innovative solutions to leverage tagged financial statements which allow us to deliver better, faster and more detailed data at a fraction of the cost.</w:t>
      </w:r>
    </w:p>
    <w:p w14:paraId="0F1887EF" w14:textId="4F6BA8A7" w:rsidR="00964DD4" w:rsidRDefault="00964DD4" w:rsidP="00230D29">
      <w:r>
        <w:t xml:space="preserve">Today </w:t>
      </w:r>
      <w:proofErr w:type="spellStart"/>
      <w:r>
        <w:t>TagniFi</w:t>
      </w:r>
      <w:proofErr w:type="spellEnd"/>
      <w:r>
        <w:t xml:space="preserve"> is a platform of financial data aimed at making our clients more productive and prosperous. We're helping clients in all corners of finance make better decisions with better data. We relentlessly focus on quality and the trust we've earned from our clients is our greatest asset. Our growth is centered around our clients' needs as we look to expand our platform with new data. Referrals from our existing clients is the ultimate compliment so we choose to invest in our product, not flashy marketing </w:t>
      </w:r>
      <w:proofErr w:type="spellStart"/>
      <w:r>
        <w:t>campaigns.</w:t>
      </w:r>
      <w:r w:rsidR="00C36857" w:rsidRPr="0017465F">
        <w:t>For</w:t>
      </w:r>
      <w:proofErr w:type="spellEnd"/>
      <w:r w:rsidR="00C36857" w:rsidRPr="0017465F">
        <w:t xml:space="preserve"> more information on </w:t>
      </w:r>
      <w:proofErr w:type="spellStart"/>
      <w:r w:rsidR="00C36857" w:rsidRPr="0017465F">
        <w:t>TagniFi</w:t>
      </w:r>
      <w:proofErr w:type="spellEnd"/>
      <w:r w:rsidR="00C36857" w:rsidRPr="0017465F">
        <w:t>, please visit</w:t>
      </w:r>
      <w:r w:rsidR="00230D29" w:rsidRPr="0017465F">
        <w:t xml:space="preserve"> </w:t>
      </w:r>
      <w:hyperlink r:id="rId33" w:history="1">
        <w:r w:rsidR="00E602D0" w:rsidRPr="0017465F">
          <w:rPr>
            <w:rStyle w:val="Hyperlink"/>
          </w:rPr>
          <w:t>www.tagnifi.com</w:t>
        </w:r>
      </w:hyperlink>
      <w:r w:rsidR="003E5CFB" w:rsidRPr="0017465F">
        <w:t>.</w:t>
      </w:r>
    </w:p>
    <w:p w14:paraId="5E6B4C93" w14:textId="682013DD" w:rsidR="00964DD4" w:rsidRPr="00964DD4" w:rsidRDefault="00964DD4" w:rsidP="00230D29">
      <w:pPr>
        <w:rPr>
          <w:rFonts w:ascii="Calibri Light" w:hAnsi="Calibri Light" w:cs="Calibri Light"/>
          <w:color w:val="008FD5"/>
          <w:sz w:val="36"/>
          <w:szCs w:val="36"/>
        </w:rPr>
      </w:pPr>
      <w:r w:rsidRPr="00964DD4">
        <w:rPr>
          <w:rFonts w:ascii="Calibri Light" w:hAnsi="Calibri Light" w:cs="Calibri Light"/>
          <w:color w:val="008FD5"/>
          <w:sz w:val="36"/>
          <w:szCs w:val="36"/>
        </w:rPr>
        <w:t xml:space="preserve">How </w:t>
      </w:r>
      <w:proofErr w:type="spellStart"/>
      <w:r w:rsidRPr="00964DD4">
        <w:rPr>
          <w:rFonts w:ascii="Calibri Light" w:hAnsi="Calibri Light" w:cs="Calibri Light"/>
          <w:color w:val="008FD5"/>
          <w:sz w:val="36"/>
          <w:szCs w:val="36"/>
        </w:rPr>
        <w:t>TagniFi</w:t>
      </w:r>
      <w:proofErr w:type="spellEnd"/>
      <w:r w:rsidRPr="00964DD4">
        <w:rPr>
          <w:rFonts w:ascii="Calibri Light" w:hAnsi="Calibri Light" w:cs="Calibri Light"/>
          <w:color w:val="008FD5"/>
          <w:sz w:val="36"/>
          <w:szCs w:val="36"/>
        </w:rPr>
        <w:t xml:space="preserve"> Automates Business Valuation</w:t>
      </w:r>
    </w:p>
    <w:p w14:paraId="1FE39938" w14:textId="3D5DCCB4" w:rsidR="00964DD4" w:rsidRDefault="00964DD4" w:rsidP="00230D29">
      <w:proofErr w:type="spellStart"/>
      <w:r w:rsidRPr="00964DD4">
        <w:t>TagniFi’s</w:t>
      </w:r>
      <w:proofErr w:type="spellEnd"/>
      <w:r w:rsidRPr="00964DD4">
        <w:t xml:space="preserve"> financial data platform empowers business valuation professionals to quickly and easily build highly accurate financial models with full transparency—and within seconds.</w:t>
      </w:r>
    </w:p>
    <w:p w14:paraId="5282F11A" w14:textId="77777777" w:rsidR="003D3C51" w:rsidRDefault="003D3C51" w:rsidP="00230D29"/>
    <w:p w14:paraId="736F547D" w14:textId="1E7DF5C0" w:rsidR="004C20AB" w:rsidRDefault="004C20AB" w:rsidP="00230D29">
      <w:r w:rsidRPr="004C20AB">
        <w:rPr>
          <w:b/>
          <w:bCs/>
        </w:rPr>
        <w:t>Public Comps</w:t>
      </w:r>
      <w:r>
        <w:br/>
      </w:r>
      <w:r>
        <w:rPr>
          <w:noProof/>
        </w:rPr>
        <w:drawing>
          <wp:anchor distT="0" distB="0" distL="114300" distR="114300" simplePos="0" relativeHeight="251659776" behindDoc="0" locked="0" layoutInCell="1" allowOverlap="1" wp14:anchorId="0C218BE2" wp14:editId="5412CA4E">
            <wp:simplePos x="0" y="0"/>
            <wp:positionH relativeFrom="column">
              <wp:posOffset>0</wp:posOffset>
            </wp:positionH>
            <wp:positionV relativeFrom="paragraph">
              <wp:posOffset>2540</wp:posOffset>
            </wp:positionV>
            <wp:extent cx="2162175" cy="162163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62175" cy="1621631"/>
                    </a:xfrm>
                    <a:prstGeom prst="rect">
                      <a:avLst/>
                    </a:prstGeom>
                    <a:noFill/>
                    <a:ln>
                      <a:noFill/>
                    </a:ln>
                  </pic:spPr>
                </pic:pic>
              </a:graphicData>
            </a:graphic>
          </wp:anchor>
        </w:drawing>
      </w:r>
      <w:r w:rsidRPr="004C20AB">
        <w:t xml:space="preserve">Search for public companies with </w:t>
      </w:r>
      <w:proofErr w:type="spellStart"/>
      <w:r w:rsidRPr="004C20AB">
        <w:t>TagniFi</w:t>
      </w:r>
      <w:proofErr w:type="spellEnd"/>
      <w:r w:rsidRPr="004C20AB">
        <w:t xml:space="preserve"> Web. Simply enter your valuation date and ticker symbols in Excel to run a guideline public company method.</w:t>
      </w:r>
      <w:r>
        <w:t xml:space="preserve"> Your Excel model populates instantly with the financial statements, analyst estimates, interest rates and economic data for your valuation date. </w:t>
      </w:r>
    </w:p>
    <w:p w14:paraId="70ABEE83" w14:textId="4BA88891" w:rsidR="004C20AB" w:rsidRDefault="004C20AB" w:rsidP="00230D29"/>
    <w:p w14:paraId="249DCE3B" w14:textId="77777777" w:rsidR="004C20AB" w:rsidRDefault="004C20AB" w:rsidP="004C20AB"/>
    <w:p w14:paraId="44A583AB" w14:textId="32F1750D" w:rsidR="004C20AB" w:rsidRDefault="004C20AB" w:rsidP="004C20AB">
      <w:r w:rsidRPr="004C20AB">
        <w:rPr>
          <w:b/>
          <w:bCs/>
          <w:noProof/>
        </w:rPr>
        <w:lastRenderedPageBreak/>
        <w:drawing>
          <wp:anchor distT="0" distB="0" distL="114300" distR="114300" simplePos="0" relativeHeight="251660800" behindDoc="0" locked="0" layoutInCell="1" allowOverlap="1" wp14:anchorId="6657EAAE" wp14:editId="5C451360">
            <wp:simplePos x="0" y="0"/>
            <wp:positionH relativeFrom="column">
              <wp:posOffset>3524250</wp:posOffset>
            </wp:positionH>
            <wp:positionV relativeFrom="paragraph">
              <wp:posOffset>-478790</wp:posOffset>
            </wp:positionV>
            <wp:extent cx="2152650" cy="16141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52650" cy="1614170"/>
                    </a:xfrm>
                    <a:prstGeom prst="rect">
                      <a:avLst/>
                    </a:prstGeom>
                    <a:noFill/>
                    <a:ln>
                      <a:noFill/>
                    </a:ln>
                  </pic:spPr>
                </pic:pic>
              </a:graphicData>
            </a:graphic>
          </wp:anchor>
        </w:drawing>
      </w:r>
      <w:r w:rsidRPr="004C20AB">
        <w:rPr>
          <w:b/>
          <w:bCs/>
        </w:rPr>
        <w:t>Transaction Comps</w:t>
      </w:r>
      <w:r>
        <w:br/>
      </w:r>
      <w:r w:rsidRPr="004C20AB">
        <w:t xml:space="preserve">Search for public and private M&amp;A transactions with </w:t>
      </w:r>
      <w:proofErr w:type="spellStart"/>
      <w:r w:rsidRPr="004C20AB">
        <w:t>TagniFi</w:t>
      </w:r>
      <w:proofErr w:type="spellEnd"/>
      <w:r w:rsidRPr="004C20AB">
        <w:t xml:space="preserve"> Web. Run your transaction comps within seconds by pasting the Deal ID into your Excel model.</w:t>
      </w:r>
      <w:r>
        <w:t xml:space="preserve"> Every deal disclosed in an SEC filing (8-K, 10-K, or 10-Q) is available for your analysis. Choose from over 90 fields of data available for every deal. </w:t>
      </w:r>
    </w:p>
    <w:p w14:paraId="67E200C4" w14:textId="310AA887" w:rsidR="003B0B22" w:rsidRDefault="003B0B22" w:rsidP="004C20AB">
      <w:pPr>
        <w:rPr>
          <w:b/>
          <w:bCs/>
        </w:rPr>
      </w:pPr>
      <w:r w:rsidRPr="004C20AB">
        <w:rPr>
          <w:b/>
          <w:bCs/>
          <w:noProof/>
        </w:rPr>
        <w:drawing>
          <wp:anchor distT="0" distB="0" distL="114300" distR="114300" simplePos="0" relativeHeight="251661824" behindDoc="0" locked="0" layoutInCell="1" allowOverlap="1" wp14:anchorId="7A9B5416" wp14:editId="00F0202F">
            <wp:simplePos x="0" y="0"/>
            <wp:positionH relativeFrom="margin">
              <wp:align>left</wp:align>
            </wp:positionH>
            <wp:positionV relativeFrom="paragraph">
              <wp:posOffset>274320</wp:posOffset>
            </wp:positionV>
            <wp:extent cx="2256790" cy="15595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6">
                      <a:extLst>
                        <a:ext uri="{28A0092B-C50C-407E-A947-70E740481C1C}">
                          <a14:useLocalDpi xmlns:a14="http://schemas.microsoft.com/office/drawing/2010/main" val="0"/>
                        </a:ext>
                      </a:extLst>
                    </a:blip>
                    <a:srcRect t="7877"/>
                    <a:stretch/>
                  </pic:blipFill>
                  <pic:spPr bwMode="auto">
                    <a:xfrm>
                      <a:off x="0" y="0"/>
                      <a:ext cx="2256790" cy="15595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A5C467F" w14:textId="170F5616" w:rsidR="004C20AB" w:rsidRDefault="004C20AB" w:rsidP="004C20AB">
      <w:r w:rsidRPr="004C20AB">
        <w:rPr>
          <w:b/>
          <w:bCs/>
        </w:rPr>
        <w:t>Historical Beta and Volatility</w:t>
      </w:r>
      <w:r w:rsidRPr="004C20AB">
        <w:rPr>
          <w:b/>
          <w:bCs/>
        </w:rPr>
        <w:br/>
      </w:r>
      <w:r w:rsidRPr="004C20AB">
        <w:t xml:space="preserve">Calculate historical beta and volatility as of your valuation date automatically. Simply enter the tickers and valuation date in Excel </w:t>
      </w:r>
      <w:r w:rsidR="003B0B22">
        <w:t>-</w:t>
      </w:r>
      <w:r w:rsidRPr="004C20AB">
        <w:t xml:space="preserve"> </w:t>
      </w:r>
      <w:proofErr w:type="spellStart"/>
      <w:r w:rsidRPr="004C20AB">
        <w:t>TagniFi</w:t>
      </w:r>
      <w:proofErr w:type="spellEnd"/>
      <w:r w:rsidRPr="004C20AB">
        <w:t xml:space="preserve"> does the rest.</w:t>
      </w:r>
      <w:r w:rsidR="003B0B22">
        <w:t xml:space="preserve"> In addition to beta and volatility, there are over 40 Excel models available in the Model Library to help with your valuation report. </w:t>
      </w:r>
    </w:p>
    <w:p w14:paraId="42664782" w14:textId="50B2EA67" w:rsidR="003B0B22" w:rsidRDefault="003B0B22" w:rsidP="004C20AB"/>
    <w:p w14:paraId="4808FD9A" w14:textId="443019BA" w:rsidR="003B0B22" w:rsidRPr="004C20AB" w:rsidRDefault="003B0B22" w:rsidP="004C20AB">
      <w:pPr>
        <w:rPr>
          <w:b/>
          <w:bCs/>
        </w:rPr>
      </w:pPr>
      <w:r>
        <w:rPr>
          <w:noProof/>
        </w:rPr>
        <w:drawing>
          <wp:anchor distT="0" distB="0" distL="114300" distR="114300" simplePos="0" relativeHeight="251662848" behindDoc="0" locked="0" layoutInCell="1" allowOverlap="1" wp14:anchorId="7F6FB4BC" wp14:editId="1BE8E9C3">
            <wp:simplePos x="0" y="0"/>
            <wp:positionH relativeFrom="margin">
              <wp:align>right</wp:align>
            </wp:positionH>
            <wp:positionV relativeFrom="paragraph">
              <wp:posOffset>10160</wp:posOffset>
            </wp:positionV>
            <wp:extent cx="2219325" cy="166449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19325" cy="1664494"/>
                    </a:xfrm>
                    <a:prstGeom prst="rect">
                      <a:avLst/>
                    </a:prstGeom>
                    <a:noFill/>
                    <a:ln>
                      <a:noFill/>
                    </a:ln>
                  </pic:spPr>
                </pic:pic>
              </a:graphicData>
            </a:graphic>
          </wp:anchor>
        </w:drawing>
      </w:r>
      <w:r>
        <w:rPr>
          <w:b/>
          <w:bCs/>
        </w:rPr>
        <w:t>Interest Rates and Economic Date</w:t>
      </w:r>
      <w:r>
        <w:rPr>
          <w:b/>
          <w:bCs/>
        </w:rPr>
        <w:br/>
      </w:r>
      <w:r w:rsidRPr="003B0B22">
        <w:t xml:space="preserve">Automate the interest rates and economic data in your valuation report using the </w:t>
      </w:r>
      <w:proofErr w:type="spellStart"/>
      <w:r w:rsidRPr="003B0B22">
        <w:t>TagniFi</w:t>
      </w:r>
      <w:proofErr w:type="spellEnd"/>
      <w:r w:rsidRPr="003B0B22">
        <w:t xml:space="preserve"> Excel plugin. Choose from over 200,000 time series available.</w:t>
      </w:r>
      <w:r>
        <w:t xml:space="preserve"> All data in this </w:t>
      </w:r>
      <w:r w:rsidRPr="003B0B22">
        <w:rPr>
          <w:i/>
          <w:iCs/>
        </w:rPr>
        <w:t>Quarterly Economic Update</w:t>
      </w:r>
      <w:r>
        <w:t xml:space="preserve"> </w:t>
      </w:r>
      <w:r w:rsidR="002C5E52">
        <w:t>is</w:t>
      </w:r>
      <w:r>
        <w:t xml:space="preserve"> from the </w:t>
      </w:r>
      <w:proofErr w:type="spellStart"/>
      <w:r>
        <w:t>TagniFi</w:t>
      </w:r>
      <w:proofErr w:type="spellEnd"/>
      <w:r>
        <w:t xml:space="preserve"> platform.</w:t>
      </w:r>
      <w:r w:rsidR="002C5E52">
        <w:t xml:space="preserve"> Use economic and interest rate date for your own valuat</w:t>
      </w:r>
      <w:bookmarkStart w:id="1" w:name="_GoBack"/>
      <w:bookmarkEnd w:id="1"/>
      <w:r w:rsidR="002C5E52">
        <w:t xml:space="preserve">ion models with the </w:t>
      </w:r>
      <w:proofErr w:type="spellStart"/>
      <w:r w:rsidR="002C5E52">
        <w:t>TagniFi</w:t>
      </w:r>
      <w:proofErr w:type="spellEnd"/>
      <w:r w:rsidR="002C5E52">
        <w:t xml:space="preserve"> Excel plugin.</w:t>
      </w:r>
    </w:p>
    <w:sectPr w:rsidR="003B0B22" w:rsidRPr="004C20AB" w:rsidSect="00005111">
      <w:headerReference w:type="default" r:id="rId38"/>
      <w:footerReference w:type="default" r:id="rId3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9B7E6" w14:textId="77777777" w:rsidR="003B4D22" w:rsidRDefault="003B4D22" w:rsidP="00171C8E">
      <w:pPr>
        <w:spacing w:after="0" w:line="240" w:lineRule="auto"/>
      </w:pPr>
      <w:r>
        <w:separator/>
      </w:r>
    </w:p>
  </w:endnote>
  <w:endnote w:type="continuationSeparator" w:id="0">
    <w:p w14:paraId="21D7FFC1" w14:textId="77777777" w:rsidR="003B4D22" w:rsidRDefault="003B4D22" w:rsidP="0017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5FE8" w14:textId="7FA7671E" w:rsidR="00BA05F4" w:rsidRDefault="00BA05F4">
    <w:pPr>
      <w:pStyle w:val="Footer"/>
    </w:pPr>
    <w:r>
      <w:t>© 20</w:t>
    </w:r>
    <w:r w:rsidR="00E13679">
      <w:t>20</w:t>
    </w:r>
    <w:r>
      <w:t xml:space="preserve"> </w:t>
    </w:r>
    <w:proofErr w:type="spellStart"/>
    <w:r>
      <w:t>TagniFi</w:t>
    </w:r>
    <w:proofErr w:type="spellEnd"/>
    <w:r>
      <w:t>, LLC. All rights reserved.</w:t>
    </w:r>
    <w:r>
      <w:tab/>
    </w:r>
    <w:r>
      <w:tab/>
      <w:t xml:space="preserve">Page </w:t>
    </w:r>
    <w:r>
      <w:fldChar w:fldCharType="begin"/>
    </w:r>
    <w:r>
      <w:instrText xml:space="preserve"> PAGE   \* MERGEFORMAT </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CB33A" w14:textId="77777777" w:rsidR="003B4D22" w:rsidRDefault="003B4D22" w:rsidP="00171C8E">
      <w:pPr>
        <w:spacing w:after="0" w:line="240" w:lineRule="auto"/>
      </w:pPr>
      <w:r>
        <w:separator/>
      </w:r>
    </w:p>
  </w:footnote>
  <w:footnote w:type="continuationSeparator" w:id="0">
    <w:p w14:paraId="6886C276" w14:textId="77777777" w:rsidR="003B4D22" w:rsidRDefault="003B4D22" w:rsidP="00171C8E">
      <w:pPr>
        <w:spacing w:after="0" w:line="240" w:lineRule="auto"/>
      </w:pPr>
      <w:r>
        <w:continuationSeparator/>
      </w:r>
    </w:p>
  </w:footnote>
  <w:footnote w:id="1">
    <w:p w14:paraId="34146366" w14:textId="7F2CDC76" w:rsidR="00BA05F4" w:rsidRPr="000322F4" w:rsidRDefault="00BA05F4">
      <w:pPr>
        <w:pStyle w:val="FootnoteText"/>
        <w:rPr>
          <w:rFonts w:cstheme="minorHAnsi"/>
          <w:sz w:val="16"/>
          <w:szCs w:val="16"/>
          <w:lang w:val="en-PH"/>
        </w:rPr>
      </w:pPr>
      <w:r w:rsidRPr="000322F4">
        <w:rPr>
          <w:rStyle w:val="FootnoteReference"/>
          <w:rFonts w:cstheme="minorHAnsi"/>
          <w:sz w:val="16"/>
          <w:szCs w:val="16"/>
        </w:rPr>
        <w:footnoteRef/>
      </w:r>
      <w:r w:rsidRPr="000322F4">
        <w:rPr>
          <w:rFonts w:cstheme="minorHAnsi"/>
          <w:sz w:val="16"/>
          <w:szCs w:val="16"/>
        </w:rPr>
        <w:t xml:space="preserve"> </w:t>
      </w:r>
      <w:r w:rsidRPr="000322F4">
        <w:rPr>
          <w:rFonts w:cstheme="minorHAnsi"/>
          <w:i/>
          <w:iCs/>
          <w:color w:val="222222"/>
          <w:sz w:val="16"/>
          <w:szCs w:val="16"/>
          <w:shd w:val="clear" w:color="auto" w:fill="FFFFFF"/>
        </w:rPr>
        <w:t>U.S. Energy Information Administration, Crude Oil Prices: West Texas Intermediate (WTI) – Cushing, Oklahoma [MCOILWTICO], retrieved from FRED, Federal Reserve Bank of St. Louis; </w:t>
      </w:r>
      <w:hyperlink r:id="rId1" w:history="1">
        <w:r w:rsidRPr="000322F4">
          <w:rPr>
            <w:rStyle w:val="Hyperlink"/>
            <w:rFonts w:cstheme="minorHAnsi"/>
            <w:i/>
            <w:iCs/>
            <w:sz w:val="16"/>
            <w:szCs w:val="16"/>
            <w:shd w:val="clear" w:color="auto" w:fill="FFFFFF"/>
          </w:rPr>
          <w:t>https://fred.stlouisfed.org/series/MCOILWTICO</w:t>
        </w:r>
      </w:hyperlink>
      <w:r w:rsidRPr="000322F4">
        <w:rPr>
          <w:rFonts w:cstheme="minorHAnsi"/>
          <w:i/>
          <w:iCs/>
          <w:color w:val="222222"/>
          <w:sz w:val="16"/>
          <w:szCs w:val="16"/>
          <w:shd w:val="clear" w:color="auto" w:fill="FFFFFF"/>
        </w:rPr>
        <w:t xml:space="preserve">, </w:t>
      </w:r>
      <w:r>
        <w:rPr>
          <w:rFonts w:cstheme="minorHAnsi"/>
          <w:i/>
          <w:iCs/>
          <w:color w:val="222222"/>
          <w:sz w:val="16"/>
          <w:szCs w:val="16"/>
          <w:shd w:val="clear" w:color="auto" w:fill="FFFFFF"/>
        </w:rPr>
        <w:t xml:space="preserve">Feb </w:t>
      </w:r>
      <w:r w:rsidR="00B316F7">
        <w:rPr>
          <w:rFonts w:cstheme="minorHAnsi"/>
          <w:i/>
          <w:iCs/>
          <w:color w:val="222222"/>
          <w:sz w:val="16"/>
          <w:szCs w:val="16"/>
          <w:shd w:val="clear" w:color="auto" w:fill="FFFFFF"/>
        </w:rPr>
        <w:t>2</w:t>
      </w:r>
      <w:r>
        <w:rPr>
          <w:rFonts w:cstheme="minorHAnsi"/>
          <w:i/>
          <w:iCs/>
          <w:color w:val="222222"/>
          <w:sz w:val="16"/>
          <w:szCs w:val="16"/>
          <w:shd w:val="clear" w:color="auto" w:fill="FFFFFF"/>
        </w:rPr>
        <w:t>, 2020</w:t>
      </w:r>
      <w:r w:rsidRPr="000322F4">
        <w:rPr>
          <w:rFonts w:cstheme="minorHAnsi"/>
          <w:i/>
          <w:iCs/>
          <w:color w:val="222222"/>
          <w:sz w:val="16"/>
          <w:szCs w:val="16"/>
          <w:shd w:val="clear" w:color="auto" w:fill="FFFFFF"/>
        </w:rPr>
        <w:t>.</w:t>
      </w:r>
    </w:p>
  </w:footnote>
  <w:footnote w:id="2">
    <w:p w14:paraId="04EBBD96" w14:textId="1FA2F590" w:rsidR="00BA05F4" w:rsidRPr="000322F4" w:rsidRDefault="00BA05F4">
      <w:pPr>
        <w:pStyle w:val="FootnoteText"/>
        <w:rPr>
          <w:sz w:val="16"/>
          <w:szCs w:val="16"/>
          <w:lang w:val="en-PH"/>
        </w:rPr>
      </w:pPr>
      <w:r w:rsidRPr="000322F4">
        <w:rPr>
          <w:rStyle w:val="FootnoteReference"/>
          <w:sz w:val="16"/>
          <w:szCs w:val="16"/>
        </w:rPr>
        <w:footnoteRef/>
      </w:r>
      <w:r w:rsidRPr="000322F4">
        <w:rPr>
          <w:sz w:val="16"/>
          <w:szCs w:val="16"/>
        </w:rPr>
        <w:t xml:space="preserve"> </w:t>
      </w:r>
      <w:r w:rsidRPr="000322F4">
        <w:rPr>
          <w:rFonts w:cstheme="minorHAnsi"/>
          <w:i/>
          <w:iCs/>
          <w:color w:val="222222"/>
          <w:sz w:val="16"/>
          <w:szCs w:val="16"/>
          <w:shd w:val="clear" w:color="auto" w:fill="FFFFFF"/>
        </w:rPr>
        <w:t>Board of Governors of the Federal Reserve System (US), Trade Weighted U.S. Dollar Index: Broad [TWEXB], retrieved from FRED, Federal Reserve Bank of St. Louis; </w:t>
      </w:r>
      <w:hyperlink r:id="rId2" w:history="1">
        <w:r w:rsidRPr="000322F4">
          <w:rPr>
            <w:rStyle w:val="Hyperlink"/>
            <w:rFonts w:cstheme="minorHAnsi"/>
            <w:i/>
            <w:iCs/>
            <w:sz w:val="16"/>
            <w:szCs w:val="16"/>
            <w:shd w:val="clear" w:color="auto" w:fill="FFFFFF"/>
          </w:rPr>
          <w:t>https://fred.stlouisfed.org/series/TWEXB</w:t>
        </w:r>
      </w:hyperlink>
      <w:r w:rsidRPr="000322F4">
        <w:rPr>
          <w:rFonts w:cstheme="minorHAnsi"/>
          <w:i/>
          <w:iCs/>
          <w:color w:val="222222"/>
          <w:sz w:val="16"/>
          <w:szCs w:val="16"/>
          <w:shd w:val="clear" w:color="auto" w:fill="FFFFFF"/>
        </w:rPr>
        <w:t xml:space="preserve">, </w:t>
      </w:r>
      <w:r>
        <w:rPr>
          <w:rFonts w:cstheme="minorHAnsi"/>
          <w:i/>
          <w:iCs/>
          <w:color w:val="222222"/>
          <w:sz w:val="16"/>
          <w:szCs w:val="16"/>
          <w:shd w:val="clear" w:color="auto" w:fill="FFFFFF"/>
        </w:rPr>
        <w:t xml:space="preserve">Feb </w:t>
      </w:r>
      <w:r w:rsidR="00B316F7">
        <w:rPr>
          <w:rFonts w:cstheme="minorHAnsi"/>
          <w:i/>
          <w:iCs/>
          <w:color w:val="222222"/>
          <w:sz w:val="16"/>
          <w:szCs w:val="16"/>
          <w:shd w:val="clear" w:color="auto" w:fill="FFFFFF"/>
        </w:rPr>
        <w:t>2</w:t>
      </w:r>
      <w:r>
        <w:rPr>
          <w:rFonts w:cstheme="minorHAnsi"/>
          <w:i/>
          <w:iCs/>
          <w:color w:val="222222"/>
          <w:sz w:val="16"/>
          <w:szCs w:val="16"/>
          <w:shd w:val="clear" w:color="auto" w:fill="FFFFFF"/>
        </w:rPr>
        <w:t>, 2020</w:t>
      </w:r>
      <w:r w:rsidRPr="000322F4">
        <w:rPr>
          <w:rFonts w:cstheme="minorHAnsi"/>
          <w:i/>
          <w:iCs/>
          <w:color w:val="222222"/>
          <w:sz w:val="16"/>
          <w:szCs w:val="16"/>
          <w:shd w:val="clear" w:color="auto" w:fill="FFFFFF"/>
        </w:rPr>
        <w:t>.</w:t>
      </w:r>
    </w:p>
  </w:footnote>
  <w:footnote w:id="3">
    <w:p w14:paraId="517776FA" w14:textId="7F04B327" w:rsidR="00BA05F4" w:rsidRPr="00BF5CE2" w:rsidRDefault="00BA05F4">
      <w:pPr>
        <w:pStyle w:val="FootnoteText"/>
        <w:rPr>
          <w:sz w:val="16"/>
          <w:szCs w:val="16"/>
          <w:lang w:val="en-PH"/>
        </w:rPr>
      </w:pPr>
      <w:r w:rsidRPr="00BF5CE2">
        <w:rPr>
          <w:rStyle w:val="FootnoteReference"/>
          <w:sz w:val="16"/>
          <w:szCs w:val="16"/>
        </w:rPr>
        <w:footnoteRef/>
      </w:r>
      <w:r w:rsidRPr="00BF5CE2">
        <w:rPr>
          <w:sz w:val="16"/>
          <w:szCs w:val="16"/>
        </w:rPr>
        <w:t xml:space="preserve"> </w:t>
      </w:r>
      <w:r w:rsidRPr="00BF5CE2">
        <w:rPr>
          <w:sz w:val="16"/>
          <w:szCs w:val="16"/>
          <w:lang w:val="en-PH"/>
        </w:rPr>
        <w:t>U.S. Bureau of Economic Analysis, Real Gross Domestic Product [GDPC1],</w:t>
      </w:r>
      <w:r w:rsidRPr="00BF5CE2">
        <w:rPr>
          <w:rFonts w:cstheme="minorHAnsi"/>
          <w:i/>
          <w:iCs/>
          <w:color w:val="222222"/>
          <w:sz w:val="16"/>
          <w:szCs w:val="16"/>
          <w:shd w:val="clear" w:color="auto" w:fill="FFFFFF"/>
        </w:rPr>
        <w:t xml:space="preserve"> retrieved from FRED, Federal Reserve Bank of St. Louis; </w:t>
      </w:r>
      <w:hyperlink r:id="rId3" w:history="1">
        <w:r w:rsidRPr="00BF5CE2">
          <w:rPr>
            <w:rStyle w:val="Hyperlink"/>
            <w:rFonts w:cstheme="minorHAnsi"/>
            <w:i/>
            <w:iCs/>
            <w:sz w:val="16"/>
            <w:szCs w:val="16"/>
            <w:shd w:val="clear" w:color="auto" w:fill="FFFFFF"/>
          </w:rPr>
          <w:t>https://fred.stlouisfed.org/series/GDPC1</w:t>
        </w:r>
      </w:hyperlink>
      <w:r w:rsidRPr="00BF5CE2">
        <w:rPr>
          <w:rFonts w:cstheme="minorHAnsi"/>
          <w:i/>
          <w:iCs/>
          <w:color w:val="222222"/>
          <w:sz w:val="16"/>
          <w:szCs w:val="16"/>
          <w:shd w:val="clear" w:color="auto" w:fill="FFFFFF"/>
        </w:rPr>
        <w:t xml:space="preserve">, </w:t>
      </w:r>
      <w:r>
        <w:rPr>
          <w:rFonts w:cstheme="minorHAnsi"/>
          <w:i/>
          <w:iCs/>
          <w:color w:val="222222"/>
          <w:sz w:val="16"/>
          <w:szCs w:val="16"/>
          <w:shd w:val="clear" w:color="auto" w:fill="FFFFFF"/>
        </w:rPr>
        <w:t xml:space="preserve">Feb </w:t>
      </w:r>
      <w:r w:rsidR="00B316F7">
        <w:rPr>
          <w:rFonts w:cstheme="minorHAnsi"/>
          <w:i/>
          <w:iCs/>
          <w:color w:val="222222"/>
          <w:sz w:val="16"/>
          <w:szCs w:val="16"/>
          <w:shd w:val="clear" w:color="auto" w:fill="FFFFFF"/>
        </w:rPr>
        <w:t>2</w:t>
      </w:r>
      <w:r>
        <w:rPr>
          <w:rFonts w:cstheme="minorHAnsi"/>
          <w:i/>
          <w:iCs/>
          <w:color w:val="222222"/>
          <w:sz w:val="16"/>
          <w:szCs w:val="16"/>
          <w:shd w:val="clear" w:color="auto" w:fill="FFFFFF"/>
        </w:rPr>
        <w:t>, 2020</w:t>
      </w:r>
      <w:r w:rsidRPr="00BF5CE2">
        <w:rPr>
          <w:rFonts w:cstheme="minorHAnsi"/>
          <w:i/>
          <w:iCs/>
          <w:color w:val="222222"/>
          <w:sz w:val="16"/>
          <w:szCs w:val="16"/>
          <w:shd w:val="clear" w:color="auto" w:fill="FFFFFF"/>
        </w:rPr>
        <w:t>.</w:t>
      </w:r>
    </w:p>
  </w:footnote>
  <w:footnote w:id="4">
    <w:p w14:paraId="502F649B" w14:textId="7D764A45" w:rsidR="00BA05F4" w:rsidRPr="006A114D" w:rsidRDefault="00BA05F4">
      <w:pPr>
        <w:pStyle w:val="FootnoteText"/>
        <w:rPr>
          <w:lang w:val="en-PH"/>
        </w:rPr>
      </w:pPr>
      <w:r w:rsidRPr="00BF5CE2">
        <w:rPr>
          <w:rStyle w:val="FootnoteReference"/>
          <w:sz w:val="16"/>
          <w:szCs w:val="16"/>
        </w:rPr>
        <w:footnoteRef/>
      </w:r>
      <w:r w:rsidRPr="00BF5CE2">
        <w:rPr>
          <w:sz w:val="16"/>
          <w:szCs w:val="16"/>
        </w:rPr>
        <w:t xml:space="preserve"> </w:t>
      </w:r>
      <w:r w:rsidRPr="00BF5CE2">
        <w:rPr>
          <w:sz w:val="16"/>
          <w:szCs w:val="16"/>
          <w:lang w:val="en-PH"/>
        </w:rPr>
        <w:t>Board of Governors of the Federal Reserve System (US), Industrial Production Index [INDPRO],</w:t>
      </w:r>
      <w:r w:rsidRPr="00BF5CE2">
        <w:rPr>
          <w:rFonts w:cstheme="minorHAnsi"/>
          <w:i/>
          <w:iCs/>
          <w:color w:val="222222"/>
          <w:sz w:val="16"/>
          <w:szCs w:val="16"/>
          <w:shd w:val="clear" w:color="auto" w:fill="FFFFFF"/>
        </w:rPr>
        <w:t xml:space="preserve"> retrieved from FRED, Federal Reserve Bank of St. Louis; </w:t>
      </w:r>
      <w:hyperlink r:id="rId4" w:history="1">
        <w:r w:rsidRPr="00BF5CE2">
          <w:rPr>
            <w:rStyle w:val="Hyperlink"/>
            <w:rFonts w:cstheme="minorHAnsi"/>
            <w:i/>
            <w:iCs/>
            <w:sz w:val="16"/>
            <w:szCs w:val="16"/>
            <w:shd w:val="clear" w:color="auto" w:fill="FFFFFF"/>
          </w:rPr>
          <w:t>https://fred.stlouisfed.org/series/INDPRO</w:t>
        </w:r>
      </w:hyperlink>
      <w:r w:rsidRPr="00BF5CE2">
        <w:rPr>
          <w:rFonts w:cstheme="minorHAnsi"/>
          <w:i/>
          <w:iCs/>
          <w:color w:val="222222"/>
          <w:sz w:val="16"/>
          <w:szCs w:val="16"/>
          <w:shd w:val="clear" w:color="auto" w:fill="FFFFFF"/>
        </w:rPr>
        <w:t xml:space="preserve">, </w:t>
      </w:r>
      <w:r>
        <w:rPr>
          <w:rFonts w:cstheme="minorHAnsi"/>
          <w:i/>
          <w:iCs/>
          <w:color w:val="222222"/>
          <w:sz w:val="16"/>
          <w:szCs w:val="16"/>
          <w:shd w:val="clear" w:color="auto" w:fill="FFFFFF"/>
        </w:rPr>
        <w:t xml:space="preserve">Feb </w:t>
      </w:r>
      <w:r w:rsidR="00B316F7">
        <w:rPr>
          <w:rFonts w:cstheme="minorHAnsi"/>
          <w:i/>
          <w:iCs/>
          <w:color w:val="222222"/>
          <w:sz w:val="16"/>
          <w:szCs w:val="16"/>
          <w:shd w:val="clear" w:color="auto" w:fill="FFFFFF"/>
        </w:rPr>
        <w:t>2</w:t>
      </w:r>
      <w:r>
        <w:rPr>
          <w:rFonts w:cstheme="minorHAnsi"/>
          <w:i/>
          <w:iCs/>
          <w:color w:val="222222"/>
          <w:sz w:val="16"/>
          <w:szCs w:val="16"/>
          <w:shd w:val="clear" w:color="auto" w:fill="FFFFFF"/>
        </w:rPr>
        <w:t>, 2020</w:t>
      </w:r>
      <w:r w:rsidRPr="00BF5CE2">
        <w:rPr>
          <w:rFonts w:cstheme="minorHAnsi"/>
          <w:i/>
          <w:iCs/>
          <w:color w:val="222222"/>
          <w:sz w:val="16"/>
          <w:szCs w:val="16"/>
          <w:shd w:val="clear" w:color="auto" w:fill="FFFFFF"/>
        </w:rPr>
        <w:t>.</w:t>
      </w:r>
    </w:p>
  </w:footnote>
  <w:footnote w:id="5">
    <w:p w14:paraId="7E280A3C" w14:textId="7820053D" w:rsidR="00BA05F4" w:rsidRPr="00BF5CE2" w:rsidRDefault="00BA05F4">
      <w:pPr>
        <w:pStyle w:val="FootnoteText"/>
        <w:rPr>
          <w:sz w:val="16"/>
          <w:szCs w:val="16"/>
          <w:lang w:val="en-PH"/>
        </w:rPr>
      </w:pPr>
      <w:r w:rsidRPr="00BF5CE2">
        <w:rPr>
          <w:rStyle w:val="FootnoteReference"/>
          <w:sz w:val="16"/>
          <w:szCs w:val="16"/>
        </w:rPr>
        <w:footnoteRef/>
      </w:r>
      <w:r w:rsidRPr="00BF5CE2">
        <w:rPr>
          <w:sz w:val="16"/>
          <w:szCs w:val="16"/>
        </w:rPr>
        <w:t xml:space="preserve"> </w:t>
      </w:r>
      <w:r w:rsidRPr="00BF5CE2">
        <w:rPr>
          <w:sz w:val="16"/>
          <w:szCs w:val="16"/>
          <w:lang w:val="en-PH"/>
        </w:rPr>
        <w:t xml:space="preserve">Board of Governors of the Federal Reserve System (US), 1-Year </w:t>
      </w:r>
      <w:r>
        <w:rPr>
          <w:sz w:val="16"/>
          <w:szCs w:val="16"/>
          <w:lang w:val="en-PH"/>
        </w:rPr>
        <w:t xml:space="preserve">to 10-Year </w:t>
      </w:r>
      <w:r w:rsidRPr="00BF5CE2">
        <w:rPr>
          <w:sz w:val="16"/>
          <w:szCs w:val="16"/>
          <w:lang w:val="en-PH"/>
        </w:rPr>
        <w:t>Treasury Constant Maturity Rate [IDGS1</w:t>
      </w:r>
      <w:r>
        <w:rPr>
          <w:sz w:val="16"/>
          <w:szCs w:val="16"/>
          <w:lang w:val="en-PH"/>
        </w:rPr>
        <w:t xml:space="preserve"> – IDGS30</w:t>
      </w:r>
      <w:r w:rsidRPr="00BF5CE2">
        <w:rPr>
          <w:sz w:val="16"/>
          <w:szCs w:val="16"/>
          <w:lang w:val="en-PH"/>
        </w:rPr>
        <w:t>],</w:t>
      </w:r>
      <w:r w:rsidRPr="00BF5CE2">
        <w:rPr>
          <w:rFonts w:cstheme="minorHAnsi"/>
          <w:i/>
          <w:iCs/>
          <w:color w:val="222222"/>
          <w:sz w:val="16"/>
          <w:szCs w:val="16"/>
          <w:shd w:val="clear" w:color="auto" w:fill="FFFFFF"/>
        </w:rPr>
        <w:t xml:space="preserve"> retrieved from FRED, Federal Reserve Bank of St. Louis; </w:t>
      </w:r>
      <w:hyperlink r:id="rId5" w:history="1">
        <w:r w:rsidRPr="00BF5CE2">
          <w:rPr>
            <w:rStyle w:val="Hyperlink"/>
            <w:rFonts w:cstheme="minorHAnsi"/>
            <w:i/>
            <w:iCs/>
            <w:sz w:val="16"/>
            <w:szCs w:val="16"/>
            <w:shd w:val="clear" w:color="auto" w:fill="FFFFFF"/>
          </w:rPr>
          <w:t>https://fred.stlouisfed.org</w:t>
        </w:r>
      </w:hyperlink>
      <w:r w:rsidRPr="00BF5CE2">
        <w:rPr>
          <w:rFonts w:cstheme="minorHAnsi"/>
          <w:i/>
          <w:iCs/>
          <w:color w:val="222222"/>
          <w:sz w:val="16"/>
          <w:szCs w:val="16"/>
          <w:shd w:val="clear" w:color="auto" w:fill="FFFFFF"/>
        </w:rPr>
        <w:t xml:space="preserve">, </w:t>
      </w:r>
      <w:r>
        <w:rPr>
          <w:rFonts w:cstheme="minorHAnsi"/>
          <w:i/>
          <w:iCs/>
          <w:color w:val="222222"/>
          <w:sz w:val="16"/>
          <w:szCs w:val="16"/>
          <w:shd w:val="clear" w:color="auto" w:fill="FFFFFF"/>
        </w:rPr>
        <w:t xml:space="preserve">Feb </w:t>
      </w:r>
      <w:r w:rsidR="00B316F7">
        <w:rPr>
          <w:rFonts w:cstheme="minorHAnsi"/>
          <w:i/>
          <w:iCs/>
          <w:color w:val="222222"/>
          <w:sz w:val="16"/>
          <w:szCs w:val="16"/>
          <w:shd w:val="clear" w:color="auto" w:fill="FFFFFF"/>
        </w:rPr>
        <w:t>2</w:t>
      </w:r>
      <w:r>
        <w:rPr>
          <w:rFonts w:cstheme="minorHAnsi"/>
          <w:i/>
          <w:iCs/>
          <w:color w:val="222222"/>
          <w:sz w:val="16"/>
          <w:szCs w:val="16"/>
          <w:shd w:val="clear" w:color="auto" w:fill="FFFFFF"/>
        </w:rPr>
        <w:t>, 2020</w:t>
      </w:r>
      <w:r w:rsidRPr="00BF5CE2">
        <w:rPr>
          <w:rFonts w:cstheme="minorHAnsi"/>
          <w:i/>
          <w:iCs/>
          <w:color w:val="222222"/>
          <w:sz w:val="16"/>
          <w:szCs w:val="16"/>
          <w:shd w:val="clear" w:color="auto" w:fill="FFFFFF"/>
        </w:rPr>
        <w:t>.</w:t>
      </w:r>
    </w:p>
  </w:footnote>
  <w:footnote w:id="6">
    <w:p w14:paraId="35FA6FE7" w14:textId="69F1325D" w:rsidR="00BA05F4" w:rsidRPr="00BF5CE2" w:rsidRDefault="00BA05F4">
      <w:pPr>
        <w:pStyle w:val="FootnoteText"/>
        <w:rPr>
          <w:sz w:val="16"/>
          <w:szCs w:val="16"/>
          <w:lang w:val="en-PH"/>
        </w:rPr>
      </w:pPr>
      <w:r w:rsidRPr="00BF5CE2">
        <w:rPr>
          <w:rStyle w:val="FootnoteReference"/>
          <w:sz w:val="16"/>
          <w:szCs w:val="16"/>
        </w:rPr>
        <w:footnoteRef/>
      </w:r>
      <w:r w:rsidRPr="00BF5CE2">
        <w:rPr>
          <w:sz w:val="16"/>
          <w:szCs w:val="16"/>
        </w:rPr>
        <w:t xml:space="preserve"> </w:t>
      </w:r>
      <w:r w:rsidRPr="00BF5CE2">
        <w:rPr>
          <w:sz w:val="16"/>
          <w:szCs w:val="16"/>
          <w:lang w:val="en-PH"/>
        </w:rPr>
        <w:t>Board of Governors of the Federal Reserve System (US), Effective Federal Funds Rate [FEDFUNDS],</w:t>
      </w:r>
      <w:r w:rsidRPr="00BF5CE2">
        <w:rPr>
          <w:rFonts w:cstheme="minorHAnsi"/>
          <w:i/>
          <w:iCs/>
          <w:color w:val="222222"/>
          <w:sz w:val="16"/>
          <w:szCs w:val="16"/>
          <w:shd w:val="clear" w:color="auto" w:fill="FFFFFF"/>
        </w:rPr>
        <w:t xml:space="preserve"> retrieved from FRED, Federal Reserve Bank of St. Louis; </w:t>
      </w:r>
      <w:hyperlink r:id="rId6" w:history="1">
        <w:r w:rsidRPr="00BF5CE2">
          <w:rPr>
            <w:rStyle w:val="Hyperlink"/>
            <w:rFonts w:cstheme="minorHAnsi"/>
            <w:i/>
            <w:iCs/>
            <w:sz w:val="16"/>
            <w:szCs w:val="16"/>
            <w:shd w:val="clear" w:color="auto" w:fill="FFFFFF"/>
          </w:rPr>
          <w:t>https://fred.stlouisfed.org/series/FEDFUNDS</w:t>
        </w:r>
      </w:hyperlink>
      <w:r w:rsidRPr="00BF5CE2">
        <w:rPr>
          <w:rFonts w:cstheme="minorHAnsi"/>
          <w:i/>
          <w:iCs/>
          <w:color w:val="222222"/>
          <w:sz w:val="16"/>
          <w:szCs w:val="16"/>
          <w:shd w:val="clear" w:color="auto" w:fill="FFFFFF"/>
        </w:rPr>
        <w:t xml:space="preserve">, </w:t>
      </w:r>
      <w:r>
        <w:rPr>
          <w:rFonts w:cstheme="minorHAnsi"/>
          <w:i/>
          <w:iCs/>
          <w:color w:val="222222"/>
          <w:sz w:val="16"/>
          <w:szCs w:val="16"/>
          <w:shd w:val="clear" w:color="auto" w:fill="FFFFFF"/>
        </w:rPr>
        <w:t xml:space="preserve">Feb </w:t>
      </w:r>
      <w:r w:rsidR="00B316F7">
        <w:rPr>
          <w:rFonts w:cstheme="minorHAnsi"/>
          <w:i/>
          <w:iCs/>
          <w:color w:val="222222"/>
          <w:sz w:val="16"/>
          <w:szCs w:val="16"/>
          <w:shd w:val="clear" w:color="auto" w:fill="FFFFFF"/>
        </w:rPr>
        <w:t>2</w:t>
      </w:r>
      <w:r>
        <w:rPr>
          <w:rFonts w:cstheme="minorHAnsi"/>
          <w:i/>
          <w:iCs/>
          <w:color w:val="222222"/>
          <w:sz w:val="16"/>
          <w:szCs w:val="16"/>
          <w:shd w:val="clear" w:color="auto" w:fill="FFFFFF"/>
        </w:rPr>
        <w:t>, 2020</w:t>
      </w:r>
      <w:r w:rsidRPr="00BF5CE2">
        <w:rPr>
          <w:rFonts w:cstheme="minorHAnsi"/>
          <w:i/>
          <w:iCs/>
          <w:color w:val="222222"/>
          <w:sz w:val="16"/>
          <w:szCs w:val="16"/>
          <w:shd w:val="clear" w:color="auto" w:fill="FFFFFF"/>
        </w:rPr>
        <w:t>.</w:t>
      </w:r>
    </w:p>
  </w:footnote>
  <w:footnote w:id="7">
    <w:p w14:paraId="5D92A033" w14:textId="7D2B0558" w:rsidR="00BA05F4" w:rsidRPr="004759DB" w:rsidRDefault="00BA05F4">
      <w:pPr>
        <w:pStyle w:val="FootnoteText"/>
        <w:rPr>
          <w:lang w:val="en-PH"/>
        </w:rPr>
      </w:pPr>
      <w:r w:rsidRPr="00BF5CE2">
        <w:rPr>
          <w:rStyle w:val="FootnoteReference"/>
          <w:sz w:val="16"/>
          <w:szCs w:val="16"/>
        </w:rPr>
        <w:footnoteRef/>
      </w:r>
      <w:r w:rsidRPr="00BF5CE2">
        <w:rPr>
          <w:sz w:val="16"/>
          <w:szCs w:val="16"/>
        </w:rPr>
        <w:t xml:space="preserve"> </w:t>
      </w:r>
      <w:r w:rsidRPr="00BF5CE2">
        <w:rPr>
          <w:sz w:val="16"/>
          <w:szCs w:val="16"/>
          <w:lang w:val="en-PH"/>
        </w:rPr>
        <w:t>Board of Governors of the Federal Reserve System (US), 10-Year Treasury Constant Maturity Rate [DGS10],</w:t>
      </w:r>
      <w:r w:rsidRPr="00BF5CE2">
        <w:rPr>
          <w:rFonts w:cstheme="minorHAnsi"/>
          <w:i/>
          <w:iCs/>
          <w:color w:val="222222"/>
          <w:sz w:val="16"/>
          <w:szCs w:val="16"/>
          <w:shd w:val="clear" w:color="auto" w:fill="FFFFFF"/>
        </w:rPr>
        <w:t xml:space="preserve"> retrieved from FRED, Federal Reserve Bank of St. Louis; </w:t>
      </w:r>
      <w:hyperlink r:id="rId7" w:history="1">
        <w:r w:rsidRPr="00BF5CE2">
          <w:rPr>
            <w:rStyle w:val="Hyperlink"/>
            <w:rFonts w:cstheme="minorHAnsi"/>
            <w:i/>
            <w:iCs/>
            <w:sz w:val="16"/>
            <w:szCs w:val="16"/>
            <w:shd w:val="clear" w:color="auto" w:fill="FFFFFF"/>
          </w:rPr>
          <w:t>https://fred.stlouisfed.org/series/DGS10</w:t>
        </w:r>
      </w:hyperlink>
      <w:r w:rsidRPr="00BF5CE2">
        <w:rPr>
          <w:rFonts w:cstheme="minorHAnsi"/>
          <w:i/>
          <w:iCs/>
          <w:color w:val="222222"/>
          <w:sz w:val="16"/>
          <w:szCs w:val="16"/>
          <w:shd w:val="clear" w:color="auto" w:fill="FFFFFF"/>
        </w:rPr>
        <w:t xml:space="preserve">, </w:t>
      </w:r>
      <w:r>
        <w:rPr>
          <w:rFonts w:cstheme="minorHAnsi"/>
          <w:i/>
          <w:iCs/>
          <w:color w:val="222222"/>
          <w:sz w:val="16"/>
          <w:szCs w:val="16"/>
          <w:shd w:val="clear" w:color="auto" w:fill="FFFFFF"/>
        </w:rPr>
        <w:t xml:space="preserve">Feb </w:t>
      </w:r>
      <w:r w:rsidR="00B316F7">
        <w:rPr>
          <w:rFonts w:cstheme="minorHAnsi"/>
          <w:i/>
          <w:iCs/>
          <w:color w:val="222222"/>
          <w:sz w:val="16"/>
          <w:szCs w:val="16"/>
          <w:shd w:val="clear" w:color="auto" w:fill="FFFFFF"/>
        </w:rPr>
        <w:t>2</w:t>
      </w:r>
      <w:r>
        <w:rPr>
          <w:rFonts w:cstheme="minorHAnsi"/>
          <w:i/>
          <w:iCs/>
          <w:color w:val="222222"/>
          <w:sz w:val="16"/>
          <w:szCs w:val="16"/>
          <w:shd w:val="clear" w:color="auto" w:fill="FFFFFF"/>
        </w:rPr>
        <w:t>, 2020</w:t>
      </w:r>
      <w:r w:rsidRPr="00BF5CE2">
        <w:rPr>
          <w:rFonts w:cstheme="minorHAnsi"/>
          <w:i/>
          <w:iCs/>
          <w:color w:val="222222"/>
          <w:sz w:val="16"/>
          <w:szCs w:val="16"/>
          <w:shd w:val="clear" w:color="auto" w:fill="FFFFFF"/>
        </w:rPr>
        <w:t>.</w:t>
      </w:r>
    </w:p>
  </w:footnote>
  <w:footnote w:id="8">
    <w:p w14:paraId="29E4EDD1" w14:textId="1A2092E4" w:rsidR="00BA05F4" w:rsidRPr="00BF5CE2" w:rsidRDefault="00BA05F4">
      <w:pPr>
        <w:pStyle w:val="FootnoteText"/>
        <w:rPr>
          <w:sz w:val="16"/>
          <w:szCs w:val="16"/>
          <w:lang w:val="en-PH"/>
        </w:rPr>
      </w:pPr>
      <w:r w:rsidRPr="00BF5CE2">
        <w:rPr>
          <w:rStyle w:val="FootnoteReference"/>
          <w:sz w:val="16"/>
          <w:szCs w:val="16"/>
        </w:rPr>
        <w:footnoteRef/>
      </w:r>
      <w:r w:rsidRPr="00BF5CE2">
        <w:rPr>
          <w:sz w:val="16"/>
          <w:szCs w:val="16"/>
        </w:rPr>
        <w:t xml:space="preserve"> </w:t>
      </w:r>
      <w:r w:rsidRPr="00BF5CE2">
        <w:rPr>
          <w:sz w:val="16"/>
          <w:szCs w:val="16"/>
          <w:lang w:val="en-PH"/>
        </w:rPr>
        <w:t>Moody’s, Moody’s Seasoned Baa Corporate Bond Yield [BAAS],</w:t>
      </w:r>
      <w:r w:rsidRPr="00BF5CE2">
        <w:rPr>
          <w:rFonts w:cstheme="minorHAnsi"/>
          <w:i/>
          <w:iCs/>
          <w:color w:val="222222"/>
          <w:sz w:val="16"/>
          <w:szCs w:val="16"/>
          <w:shd w:val="clear" w:color="auto" w:fill="FFFFFF"/>
        </w:rPr>
        <w:t xml:space="preserve"> retrieved from FRED, Federal Reserve Bank of St. Louis; </w:t>
      </w:r>
      <w:hyperlink r:id="rId8" w:history="1">
        <w:r w:rsidRPr="00BF5CE2">
          <w:rPr>
            <w:rStyle w:val="Hyperlink"/>
            <w:rFonts w:cstheme="minorHAnsi"/>
            <w:i/>
            <w:iCs/>
            <w:sz w:val="16"/>
            <w:szCs w:val="16"/>
            <w:shd w:val="clear" w:color="auto" w:fill="FFFFFF"/>
          </w:rPr>
          <w:t>https://fred.stlouisfed.org/series/BAA</w:t>
        </w:r>
      </w:hyperlink>
      <w:r w:rsidRPr="00BF5CE2">
        <w:rPr>
          <w:rFonts w:cstheme="minorHAnsi"/>
          <w:i/>
          <w:iCs/>
          <w:color w:val="222222"/>
          <w:sz w:val="16"/>
          <w:szCs w:val="16"/>
          <w:shd w:val="clear" w:color="auto" w:fill="FFFFFF"/>
        </w:rPr>
        <w:t xml:space="preserve">, </w:t>
      </w:r>
      <w:r>
        <w:rPr>
          <w:rFonts w:cstheme="minorHAnsi"/>
          <w:i/>
          <w:iCs/>
          <w:color w:val="222222"/>
          <w:sz w:val="16"/>
          <w:szCs w:val="16"/>
          <w:shd w:val="clear" w:color="auto" w:fill="FFFFFF"/>
        </w:rPr>
        <w:t xml:space="preserve">Feb </w:t>
      </w:r>
      <w:r w:rsidR="00B316F7">
        <w:rPr>
          <w:rFonts w:cstheme="minorHAnsi"/>
          <w:i/>
          <w:iCs/>
          <w:color w:val="222222"/>
          <w:sz w:val="16"/>
          <w:szCs w:val="16"/>
          <w:shd w:val="clear" w:color="auto" w:fill="FFFFFF"/>
        </w:rPr>
        <w:t>2</w:t>
      </w:r>
      <w:r>
        <w:rPr>
          <w:rFonts w:cstheme="minorHAnsi"/>
          <w:i/>
          <w:iCs/>
          <w:color w:val="222222"/>
          <w:sz w:val="16"/>
          <w:szCs w:val="16"/>
          <w:shd w:val="clear" w:color="auto" w:fill="FFFFFF"/>
        </w:rPr>
        <w:t>, 2020</w:t>
      </w:r>
      <w:r w:rsidRPr="00BF5CE2">
        <w:rPr>
          <w:rFonts w:cstheme="minorHAnsi"/>
          <w:i/>
          <w:iCs/>
          <w:color w:val="222222"/>
          <w:sz w:val="16"/>
          <w:szCs w:val="16"/>
          <w:shd w:val="clear" w:color="auto" w:fill="FFFFFF"/>
        </w:rPr>
        <w:t>.</w:t>
      </w:r>
    </w:p>
  </w:footnote>
  <w:footnote w:id="9">
    <w:p w14:paraId="4C9DB6C9" w14:textId="6EFC7829" w:rsidR="00BA05F4" w:rsidRPr="0052077C" w:rsidRDefault="00BA05F4">
      <w:pPr>
        <w:pStyle w:val="FootnoteText"/>
        <w:rPr>
          <w:lang w:val="en-PH"/>
        </w:rPr>
      </w:pPr>
      <w:r w:rsidRPr="00BF5CE2">
        <w:rPr>
          <w:rStyle w:val="FootnoteReference"/>
          <w:sz w:val="16"/>
          <w:szCs w:val="16"/>
        </w:rPr>
        <w:footnoteRef/>
      </w:r>
      <w:r w:rsidRPr="00BF5CE2">
        <w:rPr>
          <w:sz w:val="16"/>
          <w:szCs w:val="16"/>
        </w:rPr>
        <w:t xml:space="preserve"> </w:t>
      </w:r>
      <w:r w:rsidRPr="00BF5CE2">
        <w:rPr>
          <w:sz w:val="16"/>
          <w:szCs w:val="16"/>
          <w:lang w:val="en-PH"/>
        </w:rPr>
        <w:t>U.S. Bureau of Labor Statistics, All Employees: Total Nonfarm Payrolls [PAYEMS],</w:t>
      </w:r>
      <w:r w:rsidRPr="00BF5CE2">
        <w:rPr>
          <w:rFonts w:cstheme="minorHAnsi"/>
          <w:i/>
          <w:iCs/>
          <w:color w:val="222222"/>
          <w:sz w:val="16"/>
          <w:szCs w:val="16"/>
          <w:shd w:val="clear" w:color="auto" w:fill="FFFFFF"/>
        </w:rPr>
        <w:t xml:space="preserve"> retrieved from FRED, Federal Reserve Bank of St. Louis; </w:t>
      </w:r>
      <w:hyperlink r:id="rId9" w:history="1">
        <w:r w:rsidRPr="00BF5CE2">
          <w:rPr>
            <w:rStyle w:val="Hyperlink"/>
            <w:rFonts w:cstheme="minorHAnsi"/>
            <w:i/>
            <w:iCs/>
            <w:sz w:val="16"/>
            <w:szCs w:val="16"/>
            <w:shd w:val="clear" w:color="auto" w:fill="FFFFFF"/>
          </w:rPr>
          <w:t>https://fred.stlouisfed.org/series/PAYEMS</w:t>
        </w:r>
      </w:hyperlink>
      <w:r w:rsidRPr="00BF5CE2">
        <w:rPr>
          <w:rFonts w:cstheme="minorHAnsi"/>
          <w:i/>
          <w:iCs/>
          <w:color w:val="222222"/>
          <w:sz w:val="16"/>
          <w:szCs w:val="16"/>
          <w:shd w:val="clear" w:color="auto" w:fill="FFFFFF"/>
        </w:rPr>
        <w:t xml:space="preserve">, </w:t>
      </w:r>
      <w:r>
        <w:rPr>
          <w:rFonts w:cstheme="minorHAnsi"/>
          <w:i/>
          <w:iCs/>
          <w:color w:val="222222"/>
          <w:sz w:val="16"/>
          <w:szCs w:val="16"/>
          <w:shd w:val="clear" w:color="auto" w:fill="FFFFFF"/>
        </w:rPr>
        <w:t xml:space="preserve">Feb </w:t>
      </w:r>
      <w:r w:rsidR="00B316F7">
        <w:rPr>
          <w:rFonts w:cstheme="minorHAnsi"/>
          <w:i/>
          <w:iCs/>
          <w:color w:val="222222"/>
          <w:sz w:val="16"/>
          <w:szCs w:val="16"/>
          <w:shd w:val="clear" w:color="auto" w:fill="FFFFFF"/>
        </w:rPr>
        <w:t>2</w:t>
      </w:r>
      <w:r>
        <w:rPr>
          <w:rFonts w:cstheme="minorHAnsi"/>
          <w:i/>
          <w:iCs/>
          <w:color w:val="222222"/>
          <w:sz w:val="16"/>
          <w:szCs w:val="16"/>
          <w:shd w:val="clear" w:color="auto" w:fill="FFFFFF"/>
        </w:rPr>
        <w:t>, 2020</w:t>
      </w:r>
      <w:r w:rsidRPr="00BF5CE2">
        <w:rPr>
          <w:rFonts w:cstheme="minorHAnsi"/>
          <w:i/>
          <w:iCs/>
          <w:color w:val="222222"/>
          <w:sz w:val="16"/>
          <w:szCs w:val="16"/>
          <w:shd w:val="clear" w:color="auto" w:fill="FFFFFF"/>
        </w:rPr>
        <w:t>.</w:t>
      </w:r>
    </w:p>
  </w:footnote>
  <w:footnote w:id="10">
    <w:p w14:paraId="7DEAA574" w14:textId="5486F12E" w:rsidR="00BA05F4" w:rsidRPr="00BF5CE2" w:rsidRDefault="00BA05F4">
      <w:pPr>
        <w:pStyle w:val="FootnoteText"/>
        <w:rPr>
          <w:sz w:val="16"/>
          <w:szCs w:val="16"/>
          <w:lang w:val="en-PH"/>
        </w:rPr>
      </w:pPr>
      <w:r w:rsidRPr="00BF5CE2">
        <w:rPr>
          <w:rStyle w:val="FootnoteReference"/>
          <w:sz w:val="16"/>
          <w:szCs w:val="16"/>
        </w:rPr>
        <w:footnoteRef/>
      </w:r>
      <w:r w:rsidRPr="00BF5CE2">
        <w:rPr>
          <w:sz w:val="16"/>
          <w:szCs w:val="16"/>
        </w:rPr>
        <w:t xml:space="preserve"> </w:t>
      </w:r>
      <w:r w:rsidRPr="00BF5CE2">
        <w:rPr>
          <w:sz w:val="16"/>
          <w:szCs w:val="16"/>
          <w:lang w:val="en-PH"/>
        </w:rPr>
        <w:t>U.S. Bureau of Labor Statistics, Civilian Unemployment Rate [UNRATE],</w:t>
      </w:r>
      <w:r w:rsidRPr="00BF5CE2">
        <w:rPr>
          <w:rFonts w:cstheme="minorHAnsi"/>
          <w:i/>
          <w:iCs/>
          <w:color w:val="222222"/>
          <w:sz w:val="16"/>
          <w:szCs w:val="16"/>
          <w:shd w:val="clear" w:color="auto" w:fill="FFFFFF"/>
        </w:rPr>
        <w:t xml:space="preserve"> retrieved from FRED, Federal Reserve Bank of St. Louis; </w:t>
      </w:r>
      <w:hyperlink r:id="rId10" w:history="1">
        <w:r w:rsidRPr="00BF5CE2">
          <w:rPr>
            <w:rStyle w:val="Hyperlink"/>
            <w:rFonts w:cstheme="minorHAnsi"/>
            <w:i/>
            <w:iCs/>
            <w:sz w:val="16"/>
            <w:szCs w:val="16"/>
            <w:shd w:val="clear" w:color="auto" w:fill="FFFFFF"/>
          </w:rPr>
          <w:t>https://fred.stlouisfed.org/series/UNRATE</w:t>
        </w:r>
      </w:hyperlink>
      <w:r w:rsidRPr="00BF5CE2">
        <w:rPr>
          <w:rFonts w:cstheme="minorHAnsi"/>
          <w:i/>
          <w:iCs/>
          <w:color w:val="222222"/>
          <w:sz w:val="16"/>
          <w:szCs w:val="16"/>
          <w:shd w:val="clear" w:color="auto" w:fill="FFFFFF"/>
        </w:rPr>
        <w:t xml:space="preserve">, </w:t>
      </w:r>
      <w:r>
        <w:rPr>
          <w:rFonts w:cstheme="minorHAnsi"/>
          <w:i/>
          <w:iCs/>
          <w:color w:val="222222"/>
          <w:sz w:val="16"/>
          <w:szCs w:val="16"/>
          <w:shd w:val="clear" w:color="auto" w:fill="FFFFFF"/>
        </w:rPr>
        <w:t xml:space="preserve">Feb </w:t>
      </w:r>
      <w:r w:rsidR="00B316F7">
        <w:rPr>
          <w:rFonts w:cstheme="minorHAnsi"/>
          <w:i/>
          <w:iCs/>
          <w:color w:val="222222"/>
          <w:sz w:val="16"/>
          <w:szCs w:val="16"/>
          <w:shd w:val="clear" w:color="auto" w:fill="FFFFFF"/>
        </w:rPr>
        <w:t>2</w:t>
      </w:r>
      <w:r>
        <w:rPr>
          <w:rFonts w:cstheme="minorHAnsi"/>
          <w:i/>
          <w:iCs/>
          <w:color w:val="222222"/>
          <w:sz w:val="16"/>
          <w:szCs w:val="16"/>
          <w:shd w:val="clear" w:color="auto" w:fill="FFFFFF"/>
        </w:rPr>
        <w:t>, 2020</w:t>
      </w:r>
      <w:r w:rsidRPr="00BF5CE2">
        <w:rPr>
          <w:rFonts w:cstheme="minorHAnsi"/>
          <w:i/>
          <w:iCs/>
          <w:color w:val="222222"/>
          <w:sz w:val="16"/>
          <w:szCs w:val="16"/>
          <w:shd w:val="clear" w:color="auto" w:fill="FFFFFF"/>
        </w:rPr>
        <w:t>.</w:t>
      </w:r>
    </w:p>
  </w:footnote>
  <w:footnote w:id="11">
    <w:p w14:paraId="4135366E" w14:textId="2D39C832" w:rsidR="00BA05F4" w:rsidRPr="00BF5CE2" w:rsidRDefault="00BA05F4">
      <w:pPr>
        <w:pStyle w:val="FootnoteText"/>
        <w:rPr>
          <w:sz w:val="16"/>
          <w:szCs w:val="16"/>
          <w:lang w:val="en-PH"/>
        </w:rPr>
      </w:pPr>
      <w:r w:rsidRPr="00BF5CE2">
        <w:rPr>
          <w:rStyle w:val="FootnoteReference"/>
          <w:sz w:val="16"/>
          <w:szCs w:val="16"/>
        </w:rPr>
        <w:footnoteRef/>
      </w:r>
      <w:r w:rsidRPr="00BF5CE2">
        <w:rPr>
          <w:sz w:val="16"/>
          <w:szCs w:val="16"/>
        </w:rPr>
        <w:t xml:space="preserve"> </w:t>
      </w:r>
      <w:r w:rsidRPr="00BF5CE2">
        <w:rPr>
          <w:sz w:val="16"/>
          <w:szCs w:val="16"/>
          <w:lang w:val="en-PH"/>
        </w:rPr>
        <w:t>U.S. Bureau of Labor Statistics, Consumer Price Index for All Urban Consumers: All Items [CPIAUCSL],</w:t>
      </w:r>
      <w:r w:rsidRPr="00BF5CE2">
        <w:rPr>
          <w:rFonts w:cstheme="minorHAnsi"/>
          <w:i/>
          <w:iCs/>
          <w:color w:val="222222"/>
          <w:sz w:val="16"/>
          <w:szCs w:val="16"/>
          <w:shd w:val="clear" w:color="auto" w:fill="FFFFFF"/>
        </w:rPr>
        <w:t xml:space="preserve"> retrieved from FRED, Federal Reserve Bank of St. Louis; </w:t>
      </w:r>
      <w:hyperlink r:id="rId11" w:history="1">
        <w:r w:rsidRPr="00BF5CE2">
          <w:rPr>
            <w:rStyle w:val="Hyperlink"/>
            <w:rFonts w:cstheme="minorHAnsi"/>
            <w:i/>
            <w:iCs/>
            <w:sz w:val="16"/>
            <w:szCs w:val="16"/>
            <w:shd w:val="clear" w:color="auto" w:fill="FFFFFF"/>
          </w:rPr>
          <w:t>https://fred.stlouisfed.org/series/CPIAUCSL</w:t>
        </w:r>
      </w:hyperlink>
      <w:r w:rsidRPr="00BF5CE2">
        <w:rPr>
          <w:rFonts w:cstheme="minorHAnsi"/>
          <w:i/>
          <w:iCs/>
          <w:color w:val="222222"/>
          <w:sz w:val="16"/>
          <w:szCs w:val="16"/>
          <w:shd w:val="clear" w:color="auto" w:fill="FFFFFF"/>
        </w:rPr>
        <w:t xml:space="preserve">, </w:t>
      </w:r>
      <w:r>
        <w:rPr>
          <w:rFonts w:cstheme="minorHAnsi"/>
          <w:i/>
          <w:iCs/>
          <w:color w:val="222222"/>
          <w:sz w:val="16"/>
          <w:szCs w:val="16"/>
          <w:shd w:val="clear" w:color="auto" w:fill="FFFFFF"/>
        </w:rPr>
        <w:t xml:space="preserve">Feb </w:t>
      </w:r>
      <w:r w:rsidR="00B316F7">
        <w:rPr>
          <w:rFonts w:cstheme="minorHAnsi"/>
          <w:i/>
          <w:iCs/>
          <w:color w:val="222222"/>
          <w:sz w:val="16"/>
          <w:szCs w:val="16"/>
          <w:shd w:val="clear" w:color="auto" w:fill="FFFFFF"/>
        </w:rPr>
        <w:t>2</w:t>
      </w:r>
      <w:r>
        <w:rPr>
          <w:rFonts w:cstheme="minorHAnsi"/>
          <w:i/>
          <w:iCs/>
          <w:color w:val="222222"/>
          <w:sz w:val="16"/>
          <w:szCs w:val="16"/>
          <w:shd w:val="clear" w:color="auto" w:fill="FFFFFF"/>
        </w:rPr>
        <w:t>, 2020</w:t>
      </w:r>
      <w:r w:rsidRPr="00BF5CE2">
        <w:rPr>
          <w:rFonts w:cstheme="minorHAnsi"/>
          <w:i/>
          <w:iCs/>
          <w:color w:val="222222"/>
          <w:sz w:val="16"/>
          <w:szCs w:val="16"/>
          <w:shd w:val="clear" w:color="auto" w:fill="FFFFFF"/>
        </w:rPr>
        <w:t>.</w:t>
      </w:r>
    </w:p>
  </w:footnote>
  <w:footnote w:id="12">
    <w:p w14:paraId="2CF101DC" w14:textId="59225C8F" w:rsidR="00BA05F4" w:rsidRPr="00CB1375" w:rsidRDefault="00BA05F4">
      <w:pPr>
        <w:pStyle w:val="FootnoteText"/>
        <w:rPr>
          <w:lang w:val="en-PH"/>
        </w:rPr>
      </w:pPr>
      <w:r w:rsidRPr="00BF5CE2">
        <w:rPr>
          <w:rStyle w:val="FootnoteReference"/>
          <w:sz w:val="16"/>
          <w:szCs w:val="16"/>
        </w:rPr>
        <w:footnoteRef/>
      </w:r>
      <w:r w:rsidRPr="00BF5CE2">
        <w:rPr>
          <w:sz w:val="16"/>
          <w:szCs w:val="16"/>
        </w:rPr>
        <w:t xml:space="preserve"> </w:t>
      </w:r>
      <w:r w:rsidRPr="00BF5CE2">
        <w:rPr>
          <w:sz w:val="16"/>
          <w:szCs w:val="16"/>
          <w:lang w:val="en-PH"/>
        </w:rPr>
        <w:t>U.S. Bureau of Labor Statistics, Producer Price Index for All Commodities [PPIACO],</w:t>
      </w:r>
      <w:r w:rsidRPr="00BF5CE2">
        <w:rPr>
          <w:rFonts w:cstheme="minorHAnsi"/>
          <w:i/>
          <w:iCs/>
          <w:color w:val="222222"/>
          <w:sz w:val="16"/>
          <w:szCs w:val="16"/>
          <w:shd w:val="clear" w:color="auto" w:fill="FFFFFF"/>
        </w:rPr>
        <w:t xml:space="preserve"> retrieved from FRED, Federal Reserve Bank of St. Louis; </w:t>
      </w:r>
      <w:hyperlink r:id="rId12" w:history="1">
        <w:r w:rsidRPr="00BF5CE2">
          <w:rPr>
            <w:rStyle w:val="Hyperlink"/>
            <w:rFonts w:cstheme="minorHAnsi"/>
            <w:i/>
            <w:iCs/>
            <w:sz w:val="16"/>
            <w:szCs w:val="16"/>
            <w:shd w:val="clear" w:color="auto" w:fill="FFFFFF"/>
          </w:rPr>
          <w:t>https://fred.stlouisfed.org/series/PPIACO</w:t>
        </w:r>
      </w:hyperlink>
      <w:r w:rsidRPr="00BF5CE2">
        <w:rPr>
          <w:rFonts w:cstheme="minorHAnsi"/>
          <w:i/>
          <w:iCs/>
          <w:color w:val="222222"/>
          <w:sz w:val="16"/>
          <w:szCs w:val="16"/>
          <w:shd w:val="clear" w:color="auto" w:fill="FFFFFF"/>
        </w:rPr>
        <w:t xml:space="preserve">, </w:t>
      </w:r>
      <w:r>
        <w:rPr>
          <w:rFonts w:cstheme="minorHAnsi"/>
          <w:i/>
          <w:iCs/>
          <w:color w:val="222222"/>
          <w:sz w:val="16"/>
          <w:szCs w:val="16"/>
          <w:shd w:val="clear" w:color="auto" w:fill="FFFFFF"/>
        </w:rPr>
        <w:t xml:space="preserve">Feb </w:t>
      </w:r>
      <w:r w:rsidR="00B316F7">
        <w:rPr>
          <w:rFonts w:cstheme="minorHAnsi"/>
          <w:i/>
          <w:iCs/>
          <w:color w:val="222222"/>
          <w:sz w:val="16"/>
          <w:szCs w:val="16"/>
          <w:shd w:val="clear" w:color="auto" w:fill="FFFFFF"/>
        </w:rPr>
        <w:t>2</w:t>
      </w:r>
      <w:r>
        <w:rPr>
          <w:rFonts w:cstheme="minorHAnsi"/>
          <w:i/>
          <w:iCs/>
          <w:color w:val="222222"/>
          <w:sz w:val="16"/>
          <w:szCs w:val="16"/>
          <w:shd w:val="clear" w:color="auto" w:fill="FFFFFF"/>
        </w:rPr>
        <w:t>, 2020</w:t>
      </w:r>
      <w:r w:rsidRPr="00BF5CE2">
        <w:rPr>
          <w:rFonts w:cstheme="minorHAnsi"/>
          <w:i/>
          <w:iCs/>
          <w:color w:val="222222"/>
          <w:sz w:val="16"/>
          <w:szCs w:val="16"/>
          <w:shd w:val="clear" w:color="auto" w:fill="FFFFFF"/>
        </w:rPr>
        <w:t>.</w:t>
      </w:r>
    </w:p>
  </w:footnote>
  <w:footnote w:id="13">
    <w:p w14:paraId="11221A52" w14:textId="55EF30E5" w:rsidR="00BA05F4" w:rsidRPr="00BF5CE2" w:rsidRDefault="00BA05F4">
      <w:pPr>
        <w:pStyle w:val="FootnoteText"/>
        <w:rPr>
          <w:sz w:val="16"/>
          <w:szCs w:val="16"/>
          <w:lang w:val="en-PH"/>
        </w:rPr>
      </w:pPr>
      <w:r w:rsidRPr="00BF5CE2">
        <w:rPr>
          <w:rStyle w:val="FootnoteReference"/>
          <w:sz w:val="16"/>
          <w:szCs w:val="16"/>
        </w:rPr>
        <w:footnoteRef/>
      </w:r>
      <w:r w:rsidRPr="00BF5CE2">
        <w:rPr>
          <w:sz w:val="16"/>
          <w:szCs w:val="16"/>
        </w:rPr>
        <w:t xml:space="preserve"> </w:t>
      </w:r>
      <w:r w:rsidRPr="00BF5CE2">
        <w:rPr>
          <w:sz w:val="16"/>
          <w:szCs w:val="16"/>
          <w:lang w:val="en-PH"/>
        </w:rPr>
        <w:t>U.S. Bureau of the Census, Housing Starts: Total: New Privately Owned Housing Units Started [HOUST],</w:t>
      </w:r>
      <w:r w:rsidRPr="00BF5CE2">
        <w:rPr>
          <w:rFonts w:cstheme="minorHAnsi"/>
          <w:i/>
          <w:iCs/>
          <w:color w:val="222222"/>
          <w:sz w:val="16"/>
          <w:szCs w:val="16"/>
          <w:shd w:val="clear" w:color="auto" w:fill="FFFFFF"/>
        </w:rPr>
        <w:t xml:space="preserve"> retrieved from FRED, Federal Reserve Bank of St. Louis; </w:t>
      </w:r>
      <w:hyperlink r:id="rId13" w:history="1">
        <w:r w:rsidRPr="00BF5CE2">
          <w:rPr>
            <w:rStyle w:val="Hyperlink"/>
            <w:rFonts w:cstheme="minorHAnsi"/>
            <w:i/>
            <w:iCs/>
            <w:sz w:val="16"/>
            <w:szCs w:val="16"/>
            <w:shd w:val="clear" w:color="auto" w:fill="FFFFFF"/>
          </w:rPr>
          <w:t>https://fred.stlouisfed.org/series/HOUST</w:t>
        </w:r>
      </w:hyperlink>
      <w:r w:rsidRPr="00BF5CE2">
        <w:rPr>
          <w:rFonts w:cstheme="minorHAnsi"/>
          <w:i/>
          <w:iCs/>
          <w:color w:val="222222"/>
          <w:sz w:val="16"/>
          <w:szCs w:val="16"/>
          <w:shd w:val="clear" w:color="auto" w:fill="FFFFFF"/>
        </w:rPr>
        <w:t xml:space="preserve">, </w:t>
      </w:r>
      <w:r>
        <w:rPr>
          <w:rFonts w:cstheme="minorHAnsi"/>
          <w:i/>
          <w:iCs/>
          <w:color w:val="222222"/>
          <w:sz w:val="16"/>
          <w:szCs w:val="16"/>
          <w:shd w:val="clear" w:color="auto" w:fill="FFFFFF"/>
        </w:rPr>
        <w:t xml:space="preserve">Feb </w:t>
      </w:r>
      <w:r w:rsidR="00B316F7">
        <w:rPr>
          <w:rFonts w:cstheme="minorHAnsi"/>
          <w:i/>
          <w:iCs/>
          <w:color w:val="222222"/>
          <w:sz w:val="16"/>
          <w:szCs w:val="16"/>
          <w:shd w:val="clear" w:color="auto" w:fill="FFFFFF"/>
        </w:rPr>
        <w:t>2</w:t>
      </w:r>
      <w:r>
        <w:rPr>
          <w:rFonts w:cstheme="minorHAnsi"/>
          <w:i/>
          <w:iCs/>
          <w:color w:val="222222"/>
          <w:sz w:val="16"/>
          <w:szCs w:val="16"/>
          <w:shd w:val="clear" w:color="auto" w:fill="FFFFFF"/>
        </w:rPr>
        <w:t>, 2020</w:t>
      </w:r>
      <w:r w:rsidRPr="00BF5CE2">
        <w:rPr>
          <w:rFonts w:cstheme="minorHAnsi"/>
          <w:i/>
          <w:iCs/>
          <w:color w:val="222222"/>
          <w:sz w:val="16"/>
          <w:szCs w:val="16"/>
          <w:shd w:val="clear" w:color="auto" w:fill="FFFFFF"/>
        </w:rPr>
        <w:t>.</w:t>
      </w:r>
    </w:p>
  </w:footnote>
  <w:footnote w:id="14">
    <w:p w14:paraId="6A794CBD" w14:textId="5C9E1EC1" w:rsidR="00BA05F4" w:rsidRPr="00250313" w:rsidRDefault="00BA05F4">
      <w:pPr>
        <w:pStyle w:val="FootnoteText"/>
        <w:rPr>
          <w:lang w:val="en-PH"/>
        </w:rPr>
      </w:pPr>
      <w:r w:rsidRPr="00BF5CE2">
        <w:rPr>
          <w:rStyle w:val="FootnoteReference"/>
          <w:sz w:val="16"/>
          <w:szCs w:val="16"/>
        </w:rPr>
        <w:footnoteRef/>
      </w:r>
      <w:r w:rsidRPr="00BF5CE2">
        <w:rPr>
          <w:sz w:val="16"/>
          <w:szCs w:val="16"/>
        </w:rPr>
        <w:t xml:space="preserve"> </w:t>
      </w:r>
      <w:r w:rsidRPr="00BF5CE2">
        <w:rPr>
          <w:sz w:val="16"/>
          <w:szCs w:val="16"/>
          <w:lang w:val="en-PH"/>
        </w:rPr>
        <w:t>Freddie Mac, 30-Year Fixed Rate Mortgage Average in the United States [MORTGAGE30US],</w:t>
      </w:r>
      <w:r w:rsidRPr="00BF5CE2">
        <w:rPr>
          <w:rFonts w:cstheme="minorHAnsi"/>
          <w:i/>
          <w:iCs/>
          <w:color w:val="222222"/>
          <w:sz w:val="16"/>
          <w:szCs w:val="16"/>
          <w:shd w:val="clear" w:color="auto" w:fill="FFFFFF"/>
        </w:rPr>
        <w:t xml:space="preserve"> retrieved from FRED, Federal Reserve Bank of St. Louis; </w:t>
      </w:r>
      <w:hyperlink r:id="rId14" w:history="1">
        <w:r w:rsidRPr="00BF5CE2">
          <w:rPr>
            <w:rStyle w:val="Hyperlink"/>
            <w:rFonts w:cstheme="minorHAnsi"/>
            <w:i/>
            <w:iCs/>
            <w:sz w:val="16"/>
            <w:szCs w:val="16"/>
            <w:shd w:val="clear" w:color="auto" w:fill="FFFFFF"/>
          </w:rPr>
          <w:t>https://fred.stlouisfed.org/series/MORTGAGE30US</w:t>
        </w:r>
      </w:hyperlink>
      <w:r w:rsidRPr="00BF5CE2">
        <w:rPr>
          <w:rFonts w:cstheme="minorHAnsi"/>
          <w:i/>
          <w:iCs/>
          <w:color w:val="222222"/>
          <w:sz w:val="16"/>
          <w:szCs w:val="16"/>
          <w:shd w:val="clear" w:color="auto" w:fill="FFFFFF"/>
        </w:rPr>
        <w:t xml:space="preserve">, </w:t>
      </w:r>
      <w:r>
        <w:rPr>
          <w:rFonts w:cstheme="minorHAnsi"/>
          <w:i/>
          <w:iCs/>
          <w:color w:val="222222"/>
          <w:sz w:val="16"/>
          <w:szCs w:val="16"/>
          <w:shd w:val="clear" w:color="auto" w:fill="FFFFFF"/>
        </w:rPr>
        <w:t xml:space="preserve">Feb </w:t>
      </w:r>
      <w:r w:rsidR="00B316F7">
        <w:rPr>
          <w:rFonts w:cstheme="minorHAnsi"/>
          <w:i/>
          <w:iCs/>
          <w:color w:val="222222"/>
          <w:sz w:val="16"/>
          <w:szCs w:val="16"/>
          <w:shd w:val="clear" w:color="auto" w:fill="FFFFFF"/>
        </w:rPr>
        <w:t>2</w:t>
      </w:r>
      <w:r>
        <w:rPr>
          <w:rFonts w:cstheme="minorHAnsi"/>
          <w:i/>
          <w:iCs/>
          <w:color w:val="222222"/>
          <w:sz w:val="16"/>
          <w:szCs w:val="16"/>
          <w:shd w:val="clear" w:color="auto" w:fill="FFFFFF"/>
        </w:rPr>
        <w:t>, 2020</w:t>
      </w:r>
      <w:r w:rsidRPr="00BF5CE2">
        <w:rPr>
          <w:rFonts w:cstheme="minorHAnsi"/>
          <w:i/>
          <w:iCs/>
          <w:color w:val="222222"/>
          <w:sz w:val="16"/>
          <w:szCs w:val="16"/>
          <w:shd w:val="clear" w:color="auto" w:fill="FFFFFF"/>
        </w:rPr>
        <w:t>.</w:t>
      </w:r>
    </w:p>
  </w:footnote>
  <w:footnote w:id="15">
    <w:p w14:paraId="48E5411D" w14:textId="06E3F368" w:rsidR="00BA05F4" w:rsidRPr="00BF5CE2" w:rsidRDefault="00BA05F4">
      <w:pPr>
        <w:pStyle w:val="FootnoteText"/>
        <w:rPr>
          <w:sz w:val="16"/>
          <w:szCs w:val="16"/>
          <w:lang w:val="en-PH"/>
        </w:rPr>
      </w:pPr>
      <w:r w:rsidRPr="00BF5CE2">
        <w:rPr>
          <w:rStyle w:val="FootnoteReference"/>
          <w:sz w:val="16"/>
          <w:szCs w:val="16"/>
        </w:rPr>
        <w:footnoteRef/>
      </w:r>
      <w:r w:rsidRPr="00BF5CE2">
        <w:rPr>
          <w:sz w:val="16"/>
          <w:szCs w:val="16"/>
        </w:rPr>
        <w:t xml:space="preserve"> </w:t>
      </w:r>
      <w:r w:rsidRPr="00BF5CE2">
        <w:rPr>
          <w:sz w:val="16"/>
          <w:szCs w:val="16"/>
          <w:lang w:val="en-PH"/>
        </w:rPr>
        <w:t>S&amp;P Down Jones Indices LLC, S&amp;P/Case-Shiller 20-City Composite Home Price Index [SPCS20RSA],</w:t>
      </w:r>
      <w:r w:rsidRPr="00BF5CE2">
        <w:rPr>
          <w:rFonts w:cstheme="minorHAnsi"/>
          <w:i/>
          <w:iCs/>
          <w:color w:val="222222"/>
          <w:sz w:val="16"/>
          <w:szCs w:val="16"/>
          <w:shd w:val="clear" w:color="auto" w:fill="FFFFFF"/>
        </w:rPr>
        <w:t xml:space="preserve"> retrieved from FRED, Federal Reserve Bank of St. Louis; </w:t>
      </w:r>
      <w:hyperlink r:id="rId15" w:history="1">
        <w:r w:rsidRPr="00BF5CE2">
          <w:rPr>
            <w:rStyle w:val="Hyperlink"/>
            <w:rFonts w:cstheme="minorHAnsi"/>
            <w:i/>
            <w:iCs/>
            <w:sz w:val="16"/>
            <w:szCs w:val="16"/>
            <w:shd w:val="clear" w:color="auto" w:fill="FFFFFF"/>
          </w:rPr>
          <w:t>https://fred.stlouisfed.org/series/SPCS20RSA</w:t>
        </w:r>
      </w:hyperlink>
      <w:r w:rsidRPr="00BF5CE2">
        <w:rPr>
          <w:rFonts w:cstheme="minorHAnsi"/>
          <w:i/>
          <w:iCs/>
          <w:color w:val="222222"/>
          <w:sz w:val="16"/>
          <w:szCs w:val="16"/>
          <w:shd w:val="clear" w:color="auto" w:fill="FFFFFF"/>
        </w:rPr>
        <w:t xml:space="preserve">, </w:t>
      </w:r>
      <w:r>
        <w:rPr>
          <w:rFonts w:cstheme="minorHAnsi"/>
          <w:i/>
          <w:iCs/>
          <w:color w:val="222222"/>
          <w:sz w:val="16"/>
          <w:szCs w:val="16"/>
          <w:shd w:val="clear" w:color="auto" w:fill="FFFFFF"/>
        </w:rPr>
        <w:t xml:space="preserve">Feb </w:t>
      </w:r>
      <w:r w:rsidR="00B316F7">
        <w:rPr>
          <w:rFonts w:cstheme="minorHAnsi"/>
          <w:i/>
          <w:iCs/>
          <w:color w:val="222222"/>
          <w:sz w:val="16"/>
          <w:szCs w:val="16"/>
          <w:shd w:val="clear" w:color="auto" w:fill="FFFFFF"/>
        </w:rPr>
        <w:t>2</w:t>
      </w:r>
      <w:r>
        <w:rPr>
          <w:rFonts w:cstheme="minorHAnsi"/>
          <w:i/>
          <w:iCs/>
          <w:color w:val="222222"/>
          <w:sz w:val="16"/>
          <w:szCs w:val="16"/>
          <w:shd w:val="clear" w:color="auto" w:fill="FFFFFF"/>
        </w:rPr>
        <w:t>, 2020</w:t>
      </w:r>
      <w:r w:rsidRPr="00BF5CE2">
        <w:rPr>
          <w:rFonts w:cstheme="minorHAnsi"/>
          <w:i/>
          <w:iCs/>
          <w:color w:val="222222"/>
          <w:sz w:val="16"/>
          <w:szCs w:val="16"/>
          <w:shd w:val="clear" w:color="auto" w:fill="FFFFFF"/>
        </w:rPr>
        <w:t>.</w:t>
      </w:r>
    </w:p>
  </w:footnote>
  <w:footnote w:id="16">
    <w:p w14:paraId="3C84FE4A" w14:textId="373DB054" w:rsidR="00BA05F4" w:rsidRPr="00BF5CE2" w:rsidRDefault="00BA05F4">
      <w:pPr>
        <w:pStyle w:val="FootnoteText"/>
        <w:rPr>
          <w:sz w:val="16"/>
          <w:szCs w:val="16"/>
          <w:lang w:val="en-PH"/>
        </w:rPr>
      </w:pPr>
      <w:r w:rsidRPr="00BF5CE2">
        <w:rPr>
          <w:rStyle w:val="FootnoteReference"/>
          <w:sz w:val="16"/>
          <w:szCs w:val="16"/>
        </w:rPr>
        <w:footnoteRef/>
      </w:r>
      <w:r w:rsidRPr="00BF5CE2">
        <w:rPr>
          <w:sz w:val="16"/>
          <w:szCs w:val="16"/>
          <w:lang w:val="en-PH"/>
        </w:rPr>
        <w:t xml:space="preserve"> U.S. Bureau of Economic Analysis, Personal Consumption Expenditures [PCE],</w:t>
      </w:r>
      <w:r w:rsidRPr="00BF5CE2">
        <w:rPr>
          <w:rFonts w:cstheme="minorHAnsi"/>
          <w:i/>
          <w:iCs/>
          <w:color w:val="222222"/>
          <w:sz w:val="16"/>
          <w:szCs w:val="16"/>
          <w:shd w:val="clear" w:color="auto" w:fill="FFFFFF"/>
        </w:rPr>
        <w:t xml:space="preserve"> retrieved from FRED, Federal Reserve Bank of St. Louis; </w:t>
      </w:r>
      <w:hyperlink r:id="rId16" w:history="1">
        <w:r w:rsidRPr="00BF5CE2">
          <w:rPr>
            <w:rStyle w:val="Hyperlink"/>
            <w:rFonts w:cstheme="minorHAnsi"/>
            <w:i/>
            <w:iCs/>
            <w:sz w:val="16"/>
            <w:szCs w:val="16"/>
            <w:shd w:val="clear" w:color="auto" w:fill="FFFFFF"/>
          </w:rPr>
          <w:t>https://fred.stlouisfed.org/series/PCE</w:t>
        </w:r>
      </w:hyperlink>
      <w:r w:rsidRPr="00BF5CE2">
        <w:rPr>
          <w:rFonts w:cstheme="minorHAnsi"/>
          <w:i/>
          <w:iCs/>
          <w:color w:val="222222"/>
          <w:sz w:val="16"/>
          <w:szCs w:val="16"/>
          <w:shd w:val="clear" w:color="auto" w:fill="FFFFFF"/>
        </w:rPr>
        <w:t xml:space="preserve">, </w:t>
      </w:r>
      <w:r>
        <w:rPr>
          <w:rFonts w:cstheme="minorHAnsi"/>
          <w:i/>
          <w:iCs/>
          <w:color w:val="222222"/>
          <w:sz w:val="16"/>
          <w:szCs w:val="16"/>
          <w:shd w:val="clear" w:color="auto" w:fill="FFFFFF"/>
        </w:rPr>
        <w:t xml:space="preserve">Feb </w:t>
      </w:r>
      <w:r w:rsidR="00B316F7">
        <w:rPr>
          <w:rFonts w:cstheme="minorHAnsi"/>
          <w:i/>
          <w:iCs/>
          <w:color w:val="222222"/>
          <w:sz w:val="16"/>
          <w:szCs w:val="16"/>
          <w:shd w:val="clear" w:color="auto" w:fill="FFFFFF"/>
        </w:rPr>
        <w:t>2</w:t>
      </w:r>
      <w:r>
        <w:rPr>
          <w:rFonts w:cstheme="minorHAnsi"/>
          <w:i/>
          <w:iCs/>
          <w:color w:val="222222"/>
          <w:sz w:val="16"/>
          <w:szCs w:val="16"/>
          <w:shd w:val="clear" w:color="auto" w:fill="FFFFFF"/>
        </w:rPr>
        <w:t>, 2020</w:t>
      </w:r>
      <w:r w:rsidRPr="00BF5CE2">
        <w:rPr>
          <w:rFonts w:cstheme="minorHAnsi"/>
          <w:i/>
          <w:iCs/>
          <w:color w:val="222222"/>
          <w:sz w:val="16"/>
          <w:szCs w:val="16"/>
          <w:shd w:val="clear" w:color="auto" w:fill="FFFFFF"/>
        </w:rPr>
        <w:t>.</w:t>
      </w:r>
    </w:p>
  </w:footnote>
  <w:footnote w:id="17">
    <w:p w14:paraId="08E11874" w14:textId="77C16B11" w:rsidR="00BA05F4" w:rsidRPr="00933E80" w:rsidRDefault="00BA05F4">
      <w:pPr>
        <w:pStyle w:val="FootnoteText"/>
        <w:rPr>
          <w:lang w:val="en-PH"/>
        </w:rPr>
      </w:pPr>
      <w:r w:rsidRPr="00BF5CE2">
        <w:rPr>
          <w:rStyle w:val="FootnoteReference"/>
          <w:sz w:val="16"/>
          <w:szCs w:val="16"/>
        </w:rPr>
        <w:footnoteRef/>
      </w:r>
      <w:r w:rsidRPr="00BF5CE2">
        <w:rPr>
          <w:sz w:val="16"/>
          <w:szCs w:val="16"/>
        </w:rPr>
        <w:t xml:space="preserve"> </w:t>
      </w:r>
      <w:r w:rsidRPr="00BF5CE2">
        <w:rPr>
          <w:sz w:val="16"/>
          <w:szCs w:val="16"/>
          <w:lang w:val="en-PH"/>
        </w:rPr>
        <w:t>U.S. Bureau of Economic Analysis, Light Weight Vehicle Sales: Autos and Light Trucks [ALTSALES],</w:t>
      </w:r>
      <w:r w:rsidRPr="00BF5CE2">
        <w:rPr>
          <w:rFonts w:cstheme="minorHAnsi"/>
          <w:i/>
          <w:iCs/>
          <w:color w:val="222222"/>
          <w:sz w:val="16"/>
          <w:szCs w:val="16"/>
          <w:shd w:val="clear" w:color="auto" w:fill="FFFFFF"/>
        </w:rPr>
        <w:t xml:space="preserve"> retrieved from FRED, Federal Reserve Bank of St. Louis; </w:t>
      </w:r>
      <w:hyperlink r:id="rId17" w:history="1">
        <w:r w:rsidRPr="00BF5CE2">
          <w:rPr>
            <w:rStyle w:val="Hyperlink"/>
            <w:rFonts w:cstheme="minorHAnsi"/>
            <w:i/>
            <w:iCs/>
            <w:sz w:val="16"/>
            <w:szCs w:val="16"/>
            <w:shd w:val="clear" w:color="auto" w:fill="FFFFFF"/>
          </w:rPr>
          <w:t>https://fred.stlouisfed.org/series/ALTSALES</w:t>
        </w:r>
      </w:hyperlink>
      <w:r w:rsidRPr="00BF5CE2">
        <w:rPr>
          <w:rFonts w:cstheme="minorHAnsi"/>
          <w:i/>
          <w:iCs/>
          <w:color w:val="222222"/>
          <w:sz w:val="16"/>
          <w:szCs w:val="16"/>
          <w:shd w:val="clear" w:color="auto" w:fill="FFFFFF"/>
        </w:rPr>
        <w:t xml:space="preserve">, </w:t>
      </w:r>
      <w:r>
        <w:rPr>
          <w:rFonts w:cstheme="minorHAnsi"/>
          <w:i/>
          <w:iCs/>
          <w:color w:val="222222"/>
          <w:sz w:val="16"/>
          <w:szCs w:val="16"/>
          <w:shd w:val="clear" w:color="auto" w:fill="FFFFFF"/>
        </w:rPr>
        <w:t xml:space="preserve">Feb </w:t>
      </w:r>
      <w:r w:rsidR="00B316F7">
        <w:rPr>
          <w:rFonts w:cstheme="minorHAnsi"/>
          <w:i/>
          <w:iCs/>
          <w:color w:val="222222"/>
          <w:sz w:val="16"/>
          <w:szCs w:val="16"/>
          <w:shd w:val="clear" w:color="auto" w:fill="FFFFFF"/>
        </w:rPr>
        <w:t>2</w:t>
      </w:r>
      <w:r>
        <w:rPr>
          <w:rFonts w:cstheme="minorHAnsi"/>
          <w:i/>
          <w:iCs/>
          <w:color w:val="222222"/>
          <w:sz w:val="16"/>
          <w:szCs w:val="16"/>
          <w:shd w:val="clear" w:color="auto" w:fill="FFFFFF"/>
        </w:rPr>
        <w:t>, 2020</w:t>
      </w:r>
      <w:r w:rsidRPr="00BF5CE2">
        <w:rPr>
          <w:rFonts w:cstheme="minorHAnsi"/>
          <w:i/>
          <w:iCs/>
          <w:color w:val="222222"/>
          <w:sz w:val="16"/>
          <w:szCs w:val="16"/>
          <w:shd w:val="clear" w:color="auto" w:fill="FFFFFF"/>
        </w:rPr>
        <w:t>.</w:t>
      </w:r>
    </w:p>
  </w:footnote>
  <w:footnote w:id="18">
    <w:p w14:paraId="01357EF0" w14:textId="2FE1FD8E" w:rsidR="00BA05F4" w:rsidRPr="00291FFB" w:rsidRDefault="00BA05F4" w:rsidP="00291FFB">
      <w:pPr>
        <w:pStyle w:val="FootnoteText"/>
        <w:rPr>
          <w:sz w:val="16"/>
          <w:szCs w:val="16"/>
          <w:lang w:val="en-PH"/>
        </w:rPr>
      </w:pPr>
      <w:r w:rsidRPr="00291FFB">
        <w:rPr>
          <w:sz w:val="16"/>
          <w:szCs w:val="16"/>
          <w:lang w:val="en-PH"/>
        </w:rPr>
        <w:footnoteRef/>
      </w:r>
      <w:r w:rsidRPr="00291FFB">
        <w:rPr>
          <w:sz w:val="16"/>
          <w:szCs w:val="16"/>
          <w:lang w:val="en-PH"/>
        </w:rPr>
        <w:t xml:space="preserve"> University of Michigan, University of Michigan: Consumer Sentiment [UMCSENT], retrieved from FRED, Federal Reserve Bank of St. Louis; </w:t>
      </w:r>
      <w:hyperlink r:id="rId18" w:history="1">
        <w:r w:rsidRPr="0077461D">
          <w:rPr>
            <w:rStyle w:val="Hyperlink"/>
            <w:sz w:val="16"/>
            <w:szCs w:val="16"/>
            <w:lang w:val="en-PH"/>
          </w:rPr>
          <w:t>https://fred.stlouisfed.org/series/UMCSENT</w:t>
        </w:r>
      </w:hyperlink>
      <w:r w:rsidRPr="00291FFB">
        <w:rPr>
          <w:sz w:val="16"/>
          <w:szCs w:val="16"/>
          <w:lang w:val="en-PH"/>
        </w:rPr>
        <w:t>,</w:t>
      </w:r>
      <w:r>
        <w:rPr>
          <w:sz w:val="16"/>
          <w:szCs w:val="16"/>
          <w:lang w:val="en-PH"/>
        </w:rPr>
        <w:t xml:space="preserve"> </w:t>
      </w:r>
      <w:r w:rsidR="00E71440">
        <w:rPr>
          <w:sz w:val="16"/>
          <w:szCs w:val="16"/>
          <w:lang w:val="en-PH"/>
        </w:rPr>
        <w:t xml:space="preserve">Feb </w:t>
      </w:r>
      <w:r w:rsidR="00B316F7">
        <w:rPr>
          <w:sz w:val="16"/>
          <w:szCs w:val="16"/>
          <w:lang w:val="en-PH"/>
        </w:rPr>
        <w:t>2</w:t>
      </w:r>
      <w:r w:rsidR="00E71440">
        <w:rPr>
          <w:sz w:val="16"/>
          <w:szCs w:val="16"/>
          <w:lang w:val="en-PH"/>
        </w:rPr>
        <w:t>, 2020</w:t>
      </w:r>
      <w:r>
        <w:rPr>
          <w:sz w:val="16"/>
          <w:szCs w:val="16"/>
          <w:lang w:val="en-PH"/>
        </w:rPr>
        <w:t>.</w:t>
      </w:r>
    </w:p>
    <w:p w14:paraId="10C86738" w14:textId="29101548" w:rsidR="00BA05F4" w:rsidRDefault="00BA05F4">
      <w:pPr>
        <w:pStyle w:val="FootnoteText"/>
      </w:pPr>
    </w:p>
  </w:footnote>
  <w:footnote w:id="19">
    <w:p w14:paraId="3E58D959" w14:textId="4D7C0B59" w:rsidR="00BA05F4" w:rsidRPr="0007515A" w:rsidRDefault="00BA05F4">
      <w:pPr>
        <w:pStyle w:val="FootnoteText"/>
        <w:rPr>
          <w:sz w:val="16"/>
          <w:szCs w:val="16"/>
        </w:rPr>
      </w:pPr>
      <w:r w:rsidRPr="0007515A">
        <w:rPr>
          <w:sz w:val="16"/>
          <w:szCs w:val="16"/>
        </w:rPr>
        <w:footnoteRef/>
      </w:r>
      <w:r w:rsidRPr="0007515A">
        <w:rPr>
          <w:sz w:val="16"/>
          <w:szCs w:val="16"/>
        </w:rPr>
        <w:t xml:space="preserve"> Chicago Board Options Exchange, CBOE Volatility Index: VIX [VIXCLS], retrieved from FRED, Federal Reserve Bank of St. Louis; </w:t>
      </w:r>
      <w:hyperlink r:id="rId19" w:history="1">
        <w:r w:rsidRPr="0077461D">
          <w:rPr>
            <w:rStyle w:val="Hyperlink"/>
            <w:sz w:val="16"/>
            <w:szCs w:val="16"/>
          </w:rPr>
          <w:t>https://fred.stlouisfed.org/series/VIXCLS</w:t>
        </w:r>
      </w:hyperlink>
      <w:r w:rsidRPr="0007515A">
        <w:rPr>
          <w:sz w:val="16"/>
          <w:szCs w:val="16"/>
        </w:rPr>
        <w:t xml:space="preserve">, </w:t>
      </w:r>
      <w:r w:rsidR="0010260B">
        <w:rPr>
          <w:sz w:val="16"/>
          <w:szCs w:val="16"/>
        </w:rPr>
        <w:t xml:space="preserve">Feb </w:t>
      </w:r>
      <w:r w:rsidR="00B316F7">
        <w:rPr>
          <w:sz w:val="16"/>
          <w:szCs w:val="16"/>
        </w:rPr>
        <w:t>2</w:t>
      </w:r>
      <w:r w:rsidR="0010260B">
        <w:rPr>
          <w:sz w:val="16"/>
          <w:szCs w:val="16"/>
        </w:rPr>
        <w:t>, 2020</w:t>
      </w:r>
      <w:r w:rsidRPr="0007515A">
        <w:rPr>
          <w:sz w:val="16"/>
          <w:szCs w:val="16"/>
        </w:rPr>
        <w:t>.</w:t>
      </w:r>
    </w:p>
  </w:footnote>
  <w:footnote w:id="20">
    <w:p w14:paraId="1CF53D3A" w14:textId="62D3231C" w:rsidR="00BA05F4" w:rsidRPr="00BF5CE2" w:rsidRDefault="00BA05F4">
      <w:pPr>
        <w:pStyle w:val="FootnoteText"/>
        <w:rPr>
          <w:lang w:val="en-PH"/>
        </w:rPr>
      </w:pPr>
      <w:r w:rsidRPr="002B29C7">
        <w:rPr>
          <w:rStyle w:val="FootnoteReference"/>
          <w:sz w:val="16"/>
          <w:szCs w:val="16"/>
        </w:rPr>
        <w:footnoteRef/>
      </w:r>
      <w:r w:rsidRPr="002B29C7">
        <w:rPr>
          <w:sz w:val="16"/>
          <w:szCs w:val="16"/>
        </w:rPr>
        <w:t xml:space="preserve"> </w:t>
      </w:r>
      <w:r>
        <w:rPr>
          <w:sz w:val="16"/>
          <w:szCs w:val="16"/>
        </w:rPr>
        <w:t>Federal Reserve Bank of St. Louis</w:t>
      </w:r>
      <w:r w:rsidRPr="002B29C7">
        <w:rPr>
          <w:sz w:val="16"/>
          <w:szCs w:val="16"/>
          <w:lang w:val="en-PH"/>
        </w:rPr>
        <w:t xml:space="preserve">, </w:t>
      </w:r>
      <w:r>
        <w:rPr>
          <w:sz w:val="16"/>
          <w:szCs w:val="16"/>
          <w:lang w:val="en-PH"/>
        </w:rPr>
        <w:t>FOMC Summary of Economic Projections for the Growth Rate of Real Gross Domestic Product</w:t>
      </w:r>
      <w:r w:rsidRPr="002B29C7">
        <w:rPr>
          <w:sz w:val="16"/>
          <w:szCs w:val="16"/>
          <w:lang w:val="en-PH"/>
        </w:rPr>
        <w:t xml:space="preserve"> [</w:t>
      </w:r>
      <w:r>
        <w:rPr>
          <w:sz w:val="16"/>
          <w:szCs w:val="16"/>
          <w:lang w:val="en-PH"/>
        </w:rPr>
        <w:t>GDPC1CTM</w:t>
      </w:r>
      <w:r w:rsidRPr="002B29C7">
        <w:rPr>
          <w:sz w:val="16"/>
          <w:szCs w:val="16"/>
          <w:lang w:val="en-PH"/>
        </w:rPr>
        <w:t>],</w:t>
      </w:r>
      <w:r w:rsidRPr="002B29C7">
        <w:rPr>
          <w:rFonts w:cstheme="minorHAnsi"/>
          <w:i/>
          <w:iCs/>
          <w:color w:val="222222"/>
          <w:sz w:val="16"/>
          <w:szCs w:val="16"/>
          <w:shd w:val="clear" w:color="auto" w:fill="FFFFFF"/>
        </w:rPr>
        <w:t xml:space="preserve"> retrieved from FRED, Federal Reserve Bank of St. Louis; </w:t>
      </w:r>
      <w:hyperlink r:id="rId20" w:history="1">
        <w:r w:rsidRPr="00DF1D66">
          <w:rPr>
            <w:rStyle w:val="Hyperlink"/>
            <w:rFonts w:cstheme="minorHAnsi"/>
            <w:i/>
            <w:iCs/>
            <w:sz w:val="16"/>
            <w:szCs w:val="16"/>
            <w:shd w:val="clear" w:color="auto" w:fill="FFFFFF"/>
          </w:rPr>
          <w:t>https://fred.stlouisfed.org/series/GDPC1CTM</w:t>
        </w:r>
      </w:hyperlink>
      <w:r w:rsidRPr="002B29C7">
        <w:rPr>
          <w:rFonts w:cstheme="minorHAnsi"/>
          <w:i/>
          <w:iCs/>
          <w:color w:val="222222"/>
          <w:sz w:val="16"/>
          <w:szCs w:val="16"/>
          <w:shd w:val="clear" w:color="auto" w:fill="FFFFFF"/>
        </w:rPr>
        <w:t xml:space="preserve">, </w:t>
      </w:r>
      <w:r w:rsidR="000D646D">
        <w:rPr>
          <w:rFonts w:cstheme="minorHAnsi"/>
          <w:i/>
          <w:iCs/>
          <w:color w:val="222222"/>
          <w:sz w:val="16"/>
          <w:szCs w:val="16"/>
          <w:shd w:val="clear" w:color="auto" w:fill="FFFFFF"/>
        </w:rPr>
        <w:t xml:space="preserve">Feb </w:t>
      </w:r>
      <w:r w:rsidR="00B316F7">
        <w:rPr>
          <w:rFonts w:cstheme="minorHAnsi"/>
          <w:i/>
          <w:iCs/>
          <w:color w:val="222222"/>
          <w:sz w:val="16"/>
          <w:szCs w:val="16"/>
          <w:shd w:val="clear" w:color="auto" w:fill="FFFFFF"/>
        </w:rPr>
        <w:t>2</w:t>
      </w:r>
      <w:r w:rsidR="000D646D">
        <w:rPr>
          <w:rFonts w:cstheme="minorHAnsi"/>
          <w:i/>
          <w:iCs/>
          <w:color w:val="222222"/>
          <w:sz w:val="16"/>
          <w:szCs w:val="16"/>
          <w:shd w:val="clear" w:color="auto" w:fill="FFFFFF"/>
        </w:rPr>
        <w:t>, 2020</w:t>
      </w:r>
      <w:r w:rsidRPr="002B29C7">
        <w:rPr>
          <w:rFonts w:cstheme="minorHAnsi"/>
          <w:i/>
          <w:iCs/>
          <w:color w:val="222222"/>
          <w:sz w:val="16"/>
          <w:szCs w:val="16"/>
          <w:shd w:val="clear" w:color="auto" w:fill="FFFFFF"/>
        </w:rPr>
        <w:t>.</w:t>
      </w:r>
    </w:p>
  </w:footnote>
  <w:footnote w:id="21">
    <w:p w14:paraId="054982F6" w14:textId="0F89E5E9" w:rsidR="00BA05F4" w:rsidRPr="005D3CEF" w:rsidRDefault="00BA05F4">
      <w:pPr>
        <w:pStyle w:val="FootnoteText"/>
        <w:rPr>
          <w:sz w:val="16"/>
          <w:szCs w:val="16"/>
          <w:lang w:val="en-PH"/>
        </w:rPr>
      </w:pPr>
      <w:r w:rsidRPr="005D3CEF">
        <w:rPr>
          <w:rStyle w:val="FootnoteReference"/>
          <w:sz w:val="16"/>
          <w:szCs w:val="16"/>
        </w:rPr>
        <w:footnoteRef/>
      </w:r>
      <w:r w:rsidRPr="005D3CEF">
        <w:rPr>
          <w:sz w:val="16"/>
          <w:szCs w:val="16"/>
        </w:rPr>
        <w:t xml:space="preserve"> Federal Reserve Bank of St. Louis</w:t>
      </w:r>
      <w:r w:rsidRPr="005D3CEF">
        <w:rPr>
          <w:sz w:val="16"/>
          <w:szCs w:val="16"/>
          <w:lang w:val="en-PH"/>
        </w:rPr>
        <w:t xml:space="preserve">, FOMC Summary of Economic Projections for the </w:t>
      </w:r>
      <w:r>
        <w:rPr>
          <w:sz w:val="16"/>
          <w:szCs w:val="16"/>
          <w:lang w:val="en-PH"/>
        </w:rPr>
        <w:t xml:space="preserve">Personal Consumption Expenditures Inflation Rate, Central Tendency, Midpoint </w:t>
      </w:r>
      <w:r w:rsidRPr="005D3CEF">
        <w:rPr>
          <w:sz w:val="16"/>
          <w:szCs w:val="16"/>
          <w:lang w:val="en-PH"/>
        </w:rPr>
        <w:t>[</w:t>
      </w:r>
      <w:r>
        <w:rPr>
          <w:sz w:val="16"/>
          <w:szCs w:val="16"/>
          <w:lang w:val="en-PH"/>
        </w:rPr>
        <w:t>PCECTPICTM</w:t>
      </w:r>
      <w:r w:rsidRPr="005D3CEF">
        <w:rPr>
          <w:sz w:val="16"/>
          <w:szCs w:val="16"/>
          <w:lang w:val="en-PH"/>
        </w:rPr>
        <w:t>],</w:t>
      </w:r>
      <w:r w:rsidRPr="005D3CEF">
        <w:rPr>
          <w:rFonts w:cstheme="minorHAnsi"/>
          <w:i/>
          <w:iCs/>
          <w:color w:val="222222"/>
          <w:sz w:val="16"/>
          <w:szCs w:val="16"/>
          <w:shd w:val="clear" w:color="auto" w:fill="FFFFFF"/>
        </w:rPr>
        <w:t xml:space="preserve"> retrieved from FRED, Federal Reserve Bank of St. Louis; </w:t>
      </w:r>
      <w:hyperlink r:id="rId21" w:history="1">
        <w:r w:rsidRPr="00DF1D66">
          <w:rPr>
            <w:rStyle w:val="Hyperlink"/>
            <w:rFonts w:cstheme="minorHAnsi"/>
            <w:i/>
            <w:iCs/>
            <w:sz w:val="16"/>
            <w:szCs w:val="16"/>
            <w:shd w:val="clear" w:color="auto" w:fill="FFFFFF"/>
          </w:rPr>
          <w:t>https://fred.stlouisfed.org/series/PCECTPICTM</w:t>
        </w:r>
      </w:hyperlink>
      <w:r w:rsidRPr="005D3CEF">
        <w:rPr>
          <w:rFonts w:cstheme="minorHAnsi"/>
          <w:i/>
          <w:iCs/>
          <w:color w:val="222222"/>
          <w:sz w:val="16"/>
          <w:szCs w:val="16"/>
          <w:shd w:val="clear" w:color="auto" w:fill="FFFFFF"/>
        </w:rPr>
        <w:t xml:space="preserve">, </w:t>
      </w:r>
      <w:r w:rsidR="000D646D">
        <w:rPr>
          <w:rFonts w:cstheme="minorHAnsi"/>
          <w:i/>
          <w:iCs/>
          <w:color w:val="222222"/>
          <w:sz w:val="16"/>
          <w:szCs w:val="16"/>
          <w:shd w:val="clear" w:color="auto" w:fill="FFFFFF"/>
        </w:rPr>
        <w:t xml:space="preserve">Feb </w:t>
      </w:r>
      <w:r w:rsidR="00B316F7">
        <w:rPr>
          <w:rFonts w:cstheme="minorHAnsi"/>
          <w:i/>
          <w:iCs/>
          <w:color w:val="222222"/>
          <w:sz w:val="16"/>
          <w:szCs w:val="16"/>
          <w:shd w:val="clear" w:color="auto" w:fill="FFFFFF"/>
        </w:rPr>
        <w:t>2</w:t>
      </w:r>
      <w:r w:rsidR="000D646D">
        <w:rPr>
          <w:rFonts w:cstheme="minorHAnsi"/>
          <w:i/>
          <w:iCs/>
          <w:color w:val="222222"/>
          <w:sz w:val="16"/>
          <w:szCs w:val="16"/>
          <w:shd w:val="clear" w:color="auto" w:fill="FFFFFF"/>
        </w:rPr>
        <w:t>, 2020</w:t>
      </w:r>
      <w:r w:rsidRPr="005D3CEF">
        <w:rPr>
          <w:rFonts w:cstheme="minorHAnsi"/>
          <w:i/>
          <w:iCs/>
          <w:color w:val="222222"/>
          <w:sz w:val="16"/>
          <w:szCs w:val="16"/>
          <w:shd w:val="clear" w:color="auto" w:fill="FFFFFF"/>
        </w:rPr>
        <w:t>.</w:t>
      </w:r>
    </w:p>
  </w:footnote>
  <w:footnote w:id="22">
    <w:p w14:paraId="4A7DBD07" w14:textId="683354ED" w:rsidR="00BA05F4" w:rsidRPr="00E72196" w:rsidRDefault="00BA05F4">
      <w:pPr>
        <w:pStyle w:val="FootnoteText"/>
        <w:rPr>
          <w:lang w:val="en-PH"/>
        </w:rPr>
      </w:pPr>
      <w:r>
        <w:rPr>
          <w:rStyle w:val="FootnoteReference"/>
        </w:rPr>
        <w:footnoteRef/>
      </w:r>
      <w:r>
        <w:t xml:space="preserve"> </w:t>
      </w:r>
      <w:r w:rsidRPr="005D3CEF">
        <w:rPr>
          <w:sz w:val="16"/>
          <w:szCs w:val="16"/>
        </w:rPr>
        <w:t>Federal Reserve Bank of St. Louis</w:t>
      </w:r>
      <w:r w:rsidRPr="005D3CEF">
        <w:rPr>
          <w:sz w:val="16"/>
          <w:szCs w:val="16"/>
          <w:lang w:val="en-PH"/>
        </w:rPr>
        <w:t xml:space="preserve">, FOMC Summary of Economic Projections for the </w:t>
      </w:r>
      <w:r>
        <w:rPr>
          <w:sz w:val="16"/>
          <w:szCs w:val="16"/>
          <w:lang w:val="en-PH"/>
        </w:rPr>
        <w:t xml:space="preserve">Civilian Unemployment Rate, Central Tendency, Midpoint </w:t>
      </w:r>
      <w:r w:rsidRPr="005D3CEF">
        <w:rPr>
          <w:sz w:val="16"/>
          <w:szCs w:val="16"/>
          <w:lang w:val="en-PH"/>
        </w:rPr>
        <w:t>[</w:t>
      </w:r>
      <w:r>
        <w:rPr>
          <w:sz w:val="16"/>
          <w:szCs w:val="16"/>
          <w:lang w:val="en-PH"/>
        </w:rPr>
        <w:t>UNRATECTM</w:t>
      </w:r>
      <w:r w:rsidRPr="005D3CEF">
        <w:rPr>
          <w:sz w:val="16"/>
          <w:szCs w:val="16"/>
          <w:lang w:val="en-PH"/>
        </w:rPr>
        <w:t>],</w:t>
      </w:r>
      <w:r w:rsidRPr="005D3CEF">
        <w:rPr>
          <w:rFonts w:cstheme="minorHAnsi"/>
          <w:i/>
          <w:iCs/>
          <w:color w:val="222222"/>
          <w:sz w:val="16"/>
          <w:szCs w:val="16"/>
          <w:shd w:val="clear" w:color="auto" w:fill="FFFFFF"/>
        </w:rPr>
        <w:t xml:space="preserve"> retrieved from FRED, Federal Reserve Bank of St. Louis; </w:t>
      </w:r>
      <w:hyperlink r:id="rId22" w:history="1">
        <w:r w:rsidRPr="00DF1D66">
          <w:rPr>
            <w:rStyle w:val="Hyperlink"/>
            <w:rFonts w:cstheme="minorHAnsi"/>
            <w:i/>
            <w:iCs/>
            <w:sz w:val="16"/>
            <w:szCs w:val="16"/>
            <w:shd w:val="clear" w:color="auto" w:fill="FFFFFF"/>
          </w:rPr>
          <w:t>https://fred.stlouisfed.org/series/UNRATECTM</w:t>
        </w:r>
      </w:hyperlink>
      <w:r w:rsidRPr="005D3CEF">
        <w:rPr>
          <w:rFonts w:cstheme="minorHAnsi"/>
          <w:i/>
          <w:iCs/>
          <w:color w:val="222222"/>
          <w:sz w:val="16"/>
          <w:szCs w:val="16"/>
          <w:shd w:val="clear" w:color="auto" w:fill="FFFFFF"/>
        </w:rPr>
        <w:t xml:space="preserve">, </w:t>
      </w:r>
      <w:r w:rsidR="000D646D">
        <w:rPr>
          <w:rFonts w:cstheme="minorHAnsi"/>
          <w:i/>
          <w:iCs/>
          <w:color w:val="222222"/>
          <w:sz w:val="16"/>
          <w:szCs w:val="16"/>
          <w:shd w:val="clear" w:color="auto" w:fill="FFFFFF"/>
        </w:rPr>
        <w:t xml:space="preserve">Feb </w:t>
      </w:r>
      <w:r w:rsidR="00B316F7">
        <w:rPr>
          <w:rFonts w:cstheme="minorHAnsi"/>
          <w:i/>
          <w:iCs/>
          <w:color w:val="222222"/>
          <w:sz w:val="16"/>
          <w:szCs w:val="16"/>
          <w:shd w:val="clear" w:color="auto" w:fill="FFFFFF"/>
        </w:rPr>
        <w:t>2</w:t>
      </w:r>
      <w:r w:rsidR="000D646D">
        <w:rPr>
          <w:rFonts w:cstheme="minorHAnsi"/>
          <w:i/>
          <w:iCs/>
          <w:color w:val="222222"/>
          <w:sz w:val="16"/>
          <w:szCs w:val="16"/>
          <w:shd w:val="clear" w:color="auto" w:fill="FFFFFF"/>
        </w:rPr>
        <w:t>, 2020</w:t>
      </w:r>
      <w:r w:rsidRPr="005D3CEF">
        <w:rPr>
          <w:rFonts w:cstheme="minorHAnsi"/>
          <w:i/>
          <w:iCs/>
          <w:color w:val="222222"/>
          <w:sz w:val="16"/>
          <w:szCs w:val="16"/>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5FE7" w14:textId="77777777" w:rsidR="00BA05F4" w:rsidRPr="00460436" w:rsidRDefault="00BA05F4" w:rsidP="00460436">
    <w:pPr>
      <w:pStyle w:val="Header"/>
      <w:jc w:val="right"/>
      <w:rPr>
        <w:rStyle w:val="IntenseEmphasis"/>
      </w:rPr>
    </w:pPr>
    <w:r w:rsidRPr="00460436">
      <w:rPr>
        <w:rStyle w:val="IntenseEmphasis"/>
      </w:rPr>
      <w:t>Quarterly Economic Update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F2D28"/>
    <w:multiLevelType w:val="hybridMultilevel"/>
    <w:tmpl w:val="3CC4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54B19"/>
    <w:multiLevelType w:val="hybridMultilevel"/>
    <w:tmpl w:val="82C2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907BB"/>
    <w:multiLevelType w:val="hybridMultilevel"/>
    <w:tmpl w:val="A0F67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E6018"/>
    <w:multiLevelType w:val="hybridMultilevel"/>
    <w:tmpl w:val="62A6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11"/>
    <w:rsid w:val="0000055B"/>
    <w:rsid w:val="000017CB"/>
    <w:rsid w:val="00005111"/>
    <w:rsid w:val="00014CBA"/>
    <w:rsid w:val="00021EA4"/>
    <w:rsid w:val="00022BB4"/>
    <w:rsid w:val="000248D0"/>
    <w:rsid w:val="00024E64"/>
    <w:rsid w:val="0002602B"/>
    <w:rsid w:val="00027E1E"/>
    <w:rsid w:val="00030ECA"/>
    <w:rsid w:val="0003136B"/>
    <w:rsid w:val="000322F4"/>
    <w:rsid w:val="00033B75"/>
    <w:rsid w:val="00035810"/>
    <w:rsid w:val="0003611B"/>
    <w:rsid w:val="00046A04"/>
    <w:rsid w:val="00047034"/>
    <w:rsid w:val="00047E74"/>
    <w:rsid w:val="0005198D"/>
    <w:rsid w:val="00052F94"/>
    <w:rsid w:val="00053E46"/>
    <w:rsid w:val="0005726F"/>
    <w:rsid w:val="00057711"/>
    <w:rsid w:val="00060AA5"/>
    <w:rsid w:val="00061DAA"/>
    <w:rsid w:val="000644DB"/>
    <w:rsid w:val="000650B3"/>
    <w:rsid w:val="00065E14"/>
    <w:rsid w:val="00071875"/>
    <w:rsid w:val="00072C36"/>
    <w:rsid w:val="000738AD"/>
    <w:rsid w:val="00074123"/>
    <w:rsid w:val="000742F7"/>
    <w:rsid w:val="0007515A"/>
    <w:rsid w:val="00076850"/>
    <w:rsid w:val="000807FF"/>
    <w:rsid w:val="00084604"/>
    <w:rsid w:val="00084608"/>
    <w:rsid w:val="00084C45"/>
    <w:rsid w:val="000874E3"/>
    <w:rsid w:val="00090DA6"/>
    <w:rsid w:val="00093D9A"/>
    <w:rsid w:val="00093EF4"/>
    <w:rsid w:val="0009699C"/>
    <w:rsid w:val="000A0001"/>
    <w:rsid w:val="000A0FCA"/>
    <w:rsid w:val="000A1224"/>
    <w:rsid w:val="000A239B"/>
    <w:rsid w:val="000A3240"/>
    <w:rsid w:val="000A79DC"/>
    <w:rsid w:val="000B0583"/>
    <w:rsid w:val="000B0B86"/>
    <w:rsid w:val="000B42F9"/>
    <w:rsid w:val="000B4F85"/>
    <w:rsid w:val="000B5DA2"/>
    <w:rsid w:val="000B6EBB"/>
    <w:rsid w:val="000C1495"/>
    <w:rsid w:val="000C19DD"/>
    <w:rsid w:val="000C2E7D"/>
    <w:rsid w:val="000C6EEB"/>
    <w:rsid w:val="000C71C7"/>
    <w:rsid w:val="000D47AB"/>
    <w:rsid w:val="000D5719"/>
    <w:rsid w:val="000D646D"/>
    <w:rsid w:val="000D7BDC"/>
    <w:rsid w:val="000E1BAA"/>
    <w:rsid w:val="000E3192"/>
    <w:rsid w:val="000E6A61"/>
    <w:rsid w:val="000F1648"/>
    <w:rsid w:val="000F4AC6"/>
    <w:rsid w:val="000F59FF"/>
    <w:rsid w:val="001009B9"/>
    <w:rsid w:val="00100DF8"/>
    <w:rsid w:val="00102080"/>
    <w:rsid w:val="0010260B"/>
    <w:rsid w:val="00105413"/>
    <w:rsid w:val="00107AB4"/>
    <w:rsid w:val="001116CA"/>
    <w:rsid w:val="00113C90"/>
    <w:rsid w:val="001149CD"/>
    <w:rsid w:val="00115717"/>
    <w:rsid w:val="00116B91"/>
    <w:rsid w:val="00117BB0"/>
    <w:rsid w:val="00121E2F"/>
    <w:rsid w:val="00122842"/>
    <w:rsid w:val="001235D8"/>
    <w:rsid w:val="001277B9"/>
    <w:rsid w:val="00131885"/>
    <w:rsid w:val="00134A21"/>
    <w:rsid w:val="00140712"/>
    <w:rsid w:val="00140763"/>
    <w:rsid w:val="00140FEE"/>
    <w:rsid w:val="001451F8"/>
    <w:rsid w:val="001460CC"/>
    <w:rsid w:val="001475FF"/>
    <w:rsid w:val="001511FF"/>
    <w:rsid w:val="001545F2"/>
    <w:rsid w:val="00155E88"/>
    <w:rsid w:val="00156FE4"/>
    <w:rsid w:val="0016088B"/>
    <w:rsid w:val="00163F37"/>
    <w:rsid w:val="0016688A"/>
    <w:rsid w:val="00166C08"/>
    <w:rsid w:val="00166F90"/>
    <w:rsid w:val="00171C8E"/>
    <w:rsid w:val="00172307"/>
    <w:rsid w:val="001744C6"/>
    <w:rsid w:val="0017465F"/>
    <w:rsid w:val="00174B44"/>
    <w:rsid w:val="00174BCD"/>
    <w:rsid w:val="00174CC3"/>
    <w:rsid w:val="001756EC"/>
    <w:rsid w:val="0017576B"/>
    <w:rsid w:val="001773AA"/>
    <w:rsid w:val="0018096F"/>
    <w:rsid w:val="001819E6"/>
    <w:rsid w:val="00183B61"/>
    <w:rsid w:val="00186318"/>
    <w:rsid w:val="001868CB"/>
    <w:rsid w:val="00187669"/>
    <w:rsid w:val="00193436"/>
    <w:rsid w:val="00195B12"/>
    <w:rsid w:val="001A4F9E"/>
    <w:rsid w:val="001A6C86"/>
    <w:rsid w:val="001B1490"/>
    <w:rsid w:val="001B4B76"/>
    <w:rsid w:val="001C0F2A"/>
    <w:rsid w:val="001C1070"/>
    <w:rsid w:val="001C14A1"/>
    <w:rsid w:val="001C38B9"/>
    <w:rsid w:val="001C7617"/>
    <w:rsid w:val="001D7D8D"/>
    <w:rsid w:val="001E04F8"/>
    <w:rsid w:val="001E42A6"/>
    <w:rsid w:val="001E7445"/>
    <w:rsid w:val="001F4E3D"/>
    <w:rsid w:val="001F7970"/>
    <w:rsid w:val="0020145F"/>
    <w:rsid w:val="00204D9D"/>
    <w:rsid w:val="0021377C"/>
    <w:rsid w:val="00217AD5"/>
    <w:rsid w:val="002219B5"/>
    <w:rsid w:val="0022226D"/>
    <w:rsid w:val="002308A9"/>
    <w:rsid w:val="00230D29"/>
    <w:rsid w:val="00231FA3"/>
    <w:rsid w:val="00232336"/>
    <w:rsid w:val="002361FB"/>
    <w:rsid w:val="00236B68"/>
    <w:rsid w:val="00237901"/>
    <w:rsid w:val="002406D9"/>
    <w:rsid w:val="002435D7"/>
    <w:rsid w:val="00244C4D"/>
    <w:rsid w:val="002502D5"/>
    <w:rsid w:val="00250313"/>
    <w:rsid w:val="002516C6"/>
    <w:rsid w:val="002521FF"/>
    <w:rsid w:val="0025222E"/>
    <w:rsid w:val="00252A9B"/>
    <w:rsid w:val="00254176"/>
    <w:rsid w:val="00255530"/>
    <w:rsid w:val="00255C32"/>
    <w:rsid w:val="0025666D"/>
    <w:rsid w:val="002608F3"/>
    <w:rsid w:val="0026329B"/>
    <w:rsid w:val="00265131"/>
    <w:rsid w:val="0026599C"/>
    <w:rsid w:val="002731EF"/>
    <w:rsid w:val="002775DB"/>
    <w:rsid w:val="002817E1"/>
    <w:rsid w:val="0028237E"/>
    <w:rsid w:val="00285F67"/>
    <w:rsid w:val="00291763"/>
    <w:rsid w:val="00291FFB"/>
    <w:rsid w:val="00292B24"/>
    <w:rsid w:val="00296BEB"/>
    <w:rsid w:val="002972D2"/>
    <w:rsid w:val="002978F9"/>
    <w:rsid w:val="002A0B80"/>
    <w:rsid w:val="002A14C5"/>
    <w:rsid w:val="002A3CB2"/>
    <w:rsid w:val="002A45E8"/>
    <w:rsid w:val="002A764F"/>
    <w:rsid w:val="002B16D0"/>
    <w:rsid w:val="002B29C7"/>
    <w:rsid w:val="002B2BBA"/>
    <w:rsid w:val="002C240B"/>
    <w:rsid w:val="002C3C67"/>
    <w:rsid w:val="002C429F"/>
    <w:rsid w:val="002C5E52"/>
    <w:rsid w:val="002C601A"/>
    <w:rsid w:val="002C69A4"/>
    <w:rsid w:val="002D5CC3"/>
    <w:rsid w:val="002E0DC9"/>
    <w:rsid w:val="002E2644"/>
    <w:rsid w:val="002E3213"/>
    <w:rsid w:val="002E3647"/>
    <w:rsid w:val="002E4494"/>
    <w:rsid w:val="002E58CF"/>
    <w:rsid w:val="002E6FDE"/>
    <w:rsid w:val="002E7ACF"/>
    <w:rsid w:val="002F0CDA"/>
    <w:rsid w:val="002F1B2A"/>
    <w:rsid w:val="002F1B4B"/>
    <w:rsid w:val="002F1C7B"/>
    <w:rsid w:val="002F3682"/>
    <w:rsid w:val="002F3CE6"/>
    <w:rsid w:val="002F6282"/>
    <w:rsid w:val="002F63F8"/>
    <w:rsid w:val="003028B3"/>
    <w:rsid w:val="00304B4E"/>
    <w:rsid w:val="00307A87"/>
    <w:rsid w:val="0031179D"/>
    <w:rsid w:val="00311E77"/>
    <w:rsid w:val="00314985"/>
    <w:rsid w:val="00316CBD"/>
    <w:rsid w:val="00316E8F"/>
    <w:rsid w:val="00317448"/>
    <w:rsid w:val="003175DC"/>
    <w:rsid w:val="00321AA2"/>
    <w:rsid w:val="00322C58"/>
    <w:rsid w:val="0033052C"/>
    <w:rsid w:val="003316E9"/>
    <w:rsid w:val="00332197"/>
    <w:rsid w:val="00334DE4"/>
    <w:rsid w:val="00336F2C"/>
    <w:rsid w:val="003376CD"/>
    <w:rsid w:val="00337BD8"/>
    <w:rsid w:val="00340B8A"/>
    <w:rsid w:val="003414E7"/>
    <w:rsid w:val="003477B7"/>
    <w:rsid w:val="003479C3"/>
    <w:rsid w:val="00354195"/>
    <w:rsid w:val="00360100"/>
    <w:rsid w:val="00362202"/>
    <w:rsid w:val="00363E78"/>
    <w:rsid w:val="003643F8"/>
    <w:rsid w:val="00371414"/>
    <w:rsid w:val="00372F3C"/>
    <w:rsid w:val="003802E7"/>
    <w:rsid w:val="003812D0"/>
    <w:rsid w:val="0038144F"/>
    <w:rsid w:val="00386023"/>
    <w:rsid w:val="00387C82"/>
    <w:rsid w:val="00392D01"/>
    <w:rsid w:val="00393B78"/>
    <w:rsid w:val="00394236"/>
    <w:rsid w:val="00395B3E"/>
    <w:rsid w:val="00396E51"/>
    <w:rsid w:val="0039736B"/>
    <w:rsid w:val="00397F57"/>
    <w:rsid w:val="003A0447"/>
    <w:rsid w:val="003A3D8A"/>
    <w:rsid w:val="003A4BCC"/>
    <w:rsid w:val="003A679B"/>
    <w:rsid w:val="003B0615"/>
    <w:rsid w:val="003B0B22"/>
    <w:rsid w:val="003B2BFB"/>
    <w:rsid w:val="003B4D22"/>
    <w:rsid w:val="003C1F24"/>
    <w:rsid w:val="003D112A"/>
    <w:rsid w:val="003D3C51"/>
    <w:rsid w:val="003D4159"/>
    <w:rsid w:val="003E282E"/>
    <w:rsid w:val="003E3E2D"/>
    <w:rsid w:val="003E4ACB"/>
    <w:rsid w:val="003E5CFB"/>
    <w:rsid w:val="003F2FE7"/>
    <w:rsid w:val="003F5061"/>
    <w:rsid w:val="00401A65"/>
    <w:rsid w:val="0040211C"/>
    <w:rsid w:val="00403355"/>
    <w:rsid w:val="0040653A"/>
    <w:rsid w:val="0041138E"/>
    <w:rsid w:val="00411404"/>
    <w:rsid w:val="00411A4C"/>
    <w:rsid w:val="004134F4"/>
    <w:rsid w:val="00413EE3"/>
    <w:rsid w:val="00421F60"/>
    <w:rsid w:val="0042476E"/>
    <w:rsid w:val="00424E74"/>
    <w:rsid w:val="00427110"/>
    <w:rsid w:val="0043016A"/>
    <w:rsid w:val="00440FEB"/>
    <w:rsid w:val="00442163"/>
    <w:rsid w:val="00442BF6"/>
    <w:rsid w:val="00443A15"/>
    <w:rsid w:val="00446C08"/>
    <w:rsid w:val="004476DE"/>
    <w:rsid w:val="00447E7F"/>
    <w:rsid w:val="004506CC"/>
    <w:rsid w:val="0045095D"/>
    <w:rsid w:val="0045097E"/>
    <w:rsid w:val="004513EB"/>
    <w:rsid w:val="00451755"/>
    <w:rsid w:val="00453708"/>
    <w:rsid w:val="00454F4B"/>
    <w:rsid w:val="0045550A"/>
    <w:rsid w:val="00457E1D"/>
    <w:rsid w:val="00460436"/>
    <w:rsid w:val="00460DE2"/>
    <w:rsid w:val="00460E43"/>
    <w:rsid w:val="00463560"/>
    <w:rsid w:val="00466861"/>
    <w:rsid w:val="00467AB1"/>
    <w:rsid w:val="004709B0"/>
    <w:rsid w:val="004759DB"/>
    <w:rsid w:val="004778D8"/>
    <w:rsid w:val="00490AFD"/>
    <w:rsid w:val="00491B4B"/>
    <w:rsid w:val="00493CF1"/>
    <w:rsid w:val="004965CE"/>
    <w:rsid w:val="00496E13"/>
    <w:rsid w:val="004A0649"/>
    <w:rsid w:val="004A0ABB"/>
    <w:rsid w:val="004A4BD1"/>
    <w:rsid w:val="004B047B"/>
    <w:rsid w:val="004B2BFB"/>
    <w:rsid w:val="004B3923"/>
    <w:rsid w:val="004B3B5E"/>
    <w:rsid w:val="004B7D92"/>
    <w:rsid w:val="004C20AB"/>
    <w:rsid w:val="004C587A"/>
    <w:rsid w:val="004C6B76"/>
    <w:rsid w:val="004D0515"/>
    <w:rsid w:val="004D099A"/>
    <w:rsid w:val="004D1C9D"/>
    <w:rsid w:val="004D1DA4"/>
    <w:rsid w:val="004E2AB3"/>
    <w:rsid w:val="004E2C09"/>
    <w:rsid w:val="004E3393"/>
    <w:rsid w:val="004E4A45"/>
    <w:rsid w:val="004E4B6F"/>
    <w:rsid w:val="004E5EC0"/>
    <w:rsid w:val="004E7265"/>
    <w:rsid w:val="004F1527"/>
    <w:rsid w:val="004F330B"/>
    <w:rsid w:val="004F3ADA"/>
    <w:rsid w:val="004F55C9"/>
    <w:rsid w:val="004F67A9"/>
    <w:rsid w:val="004F73C7"/>
    <w:rsid w:val="00504F45"/>
    <w:rsid w:val="005117CA"/>
    <w:rsid w:val="005127D3"/>
    <w:rsid w:val="00515DB3"/>
    <w:rsid w:val="00515E9D"/>
    <w:rsid w:val="005200CA"/>
    <w:rsid w:val="0052077C"/>
    <w:rsid w:val="00525C1B"/>
    <w:rsid w:val="005261C1"/>
    <w:rsid w:val="00532A06"/>
    <w:rsid w:val="00536754"/>
    <w:rsid w:val="00536B00"/>
    <w:rsid w:val="005378C5"/>
    <w:rsid w:val="005425D7"/>
    <w:rsid w:val="00542F5A"/>
    <w:rsid w:val="005475F2"/>
    <w:rsid w:val="00551864"/>
    <w:rsid w:val="00554121"/>
    <w:rsid w:val="005554F5"/>
    <w:rsid w:val="00556EAD"/>
    <w:rsid w:val="00557239"/>
    <w:rsid w:val="00562B39"/>
    <w:rsid w:val="0056320C"/>
    <w:rsid w:val="005662B5"/>
    <w:rsid w:val="00570005"/>
    <w:rsid w:val="00570346"/>
    <w:rsid w:val="00571BD4"/>
    <w:rsid w:val="00575923"/>
    <w:rsid w:val="00576484"/>
    <w:rsid w:val="00576E9B"/>
    <w:rsid w:val="005779B7"/>
    <w:rsid w:val="00577C8E"/>
    <w:rsid w:val="005807C6"/>
    <w:rsid w:val="00580F92"/>
    <w:rsid w:val="005828F0"/>
    <w:rsid w:val="00583BEE"/>
    <w:rsid w:val="00587C5A"/>
    <w:rsid w:val="00590322"/>
    <w:rsid w:val="005917C1"/>
    <w:rsid w:val="00594B4A"/>
    <w:rsid w:val="005954B1"/>
    <w:rsid w:val="005A693F"/>
    <w:rsid w:val="005B1168"/>
    <w:rsid w:val="005B1ACA"/>
    <w:rsid w:val="005B40E5"/>
    <w:rsid w:val="005C021F"/>
    <w:rsid w:val="005C0A6E"/>
    <w:rsid w:val="005C0D2D"/>
    <w:rsid w:val="005C2215"/>
    <w:rsid w:val="005C493F"/>
    <w:rsid w:val="005C532B"/>
    <w:rsid w:val="005C6CD5"/>
    <w:rsid w:val="005D06C9"/>
    <w:rsid w:val="005D1E0A"/>
    <w:rsid w:val="005D3CEF"/>
    <w:rsid w:val="005D43B8"/>
    <w:rsid w:val="005D5553"/>
    <w:rsid w:val="005E19C2"/>
    <w:rsid w:val="005E306A"/>
    <w:rsid w:val="005E3622"/>
    <w:rsid w:val="005E56AE"/>
    <w:rsid w:val="005E67EF"/>
    <w:rsid w:val="005E797B"/>
    <w:rsid w:val="005E7A94"/>
    <w:rsid w:val="005F07E9"/>
    <w:rsid w:val="005F1D7F"/>
    <w:rsid w:val="006055F4"/>
    <w:rsid w:val="006068F7"/>
    <w:rsid w:val="0061080D"/>
    <w:rsid w:val="00610894"/>
    <w:rsid w:val="0061200D"/>
    <w:rsid w:val="006130EE"/>
    <w:rsid w:val="00615B70"/>
    <w:rsid w:val="006167DB"/>
    <w:rsid w:val="00621173"/>
    <w:rsid w:val="0062162D"/>
    <w:rsid w:val="00623672"/>
    <w:rsid w:val="00624AEF"/>
    <w:rsid w:val="0062659E"/>
    <w:rsid w:val="00626DAC"/>
    <w:rsid w:val="00627C19"/>
    <w:rsid w:val="00627DE7"/>
    <w:rsid w:val="00631555"/>
    <w:rsid w:val="006342D9"/>
    <w:rsid w:val="00634787"/>
    <w:rsid w:val="00640C9C"/>
    <w:rsid w:val="00640DD5"/>
    <w:rsid w:val="00643797"/>
    <w:rsid w:val="006439EA"/>
    <w:rsid w:val="00643FBF"/>
    <w:rsid w:val="006451FA"/>
    <w:rsid w:val="0064538F"/>
    <w:rsid w:val="00650430"/>
    <w:rsid w:val="00650582"/>
    <w:rsid w:val="00651AC2"/>
    <w:rsid w:val="00654B02"/>
    <w:rsid w:val="006553D1"/>
    <w:rsid w:val="006575D2"/>
    <w:rsid w:val="00657642"/>
    <w:rsid w:val="00660A13"/>
    <w:rsid w:val="006646E8"/>
    <w:rsid w:val="00670FB1"/>
    <w:rsid w:val="0067215A"/>
    <w:rsid w:val="006748EE"/>
    <w:rsid w:val="00675F26"/>
    <w:rsid w:val="00682B7E"/>
    <w:rsid w:val="00690C93"/>
    <w:rsid w:val="00691D14"/>
    <w:rsid w:val="00694624"/>
    <w:rsid w:val="00695441"/>
    <w:rsid w:val="00695980"/>
    <w:rsid w:val="006970E9"/>
    <w:rsid w:val="006A0819"/>
    <w:rsid w:val="006A114D"/>
    <w:rsid w:val="006A6BFF"/>
    <w:rsid w:val="006B394A"/>
    <w:rsid w:val="006C28D8"/>
    <w:rsid w:val="006C7116"/>
    <w:rsid w:val="006D2660"/>
    <w:rsid w:val="006D4E8F"/>
    <w:rsid w:val="006D518C"/>
    <w:rsid w:val="006D579F"/>
    <w:rsid w:val="006E0830"/>
    <w:rsid w:val="006E4B4F"/>
    <w:rsid w:val="006E608A"/>
    <w:rsid w:val="006E69A7"/>
    <w:rsid w:val="006F060A"/>
    <w:rsid w:val="006F4DB7"/>
    <w:rsid w:val="006F6733"/>
    <w:rsid w:val="006F7FB2"/>
    <w:rsid w:val="00700166"/>
    <w:rsid w:val="00701D95"/>
    <w:rsid w:val="00703D80"/>
    <w:rsid w:val="007062B8"/>
    <w:rsid w:val="007102D3"/>
    <w:rsid w:val="007110AF"/>
    <w:rsid w:val="0072697B"/>
    <w:rsid w:val="00730C3D"/>
    <w:rsid w:val="007329E1"/>
    <w:rsid w:val="0073598E"/>
    <w:rsid w:val="007361CC"/>
    <w:rsid w:val="00740863"/>
    <w:rsid w:val="00741DA8"/>
    <w:rsid w:val="00742E84"/>
    <w:rsid w:val="00743683"/>
    <w:rsid w:val="0075479C"/>
    <w:rsid w:val="00756248"/>
    <w:rsid w:val="00756A49"/>
    <w:rsid w:val="007602B9"/>
    <w:rsid w:val="00761D36"/>
    <w:rsid w:val="0076272C"/>
    <w:rsid w:val="007635CE"/>
    <w:rsid w:val="0076678E"/>
    <w:rsid w:val="0076717F"/>
    <w:rsid w:val="0077027E"/>
    <w:rsid w:val="00770759"/>
    <w:rsid w:val="007736DF"/>
    <w:rsid w:val="00773AC4"/>
    <w:rsid w:val="00773B5B"/>
    <w:rsid w:val="007807DE"/>
    <w:rsid w:val="00782F5F"/>
    <w:rsid w:val="0078488C"/>
    <w:rsid w:val="00791F5C"/>
    <w:rsid w:val="007929DB"/>
    <w:rsid w:val="00792E5D"/>
    <w:rsid w:val="00795569"/>
    <w:rsid w:val="0079609A"/>
    <w:rsid w:val="007A0574"/>
    <w:rsid w:val="007A0E93"/>
    <w:rsid w:val="007A5255"/>
    <w:rsid w:val="007A770A"/>
    <w:rsid w:val="007B0C0E"/>
    <w:rsid w:val="007B178B"/>
    <w:rsid w:val="007B3A9E"/>
    <w:rsid w:val="007B5780"/>
    <w:rsid w:val="007B7D73"/>
    <w:rsid w:val="007C1E79"/>
    <w:rsid w:val="007C4944"/>
    <w:rsid w:val="007C54CB"/>
    <w:rsid w:val="007D4FF9"/>
    <w:rsid w:val="007E3ED3"/>
    <w:rsid w:val="007E5B14"/>
    <w:rsid w:val="007E76B7"/>
    <w:rsid w:val="007F04AE"/>
    <w:rsid w:val="007F1968"/>
    <w:rsid w:val="007F34A5"/>
    <w:rsid w:val="007F590E"/>
    <w:rsid w:val="007F5A38"/>
    <w:rsid w:val="007F5D12"/>
    <w:rsid w:val="007F67C3"/>
    <w:rsid w:val="0080028D"/>
    <w:rsid w:val="0080052B"/>
    <w:rsid w:val="00805C12"/>
    <w:rsid w:val="0080666E"/>
    <w:rsid w:val="00811606"/>
    <w:rsid w:val="00811FA7"/>
    <w:rsid w:val="008129B2"/>
    <w:rsid w:val="008162B7"/>
    <w:rsid w:val="00816313"/>
    <w:rsid w:val="00816C0F"/>
    <w:rsid w:val="00822897"/>
    <w:rsid w:val="00823A4E"/>
    <w:rsid w:val="00823E2B"/>
    <w:rsid w:val="00826AE7"/>
    <w:rsid w:val="008339F4"/>
    <w:rsid w:val="00833A07"/>
    <w:rsid w:val="00835434"/>
    <w:rsid w:val="00836176"/>
    <w:rsid w:val="00837DF2"/>
    <w:rsid w:val="0084463F"/>
    <w:rsid w:val="0084528D"/>
    <w:rsid w:val="00850A64"/>
    <w:rsid w:val="00855A46"/>
    <w:rsid w:val="008564EA"/>
    <w:rsid w:val="00857079"/>
    <w:rsid w:val="00860631"/>
    <w:rsid w:val="008636F9"/>
    <w:rsid w:val="00865CE8"/>
    <w:rsid w:val="008664EB"/>
    <w:rsid w:val="00870469"/>
    <w:rsid w:val="00873466"/>
    <w:rsid w:val="00874DE9"/>
    <w:rsid w:val="00875F25"/>
    <w:rsid w:val="0087715C"/>
    <w:rsid w:val="00877D3C"/>
    <w:rsid w:val="00882E60"/>
    <w:rsid w:val="008845A9"/>
    <w:rsid w:val="008860FC"/>
    <w:rsid w:val="00886D3A"/>
    <w:rsid w:val="008874C1"/>
    <w:rsid w:val="00890513"/>
    <w:rsid w:val="0089070C"/>
    <w:rsid w:val="00890B68"/>
    <w:rsid w:val="0089260E"/>
    <w:rsid w:val="00892D49"/>
    <w:rsid w:val="008932A3"/>
    <w:rsid w:val="00893CB8"/>
    <w:rsid w:val="00894FB2"/>
    <w:rsid w:val="00895BD8"/>
    <w:rsid w:val="0089655B"/>
    <w:rsid w:val="008972D1"/>
    <w:rsid w:val="00897BC8"/>
    <w:rsid w:val="008A0838"/>
    <w:rsid w:val="008A13E7"/>
    <w:rsid w:val="008A3F35"/>
    <w:rsid w:val="008A581A"/>
    <w:rsid w:val="008A5F7F"/>
    <w:rsid w:val="008A63E2"/>
    <w:rsid w:val="008A6630"/>
    <w:rsid w:val="008A6DB9"/>
    <w:rsid w:val="008A7D83"/>
    <w:rsid w:val="008B1963"/>
    <w:rsid w:val="008B20D0"/>
    <w:rsid w:val="008B24F2"/>
    <w:rsid w:val="008B37F0"/>
    <w:rsid w:val="008B3E4E"/>
    <w:rsid w:val="008B4702"/>
    <w:rsid w:val="008B65B4"/>
    <w:rsid w:val="008C1C56"/>
    <w:rsid w:val="008C5503"/>
    <w:rsid w:val="008C5726"/>
    <w:rsid w:val="008D1C86"/>
    <w:rsid w:val="008E270A"/>
    <w:rsid w:val="008E72E3"/>
    <w:rsid w:val="008F4B7D"/>
    <w:rsid w:val="008F4B82"/>
    <w:rsid w:val="009130AF"/>
    <w:rsid w:val="00913825"/>
    <w:rsid w:val="009141C1"/>
    <w:rsid w:val="009148CA"/>
    <w:rsid w:val="00914EA8"/>
    <w:rsid w:val="0091664E"/>
    <w:rsid w:val="009170B7"/>
    <w:rsid w:val="00920236"/>
    <w:rsid w:val="009219D9"/>
    <w:rsid w:val="0092472D"/>
    <w:rsid w:val="00925F58"/>
    <w:rsid w:val="009262AA"/>
    <w:rsid w:val="00926438"/>
    <w:rsid w:val="009323CA"/>
    <w:rsid w:val="00932DD8"/>
    <w:rsid w:val="00933213"/>
    <w:rsid w:val="00933E80"/>
    <w:rsid w:val="009343D3"/>
    <w:rsid w:val="00937D2C"/>
    <w:rsid w:val="009411C1"/>
    <w:rsid w:val="00942366"/>
    <w:rsid w:val="00943329"/>
    <w:rsid w:val="00943ED3"/>
    <w:rsid w:val="009445E7"/>
    <w:rsid w:val="0094654A"/>
    <w:rsid w:val="0094736B"/>
    <w:rsid w:val="0095004D"/>
    <w:rsid w:val="009515AA"/>
    <w:rsid w:val="00951DAA"/>
    <w:rsid w:val="009524D9"/>
    <w:rsid w:val="00953DDB"/>
    <w:rsid w:val="00960B49"/>
    <w:rsid w:val="009648C3"/>
    <w:rsid w:val="00964DD4"/>
    <w:rsid w:val="009669F1"/>
    <w:rsid w:val="0096732C"/>
    <w:rsid w:val="009675A9"/>
    <w:rsid w:val="009714E6"/>
    <w:rsid w:val="00971553"/>
    <w:rsid w:val="009717A1"/>
    <w:rsid w:val="009774D1"/>
    <w:rsid w:val="00977737"/>
    <w:rsid w:val="00981C70"/>
    <w:rsid w:val="00982B60"/>
    <w:rsid w:val="009878F0"/>
    <w:rsid w:val="00987FB6"/>
    <w:rsid w:val="00992467"/>
    <w:rsid w:val="009972A2"/>
    <w:rsid w:val="0099783F"/>
    <w:rsid w:val="009A0B29"/>
    <w:rsid w:val="009A106A"/>
    <w:rsid w:val="009A13D9"/>
    <w:rsid w:val="009A1711"/>
    <w:rsid w:val="009A181B"/>
    <w:rsid w:val="009B1B6B"/>
    <w:rsid w:val="009B2A0E"/>
    <w:rsid w:val="009B5606"/>
    <w:rsid w:val="009B603A"/>
    <w:rsid w:val="009B7956"/>
    <w:rsid w:val="009C0945"/>
    <w:rsid w:val="009C0F33"/>
    <w:rsid w:val="009C1E6B"/>
    <w:rsid w:val="009C4651"/>
    <w:rsid w:val="009C5CDE"/>
    <w:rsid w:val="009C74AB"/>
    <w:rsid w:val="009D26B5"/>
    <w:rsid w:val="009D5A7B"/>
    <w:rsid w:val="009E013E"/>
    <w:rsid w:val="009E4D8D"/>
    <w:rsid w:val="009E6453"/>
    <w:rsid w:val="009F1C9C"/>
    <w:rsid w:val="009F272A"/>
    <w:rsid w:val="009F3181"/>
    <w:rsid w:val="009F6EB6"/>
    <w:rsid w:val="009F790B"/>
    <w:rsid w:val="00A04AD3"/>
    <w:rsid w:val="00A073CB"/>
    <w:rsid w:val="00A07D5A"/>
    <w:rsid w:val="00A11CAC"/>
    <w:rsid w:val="00A223EC"/>
    <w:rsid w:val="00A2684A"/>
    <w:rsid w:val="00A27EB6"/>
    <w:rsid w:val="00A325AB"/>
    <w:rsid w:val="00A41316"/>
    <w:rsid w:val="00A45F59"/>
    <w:rsid w:val="00A5218C"/>
    <w:rsid w:val="00A52469"/>
    <w:rsid w:val="00A52E02"/>
    <w:rsid w:val="00A57EA4"/>
    <w:rsid w:val="00A60213"/>
    <w:rsid w:val="00A61C0E"/>
    <w:rsid w:val="00A645D8"/>
    <w:rsid w:val="00A72343"/>
    <w:rsid w:val="00A730DC"/>
    <w:rsid w:val="00A75687"/>
    <w:rsid w:val="00A76F02"/>
    <w:rsid w:val="00A77399"/>
    <w:rsid w:val="00A77981"/>
    <w:rsid w:val="00A82B9E"/>
    <w:rsid w:val="00A841DE"/>
    <w:rsid w:val="00A8559D"/>
    <w:rsid w:val="00A931A3"/>
    <w:rsid w:val="00A9408A"/>
    <w:rsid w:val="00A96795"/>
    <w:rsid w:val="00A96A6A"/>
    <w:rsid w:val="00A96E27"/>
    <w:rsid w:val="00AA1DAF"/>
    <w:rsid w:val="00AA2E90"/>
    <w:rsid w:val="00AA37BC"/>
    <w:rsid w:val="00AA651C"/>
    <w:rsid w:val="00AA7A1B"/>
    <w:rsid w:val="00AB498D"/>
    <w:rsid w:val="00AB4C96"/>
    <w:rsid w:val="00AB5122"/>
    <w:rsid w:val="00AB6E43"/>
    <w:rsid w:val="00AB6F46"/>
    <w:rsid w:val="00AB7603"/>
    <w:rsid w:val="00AC45F1"/>
    <w:rsid w:val="00AC6BB2"/>
    <w:rsid w:val="00AD0524"/>
    <w:rsid w:val="00AE306C"/>
    <w:rsid w:val="00AE3402"/>
    <w:rsid w:val="00AE3668"/>
    <w:rsid w:val="00AE64EF"/>
    <w:rsid w:val="00AE7215"/>
    <w:rsid w:val="00AF2763"/>
    <w:rsid w:val="00AF2BA7"/>
    <w:rsid w:val="00AF6040"/>
    <w:rsid w:val="00AF653C"/>
    <w:rsid w:val="00AF7938"/>
    <w:rsid w:val="00B0030B"/>
    <w:rsid w:val="00B00681"/>
    <w:rsid w:val="00B00A5E"/>
    <w:rsid w:val="00B00E83"/>
    <w:rsid w:val="00B0395F"/>
    <w:rsid w:val="00B064A0"/>
    <w:rsid w:val="00B071DB"/>
    <w:rsid w:val="00B1388C"/>
    <w:rsid w:val="00B13FE9"/>
    <w:rsid w:val="00B162CD"/>
    <w:rsid w:val="00B23279"/>
    <w:rsid w:val="00B2585A"/>
    <w:rsid w:val="00B25898"/>
    <w:rsid w:val="00B25B77"/>
    <w:rsid w:val="00B31011"/>
    <w:rsid w:val="00B316F7"/>
    <w:rsid w:val="00B370B2"/>
    <w:rsid w:val="00B401C1"/>
    <w:rsid w:val="00B40456"/>
    <w:rsid w:val="00B40AF8"/>
    <w:rsid w:val="00B426C6"/>
    <w:rsid w:val="00B44219"/>
    <w:rsid w:val="00B45F40"/>
    <w:rsid w:val="00B53037"/>
    <w:rsid w:val="00B5315D"/>
    <w:rsid w:val="00B60178"/>
    <w:rsid w:val="00B60EC4"/>
    <w:rsid w:val="00B650A2"/>
    <w:rsid w:val="00B66CC0"/>
    <w:rsid w:val="00B7053E"/>
    <w:rsid w:val="00B71FC4"/>
    <w:rsid w:val="00B767AE"/>
    <w:rsid w:val="00B76D6D"/>
    <w:rsid w:val="00B80D2B"/>
    <w:rsid w:val="00B82B8B"/>
    <w:rsid w:val="00B84330"/>
    <w:rsid w:val="00B875CA"/>
    <w:rsid w:val="00B87F2A"/>
    <w:rsid w:val="00B94E68"/>
    <w:rsid w:val="00B97C78"/>
    <w:rsid w:val="00BA05F4"/>
    <w:rsid w:val="00BA13A5"/>
    <w:rsid w:val="00BA5F96"/>
    <w:rsid w:val="00BA7A2C"/>
    <w:rsid w:val="00BB096A"/>
    <w:rsid w:val="00BB142E"/>
    <w:rsid w:val="00BB24FD"/>
    <w:rsid w:val="00BB34CA"/>
    <w:rsid w:val="00BB3B00"/>
    <w:rsid w:val="00BB3B04"/>
    <w:rsid w:val="00BB5FF4"/>
    <w:rsid w:val="00BC00A7"/>
    <w:rsid w:val="00BC4BE2"/>
    <w:rsid w:val="00BC6211"/>
    <w:rsid w:val="00BD0BA8"/>
    <w:rsid w:val="00BD1AF4"/>
    <w:rsid w:val="00BD32FB"/>
    <w:rsid w:val="00BD3693"/>
    <w:rsid w:val="00BD7CA7"/>
    <w:rsid w:val="00BE3AB7"/>
    <w:rsid w:val="00BE41AA"/>
    <w:rsid w:val="00BE4FA9"/>
    <w:rsid w:val="00BE7F85"/>
    <w:rsid w:val="00BF33EF"/>
    <w:rsid w:val="00BF363C"/>
    <w:rsid w:val="00BF5CE2"/>
    <w:rsid w:val="00C01B26"/>
    <w:rsid w:val="00C01B39"/>
    <w:rsid w:val="00C01ECD"/>
    <w:rsid w:val="00C02783"/>
    <w:rsid w:val="00C04D0B"/>
    <w:rsid w:val="00C05052"/>
    <w:rsid w:val="00C07579"/>
    <w:rsid w:val="00C12EFE"/>
    <w:rsid w:val="00C14310"/>
    <w:rsid w:val="00C1528C"/>
    <w:rsid w:val="00C17C3A"/>
    <w:rsid w:val="00C228CA"/>
    <w:rsid w:val="00C22EE7"/>
    <w:rsid w:val="00C253A1"/>
    <w:rsid w:val="00C27776"/>
    <w:rsid w:val="00C27961"/>
    <w:rsid w:val="00C27E06"/>
    <w:rsid w:val="00C35B2B"/>
    <w:rsid w:val="00C36857"/>
    <w:rsid w:val="00C40E95"/>
    <w:rsid w:val="00C41006"/>
    <w:rsid w:val="00C45B53"/>
    <w:rsid w:val="00C4790A"/>
    <w:rsid w:val="00C47DFF"/>
    <w:rsid w:val="00C50538"/>
    <w:rsid w:val="00C56AE3"/>
    <w:rsid w:val="00C66CC9"/>
    <w:rsid w:val="00C70F5B"/>
    <w:rsid w:val="00C737DC"/>
    <w:rsid w:val="00C742C8"/>
    <w:rsid w:val="00C828B0"/>
    <w:rsid w:val="00C83561"/>
    <w:rsid w:val="00C84709"/>
    <w:rsid w:val="00C879D3"/>
    <w:rsid w:val="00C90043"/>
    <w:rsid w:val="00C90C6F"/>
    <w:rsid w:val="00C91D90"/>
    <w:rsid w:val="00C91F35"/>
    <w:rsid w:val="00C9379B"/>
    <w:rsid w:val="00C937ED"/>
    <w:rsid w:val="00C94CE9"/>
    <w:rsid w:val="00CA07E7"/>
    <w:rsid w:val="00CA112C"/>
    <w:rsid w:val="00CA2DA3"/>
    <w:rsid w:val="00CA2F0C"/>
    <w:rsid w:val="00CA4851"/>
    <w:rsid w:val="00CA74AC"/>
    <w:rsid w:val="00CB0612"/>
    <w:rsid w:val="00CB10F1"/>
    <w:rsid w:val="00CB1375"/>
    <w:rsid w:val="00CB2772"/>
    <w:rsid w:val="00CB60B6"/>
    <w:rsid w:val="00CB629F"/>
    <w:rsid w:val="00CB6A6E"/>
    <w:rsid w:val="00CB6EF4"/>
    <w:rsid w:val="00CC118C"/>
    <w:rsid w:val="00CC1A11"/>
    <w:rsid w:val="00CC1BC1"/>
    <w:rsid w:val="00CC6B03"/>
    <w:rsid w:val="00CD0AEC"/>
    <w:rsid w:val="00CD10EB"/>
    <w:rsid w:val="00CD1E76"/>
    <w:rsid w:val="00CD2441"/>
    <w:rsid w:val="00CD3C44"/>
    <w:rsid w:val="00CD3F6E"/>
    <w:rsid w:val="00CD4B81"/>
    <w:rsid w:val="00CD643D"/>
    <w:rsid w:val="00CE2A21"/>
    <w:rsid w:val="00CE3F54"/>
    <w:rsid w:val="00CE3F8F"/>
    <w:rsid w:val="00CE4A3E"/>
    <w:rsid w:val="00CE6CB2"/>
    <w:rsid w:val="00CF06AE"/>
    <w:rsid w:val="00CF10AF"/>
    <w:rsid w:val="00CF4274"/>
    <w:rsid w:val="00CF5A27"/>
    <w:rsid w:val="00CF5CE8"/>
    <w:rsid w:val="00D01E9D"/>
    <w:rsid w:val="00D02679"/>
    <w:rsid w:val="00D0278F"/>
    <w:rsid w:val="00D038EC"/>
    <w:rsid w:val="00D03F0F"/>
    <w:rsid w:val="00D20BA9"/>
    <w:rsid w:val="00D22BFC"/>
    <w:rsid w:val="00D24C85"/>
    <w:rsid w:val="00D325EC"/>
    <w:rsid w:val="00D3650D"/>
    <w:rsid w:val="00D36CBD"/>
    <w:rsid w:val="00D377A4"/>
    <w:rsid w:val="00D42A9D"/>
    <w:rsid w:val="00D44971"/>
    <w:rsid w:val="00D501BC"/>
    <w:rsid w:val="00D54945"/>
    <w:rsid w:val="00D55969"/>
    <w:rsid w:val="00D5786C"/>
    <w:rsid w:val="00D57C94"/>
    <w:rsid w:val="00D57F60"/>
    <w:rsid w:val="00D6175A"/>
    <w:rsid w:val="00D644B7"/>
    <w:rsid w:val="00D647F2"/>
    <w:rsid w:val="00D651FB"/>
    <w:rsid w:val="00D67485"/>
    <w:rsid w:val="00D7058E"/>
    <w:rsid w:val="00D70F48"/>
    <w:rsid w:val="00D74F6D"/>
    <w:rsid w:val="00D75AA6"/>
    <w:rsid w:val="00D76538"/>
    <w:rsid w:val="00D76D32"/>
    <w:rsid w:val="00D80300"/>
    <w:rsid w:val="00D848EE"/>
    <w:rsid w:val="00D851AB"/>
    <w:rsid w:val="00D92313"/>
    <w:rsid w:val="00D928C8"/>
    <w:rsid w:val="00D93550"/>
    <w:rsid w:val="00D9587F"/>
    <w:rsid w:val="00DA23B0"/>
    <w:rsid w:val="00DA394E"/>
    <w:rsid w:val="00DA5A96"/>
    <w:rsid w:val="00DB663A"/>
    <w:rsid w:val="00DC072B"/>
    <w:rsid w:val="00DC1920"/>
    <w:rsid w:val="00DC79F9"/>
    <w:rsid w:val="00DD1D52"/>
    <w:rsid w:val="00DD257B"/>
    <w:rsid w:val="00DE2554"/>
    <w:rsid w:val="00DE61F3"/>
    <w:rsid w:val="00DE7623"/>
    <w:rsid w:val="00DF482B"/>
    <w:rsid w:val="00DF67C7"/>
    <w:rsid w:val="00E13679"/>
    <w:rsid w:val="00E14E12"/>
    <w:rsid w:val="00E171BC"/>
    <w:rsid w:val="00E2212C"/>
    <w:rsid w:val="00E2306A"/>
    <w:rsid w:val="00E24F81"/>
    <w:rsid w:val="00E2557A"/>
    <w:rsid w:val="00E2559D"/>
    <w:rsid w:val="00E27261"/>
    <w:rsid w:val="00E274D8"/>
    <w:rsid w:val="00E36C66"/>
    <w:rsid w:val="00E37A8F"/>
    <w:rsid w:val="00E4247E"/>
    <w:rsid w:val="00E42B68"/>
    <w:rsid w:val="00E43703"/>
    <w:rsid w:val="00E43FA8"/>
    <w:rsid w:val="00E44639"/>
    <w:rsid w:val="00E46AEC"/>
    <w:rsid w:val="00E46CEA"/>
    <w:rsid w:val="00E47A9A"/>
    <w:rsid w:val="00E50993"/>
    <w:rsid w:val="00E516F3"/>
    <w:rsid w:val="00E528F7"/>
    <w:rsid w:val="00E55684"/>
    <w:rsid w:val="00E602D0"/>
    <w:rsid w:val="00E603C8"/>
    <w:rsid w:val="00E64EB9"/>
    <w:rsid w:val="00E64F4D"/>
    <w:rsid w:val="00E6613F"/>
    <w:rsid w:val="00E6770F"/>
    <w:rsid w:val="00E71440"/>
    <w:rsid w:val="00E72196"/>
    <w:rsid w:val="00E72615"/>
    <w:rsid w:val="00E742C0"/>
    <w:rsid w:val="00E753C8"/>
    <w:rsid w:val="00E75858"/>
    <w:rsid w:val="00E75ECD"/>
    <w:rsid w:val="00E76F05"/>
    <w:rsid w:val="00E86A90"/>
    <w:rsid w:val="00E9112A"/>
    <w:rsid w:val="00E94C91"/>
    <w:rsid w:val="00E976A2"/>
    <w:rsid w:val="00E97CBF"/>
    <w:rsid w:val="00EA58FE"/>
    <w:rsid w:val="00EA6897"/>
    <w:rsid w:val="00EA6EF0"/>
    <w:rsid w:val="00EB0855"/>
    <w:rsid w:val="00EB3490"/>
    <w:rsid w:val="00EB4F0F"/>
    <w:rsid w:val="00EC41C3"/>
    <w:rsid w:val="00EC7DBC"/>
    <w:rsid w:val="00EC7F7D"/>
    <w:rsid w:val="00ED2780"/>
    <w:rsid w:val="00ED3258"/>
    <w:rsid w:val="00ED3491"/>
    <w:rsid w:val="00ED6446"/>
    <w:rsid w:val="00ED688E"/>
    <w:rsid w:val="00EE18B8"/>
    <w:rsid w:val="00EE2870"/>
    <w:rsid w:val="00EE48CC"/>
    <w:rsid w:val="00EE617F"/>
    <w:rsid w:val="00EF008E"/>
    <w:rsid w:val="00EF1834"/>
    <w:rsid w:val="00EF1A73"/>
    <w:rsid w:val="00EF589B"/>
    <w:rsid w:val="00EF66C8"/>
    <w:rsid w:val="00EF6CF6"/>
    <w:rsid w:val="00F02B3A"/>
    <w:rsid w:val="00F03716"/>
    <w:rsid w:val="00F048C4"/>
    <w:rsid w:val="00F11B2B"/>
    <w:rsid w:val="00F14BBD"/>
    <w:rsid w:val="00F205E9"/>
    <w:rsid w:val="00F20F1B"/>
    <w:rsid w:val="00F24605"/>
    <w:rsid w:val="00F253B2"/>
    <w:rsid w:val="00F25470"/>
    <w:rsid w:val="00F27237"/>
    <w:rsid w:val="00F2792C"/>
    <w:rsid w:val="00F27E28"/>
    <w:rsid w:val="00F307A2"/>
    <w:rsid w:val="00F3248D"/>
    <w:rsid w:val="00F32C8E"/>
    <w:rsid w:val="00F333DD"/>
    <w:rsid w:val="00F34226"/>
    <w:rsid w:val="00F3628D"/>
    <w:rsid w:val="00F404DF"/>
    <w:rsid w:val="00F417FC"/>
    <w:rsid w:val="00F424B0"/>
    <w:rsid w:val="00F43F3B"/>
    <w:rsid w:val="00F44A8F"/>
    <w:rsid w:val="00F546BC"/>
    <w:rsid w:val="00F60507"/>
    <w:rsid w:val="00F60736"/>
    <w:rsid w:val="00F63839"/>
    <w:rsid w:val="00F6459B"/>
    <w:rsid w:val="00F66FF2"/>
    <w:rsid w:val="00F67FB8"/>
    <w:rsid w:val="00F7139A"/>
    <w:rsid w:val="00F71D53"/>
    <w:rsid w:val="00F72052"/>
    <w:rsid w:val="00F74174"/>
    <w:rsid w:val="00F75079"/>
    <w:rsid w:val="00F76A99"/>
    <w:rsid w:val="00F77FAF"/>
    <w:rsid w:val="00F80395"/>
    <w:rsid w:val="00F81F49"/>
    <w:rsid w:val="00F8456D"/>
    <w:rsid w:val="00F8763E"/>
    <w:rsid w:val="00F90D02"/>
    <w:rsid w:val="00F92FD1"/>
    <w:rsid w:val="00F93467"/>
    <w:rsid w:val="00F94484"/>
    <w:rsid w:val="00F96716"/>
    <w:rsid w:val="00F97AF0"/>
    <w:rsid w:val="00F97E01"/>
    <w:rsid w:val="00FA283E"/>
    <w:rsid w:val="00FB02AC"/>
    <w:rsid w:val="00FB0F9F"/>
    <w:rsid w:val="00FB4C93"/>
    <w:rsid w:val="00FB7EF9"/>
    <w:rsid w:val="00FC013E"/>
    <w:rsid w:val="00FC2844"/>
    <w:rsid w:val="00FC293A"/>
    <w:rsid w:val="00FC3BE2"/>
    <w:rsid w:val="00FD0160"/>
    <w:rsid w:val="00FD23DE"/>
    <w:rsid w:val="00FD2C77"/>
    <w:rsid w:val="00FD3700"/>
    <w:rsid w:val="00FD4516"/>
    <w:rsid w:val="00FD4C3E"/>
    <w:rsid w:val="00FD6E1A"/>
    <w:rsid w:val="00FE0A5A"/>
    <w:rsid w:val="00FE184D"/>
    <w:rsid w:val="00FE3845"/>
    <w:rsid w:val="00FE4D42"/>
    <w:rsid w:val="00FE5113"/>
    <w:rsid w:val="00FE5B60"/>
    <w:rsid w:val="00FE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D5EEE"/>
  <w15:docId w15:val="{84CB119D-E443-4BDB-8B83-9CC2562C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1C1"/>
    <w:rPr>
      <w:sz w:val="24"/>
    </w:rPr>
  </w:style>
  <w:style w:type="paragraph" w:styleId="Heading1">
    <w:name w:val="heading 1"/>
    <w:basedOn w:val="Normal"/>
    <w:next w:val="Normal"/>
    <w:link w:val="Heading1Char"/>
    <w:uiPriority w:val="9"/>
    <w:qFormat/>
    <w:rsid w:val="005261C1"/>
    <w:pPr>
      <w:keepNext/>
      <w:keepLines/>
      <w:spacing w:before="240" w:after="0"/>
      <w:outlineLvl w:val="0"/>
    </w:pPr>
    <w:rPr>
      <w:rFonts w:asciiTheme="majorHAnsi" w:eastAsiaTheme="majorEastAsia" w:hAnsiTheme="majorHAnsi" w:cstheme="majorBidi"/>
      <w:color w:val="008FD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5111"/>
    <w:pPr>
      <w:spacing w:after="0" w:line="240" w:lineRule="auto"/>
    </w:pPr>
    <w:rPr>
      <w:rFonts w:eastAsiaTheme="minorEastAsia"/>
    </w:rPr>
  </w:style>
  <w:style w:type="character" w:customStyle="1" w:styleId="NoSpacingChar">
    <w:name w:val="No Spacing Char"/>
    <w:basedOn w:val="DefaultParagraphFont"/>
    <w:link w:val="NoSpacing"/>
    <w:uiPriority w:val="1"/>
    <w:rsid w:val="00005111"/>
    <w:rPr>
      <w:rFonts w:eastAsiaTheme="minorEastAsia"/>
    </w:rPr>
  </w:style>
  <w:style w:type="character" w:customStyle="1" w:styleId="Heading1Char">
    <w:name w:val="Heading 1 Char"/>
    <w:basedOn w:val="DefaultParagraphFont"/>
    <w:link w:val="Heading1"/>
    <w:uiPriority w:val="9"/>
    <w:rsid w:val="005261C1"/>
    <w:rPr>
      <w:rFonts w:asciiTheme="majorHAnsi" w:eastAsiaTheme="majorEastAsia" w:hAnsiTheme="majorHAnsi" w:cstheme="majorBidi"/>
      <w:color w:val="008FD5"/>
      <w:sz w:val="36"/>
      <w:szCs w:val="32"/>
    </w:rPr>
  </w:style>
  <w:style w:type="paragraph" w:styleId="ListParagraph">
    <w:name w:val="List Paragraph"/>
    <w:basedOn w:val="Normal"/>
    <w:uiPriority w:val="34"/>
    <w:qFormat/>
    <w:rsid w:val="00005111"/>
    <w:pPr>
      <w:ind w:left="720"/>
      <w:contextualSpacing/>
    </w:pPr>
  </w:style>
  <w:style w:type="paragraph" w:styleId="Header">
    <w:name w:val="header"/>
    <w:basedOn w:val="Normal"/>
    <w:link w:val="HeaderChar"/>
    <w:uiPriority w:val="99"/>
    <w:unhideWhenUsed/>
    <w:rsid w:val="00171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C8E"/>
    <w:rPr>
      <w:sz w:val="24"/>
    </w:rPr>
  </w:style>
  <w:style w:type="paragraph" w:styleId="Footer">
    <w:name w:val="footer"/>
    <w:basedOn w:val="Normal"/>
    <w:link w:val="FooterChar"/>
    <w:uiPriority w:val="99"/>
    <w:unhideWhenUsed/>
    <w:rsid w:val="00171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C8E"/>
    <w:rPr>
      <w:sz w:val="24"/>
    </w:rPr>
  </w:style>
  <w:style w:type="character" w:styleId="IntenseEmphasis">
    <w:name w:val="Intense Emphasis"/>
    <w:basedOn w:val="DefaultParagraphFont"/>
    <w:uiPriority w:val="21"/>
    <w:qFormat/>
    <w:rsid w:val="00460436"/>
    <w:rPr>
      <w:i/>
      <w:iCs/>
      <w:color w:val="008FD5"/>
    </w:rPr>
  </w:style>
  <w:style w:type="character" w:styleId="Hyperlink">
    <w:name w:val="Hyperlink"/>
    <w:basedOn w:val="DefaultParagraphFont"/>
    <w:uiPriority w:val="99"/>
    <w:unhideWhenUsed/>
    <w:rsid w:val="00230D29"/>
    <w:rPr>
      <w:color w:val="0563C1" w:themeColor="hyperlink"/>
      <w:u w:val="single"/>
    </w:rPr>
  </w:style>
  <w:style w:type="paragraph" w:styleId="FootnoteText">
    <w:name w:val="footnote text"/>
    <w:basedOn w:val="Normal"/>
    <w:link w:val="FootnoteTextChar"/>
    <w:uiPriority w:val="99"/>
    <w:semiHidden/>
    <w:unhideWhenUsed/>
    <w:rsid w:val="00D64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B7"/>
    <w:rPr>
      <w:sz w:val="20"/>
      <w:szCs w:val="20"/>
    </w:rPr>
  </w:style>
  <w:style w:type="character" w:styleId="FootnoteReference">
    <w:name w:val="footnote reference"/>
    <w:basedOn w:val="DefaultParagraphFont"/>
    <w:uiPriority w:val="99"/>
    <w:semiHidden/>
    <w:unhideWhenUsed/>
    <w:rsid w:val="00D644B7"/>
    <w:rPr>
      <w:vertAlign w:val="superscript"/>
    </w:rPr>
  </w:style>
  <w:style w:type="paragraph" w:styleId="BalloonText">
    <w:name w:val="Balloon Text"/>
    <w:basedOn w:val="Normal"/>
    <w:link w:val="BalloonTextChar"/>
    <w:uiPriority w:val="99"/>
    <w:semiHidden/>
    <w:unhideWhenUsed/>
    <w:rsid w:val="00341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E7"/>
    <w:rPr>
      <w:rFonts w:ascii="Segoe UI" w:hAnsi="Segoe UI" w:cs="Segoe UI"/>
      <w:sz w:val="18"/>
      <w:szCs w:val="18"/>
    </w:rPr>
  </w:style>
  <w:style w:type="character" w:styleId="UnresolvedMention">
    <w:name w:val="Unresolved Mention"/>
    <w:basedOn w:val="DefaultParagraphFont"/>
    <w:uiPriority w:val="99"/>
    <w:semiHidden/>
    <w:unhideWhenUsed/>
    <w:rsid w:val="00E602D0"/>
    <w:rPr>
      <w:color w:val="605E5C"/>
      <w:shd w:val="clear" w:color="auto" w:fill="E1DFDD"/>
    </w:rPr>
  </w:style>
  <w:style w:type="character" w:styleId="CommentReference">
    <w:name w:val="annotation reference"/>
    <w:basedOn w:val="DefaultParagraphFont"/>
    <w:uiPriority w:val="99"/>
    <w:semiHidden/>
    <w:unhideWhenUsed/>
    <w:rsid w:val="004709B0"/>
    <w:rPr>
      <w:sz w:val="16"/>
      <w:szCs w:val="16"/>
    </w:rPr>
  </w:style>
  <w:style w:type="paragraph" w:styleId="CommentText">
    <w:name w:val="annotation text"/>
    <w:basedOn w:val="Normal"/>
    <w:link w:val="CommentTextChar"/>
    <w:uiPriority w:val="99"/>
    <w:semiHidden/>
    <w:unhideWhenUsed/>
    <w:rsid w:val="004709B0"/>
    <w:pPr>
      <w:spacing w:line="240" w:lineRule="auto"/>
    </w:pPr>
    <w:rPr>
      <w:sz w:val="20"/>
      <w:szCs w:val="20"/>
    </w:rPr>
  </w:style>
  <w:style w:type="character" w:customStyle="1" w:styleId="CommentTextChar">
    <w:name w:val="Comment Text Char"/>
    <w:basedOn w:val="DefaultParagraphFont"/>
    <w:link w:val="CommentText"/>
    <w:uiPriority w:val="99"/>
    <w:semiHidden/>
    <w:rsid w:val="004709B0"/>
    <w:rPr>
      <w:sz w:val="20"/>
      <w:szCs w:val="20"/>
    </w:rPr>
  </w:style>
  <w:style w:type="paragraph" w:styleId="CommentSubject">
    <w:name w:val="annotation subject"/>
    <w:basedOn w:val="CommentText"/>
    <w:next w:val="CommentText"/>
    <w:link w:val="CommentSubjectChar"/>
    <w:uiPriority w:val="99"/>
    <w:semiHidden/>
    <w:unhideWhenUsed/>
    <w:rsid w:val="004709B0"/>
    <w:rPr>
      <w:b/>
      <w:bCs/>
    </w:rPr>
  </w:style>
  <w:style w:type="character" w:customStyle="1" w:styleId="CommentSubjectChar">
    <w:name w:val="Comment Subject Char"/>
    <w:basedOn w:val="CommentTextChar"/>
    <w:link w:val="CommentSubject"/>
    <w:uiPriority w:val="99"/>
    <w:semiHidden/>
    <w:rsid w:val="004709B0"/>
    <w:rPr>
      <w:b/>
      <w:bCs/>
      <w:sz w:val="20"/>
      <w:szCs w:val="20"/>
    </w:rPr>
  </w:style>
  <w:style w:type="paragraph" w:styleId="Revision">
    <w:name w:val="Revision"/>
    <w:hidden/>
    <w:uiPriority w:val="99"/>
    <w:semiHidden/>
    <w:rsid w:val="00773B5B"/>
    <w:pPr>
      <w:spacing w:after="0" w:line="240" w:lineRule="auto"/>
    </w:pPr>
    <w:rPr>
      <w:sz w:val="24"/>
    </w:rPr>
  </w:style>
  <w:style w:type="paragraph" w:styleId="EndnoteText">
    <w:name w:val="endnote text"/>
    <w:basedOn w:val="Normal"/>
    <w:link w:val="EndnoteTextChar"/>
    <w:uiPriority w:val="99"/>
    <w:semiHidden/>
    <w:unhideWhenUsed/>
    <w:rsid w:val="00BC62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6211"/>
    <w:rPr>
      <w:sz w:val="20"/>
      <w:szCs w:val="20"/>
    </w:rPr>
  </w:style>
  <w:style w:type="character" w:styleId="EndnoteReference">
    <w:name w:val="endnote reference"/>
    <w:basedOn w:val="DefaultParagraphFont"/>
    <w:uiPriority w:val="99"/>
    <w:semiHidden/>
    <w:unhideWhenUsed/>
    <w:rsid w:val="00BC6211"/>
    <w:rPr>
      <w:vertAlign w:val="superscript"/>
    </w:rPr>
  </w:style>
  <w:style w:type="character" w:styleId="FollowedHyperlink">
    <w:name w:val="FollowedHyperlink"/>
    <w:basedOn w:val="DefaultParagraphFont"/>
    <w:uiPriority w:val="99"/>
    <w:semiHidden/>
    <w:unhideWhenUsed/>
    <w:rsid w:val="00CE6C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830">
      <w:bodyDiv w:val="1"/>
      <w:marLeft w:val="0"/>
      <w:marRight w:val="0"/>
      <w:marTop w:val="0"/>
      <w:marBottom w:val="0"/>
      <w:divBdr>
        <w:top w:val="none" w:sz="0" w:space="0" w:color="auto"/>
        <w:left w:val="none" w:sz="0" w:space="0" w:color="auto"/>
        <w:bottom w:val="none" w:sz="0" w:space="0" w:color="auto"/>
        <w:right w:val="none" w:sz="0" w:space="0" w:color="auto"/>
      </w:divBdr>
    </w:div>
    <w:div w:id="137456972">
      <w:bodyDiv w:val="1"/>
      <w:marLeft w:val="0"/>
      <w:marRight w:val="0"/>
      <w:marTop w:val="0"/>
      <w:marBottom w:val="0"/>
      <w:divBdr>
        <w:top w:val="none" w:sz="0" w:space="0" w:color="auto"/>
        <w:left w:val="none" w:sz="0" w:space="0" w:color="auto"/>
        <w:bottom w:val="none" w:sz="0" w:space="0" w:color="auto"/>
        <w:right w:val="none" w:sz="0" w:space="0" w:color="auto"/>
      </w:divBdr>
    </w:div>
    <w:div w:id="154414549">
      <w:bodyDiv w:val="1"/>
      <w:marLeft w:val="0"/>
      <w:marRight w:val="0"/>
      <w:marTop w:val="0"/>
      <w:marBottom w:val="0"/>
      <w:divBdr>
        <w:top w:val="none" w:sz="0" w:space="0" w:color="auto"/>
        <w:left w:val="none" w:sz="0" w:space="0" w:color="auto"/>
        <w:bottom w:val="none" w:sz="0" w:space="0" w:color="auto"/>
        <w:right w:val="none" w:sz="0" w:space="0" w:color="auto"/>
      </w:divBdr>
    </w:div>
    <w:div w:id="220026142">
      <w:bodyDiv w:val="1"/>
      <w:marLeft w:val="0"/>
      <w:marRight w:val="0"/>
      <w:marTop w:val="0"/>
      <w:marBottom w:val="0"/>
      <w:divBdr>
        <w:top w:val="none" w:sz="0" w:space="0" w:color="auto"/>
        <w:left w:val="none" w:sz="0" w:space="0" w:color="auto"/>
        <w:bottom w:val="none" w:sz="0" w:space="0" w:color="auto"/>
        <w:right w:val="none" w:sz="0" w:space="0" w:color="auto"/>
      </w:divBdr>
    </w:div>
    <w:div w:id="360976092">
      <w:bodyDiv w:val="1"/>
      <w:marLeft w:val="0"/>
      <w:marRight w:val="0"/>
      <w:marTop w:val="0"/>
      <w:marBottom w:val="0"/>
      <w:divBdr>
        <w:top w:val="none" w:sz="0" w:space="0" w:color="auto"/>
        <w:left w:val="none" w:sz="0" w:space="0" w:color="auto"/>
        <w:bottom w:val="none" w:sz="0" w:space="0" w:color="auto"/>
        <w:right w:val="none" w:sz="0" w:space="0" w:color="auto"/>
      </w:divBdr>
    </w:div>
    <w:div w:id="416874909">
      <w:bodyDiv w:val="1"/>
      <w:marLeft w:val="0"/>
      <w:marRight w:val="0"/>
      <w:marTop w:val="0"/>
      <w:marBottom w:val="0"/>
      <w:divBdr>
        <w:top w:val="none" w:sz="0" w:space="0" w:color="auto"/>
        <w:left w:val="none" w:sz="0" w:space="0" w:color="auto"/>
        <w:bottom w:val="none" w:sz="0" w:space="0" w:color="auto"/>
        <w:right w:val="none" w:sz="0" w:space="0" w:color="auto"/>
      </w:divBdr>
    </w:div>
    <w:div w:id="438374378">
      <w:bodyDiv w:val="1"/>
      <w:marLeft w:val="0"/>
      <w:marRight w:val="0"/>
      <w:marTop w:val="0"/>
      <w:marBottom w:val="0"/>
      <w:divBdr>
        <w:top w:val="none" w:sz="0" w:space="0" w:color="auto"/>
        <w:left w:val="none" w:sz="0" w:space="0" w:color="auto"/>
        <w:bottom w:val="none" w:sz="0" w:space="0" w:color="auto"/>
        <w:right w:val="none" w:sz="0" w:space="0" w:color="auto"/>
      </w:divBdr>
    </w:div>
    <w:div w:id="443580113">
      <w:bodyDiv w:val="1"/>
      <w:marLeft w:val="0"/>
      <w:marRight w:val="0"/>
      <w:marTop w:val="0"/>
      <w:marBottom w:val="0"/>
      <w:divBdr>
        <w:top w:val="none" w:sz="0" w:space="0" w:color="auto"/>
        <w:left w:val="none" w:sz="0" w:space="0" w:color="auto"/>
        <w:bottom w:val="none" w:sz="0" w:space="0" w:color="auto"/>
        <w:right w:val="none" w:sz="0" w:space="0" w:color="auto"/>
      </w:divBdr>
    </w:div>
    <w:div w:id="456947011">
      <w:bodyDiv w:val="1"/>
      <w:marLeft w:val="0"/>
      <w:marRight w:val="0"/>
      <w:marTop w:val="0"/>
      <w:marBottom w:val="0"/>
      <w:divBdr>
        <w:top w:val="none" w:sz="0" w:space="0" w:color="auto"/>
        <w:left w:val="none" w:sz="0" w:space="0" w:color="auto"/>
        <w:bottom w:val="none" w:sz="0" w:space="0" w:color="auto"/>
        <w:right w:val="none" w:sz="0" w:space="0" w:color="auto"/>
      </w:divBdr>
    </w:div>
    <w:div w:id="546181748">
      <w:bodyDiv w:val="1"/>
      <w:marLeft w:val="0"/>
      <w:marRight w:val="0"/>
      <w:marTop w:val="0"/>
      <w:marBottom w:val="0"/>
      <w:divBdr>
        <w:top w:val="none" w:sz="0" w:space="0" w:color="auto"/>
        <w:left w:val="none" w:sz="0" w:space="0" w:color="auto"/>
        <w:bottom w:val="none" w:sz="0" w:space="0" w:color="auto"/>
        <w:right w:val="none" w:sz="0" w:space="0" w:color="auto"/>
      </w:divBdr>
    </w:div>
    <w:div w:id="548538255">
      <w:bodyDiv w:val="1"/>
      <w:marLeft w:val="0"/>
      <w:marRight w:val="0"/>
      <w:marTop w:val="0"/>
      <w:marBottom w:val="0"/>
      <w:divBdr>
        <w:top w:val="none" w:sz="0" w:space="0" w:color="auto"/>
        <w:left w:val="none" w:sz="0" w:space="0" w:color="auto"/>
        <w:bottom w:val="none" w:sz="0" w:space="0" w:color="auto"/>
        <w:right w:val="none" w:sz="0" w:space="0" w:color="auto"/>
      </w:divBdr>
    </w:div>
    <w:div w:id="675880962">
      <w:bodyDiv w:val="1"/>
      <w:marLeft w:val="0"/>
      <w:marRight w:val="0"/>
      <w:marTop w:val="0"/>
      <w:marBottom w:val="0"/>
      <w:divBdr>
        <w:top w:val="none" w:sz="0" w:space="0" w:color="auto"/>
        <w:left w:val="none" w:sz="0" w:space="0" w:color="auto"/>
        <w:bottom w:val="none" w:sz="0" w:space="0" w:color="auto"/>
        <w:right w:val="none" w:sz="0" w:space="0" w:color="auto"/>
      </w:divBdr>
    </w:div>
    <w:div w:id="696203426">
      <w:bodyDiv w:val="1"/>
      <w:marLeft w:val="0"/>
      <w:marRight w:val="0"/>
      <w:marTop w:val="0"/>
      <w:marBottom w:val="0"/>
      <w:divBdr>
        <w:top w:val="none" w:sz="0" w:space="0" w:color="auto"/>
        <w:left w:val="none" w:sz="0" w:space="0" w:color="auto"/>
        <w:bottom w:val="none" w:sz="0" w:space="0" w:color="auto"/>
        <w:right w:val="none" w:sz="0" w:space="0" w:color="auto"/>
      </w:divBdr>
    </w:div>
    <w:div w:id="773093842">
      <w:bodyDiv w:val="1"/>
      <w:marLeft w:val="0"/>
      <w:marRight w:val="0"/>
      <w:marTop w:val="0"/>
      <w:marBottom w:val="0"/>
      <w:divBdr>
        <w:top w:val="none" w:sz="0" w:space="0" w:color="auto"/>
        <w:left w:val="none" w:sz="0" w:space="0" w:color="auto"/>
        <w:bottom w:val="none" w:sz="0" w:space="0" w:color="auto"/>
        <w:right w:val="none" w:sz="0" w:space="0" w:color="auto"/>
      </w:divBdr>
    </w:div>
    <w:div w:id="843252920">
      <w:bodyDiv w:val="1"/>
      <w:marLeft w:val="0"/>
      <w:marRight w:val="0"/>
      <w:marTop w:val="0"/>
      <w:marBottom w:val="0"/>
      <w:divBdr>
        <w:top w:val="none" w:sz="0" w:space="0" w:color="auto"/>
        <w:left w:val="none" w:sz="0" w:space="0" w:color="auto"/>
        <w:bottom w:val="none" w:sz="0" w:space="0" w:color="auto"/>
        <w:right w:val="none" w:sz="0" w:space="0" w:color="auto"/>
      </w:divBdr>
    </w:div>
    <w:div w:id="895630664">
      <w:bodyDiv w:val="1"/>
      <w:marLeft w:val="0"/>
      <w:marRight w:val="0"/>
      <w:marTop w:val="0"/>
      <w:marBottom w:val="0"/>
      <w:divBdr>
        <w:top w:val="none" w:sz="0" w:space="0" w:color="auto"/>
        <w:left w:val="none" w:sz="0" w:space="0" w:color="auto"/>
        <w:bottom w:val="none" w:sz="0" w:space="0" w:color="auto"/>
        <w:right w:val="none" w:sz="0" w:space="0" w:color="auto"/>
      </w:divBdr>
    </w:div>
    <w:div w:id="898134511">
      <w:bodyDiv w:val="1"/>
      <w:marLeft w:val="0"/>
      <w:marRight w:val="0"/>
      <w:marTop w:val="0"/>
      <w:marBottom w:val="0"/>
      <w:divBdr>
        <w:top w:val="none" w:sz="0" w:space="0" w:color="auto"/>
        <w:left w:val="none" w:sz="0" w:space="0" w:color="auto"/>
        <w:bottom w:val="none" w:sz="0" w:space="0" w:color="auto"/>
        <w:right w:val="none" w:sz="0" w:space="0" w:color="auto"/>
      </w:divBdr>
    </w:div>
    <w:div w:id="977370349">
      <w:bodyDiv w:val="1"/>
      <w:marLeft w:val="0"/>
      <w:marRight w:val="0"/>
      <w:marTop w:val="0"/>
      <w:marBottom w:val="0"/>
      <w:divBdr>
        <w:top w:val="none" w:sz="0" w:space="0" w:color="auto"/>
        <w:left w:val="none" w:sz="0" w:space="0" w:color="auto"/>
        <w:bottom w:val="none" w:sz="0" w:space="0" w:color="auto"/>
        <w:right w:val="none" w:sz="0" w:space="0" w:color="auto"/>
      </w:divBdr>
    </w:div>
    <w:div w:id="992954216">
      <w:bodyDiv w:val="1"/>
      <w:marLeft w:val="0"/>
      <w:marRight w:val="0"/>
      <w:marTop w:val="0"/>
      <w:marBottom w:val="0"/>
      <w:divBdr>
        <w:top w:val="none" w:sz="0" w:space="0" w:color="auto"/>
        <w:left w:val="none" w:sz="0" w:space="0" w:color="auto"/>
        <w:bottom w:val="none" w:sz="0" w:space="0" w:color="auto"/>
        <w:right w:val="none" w:sz="0" w:space="0" w:color="auto"/>
      </w:divBdr>
    </w:div>
    <w:div w:id="1004865342">
      <w:bodyDiv w:val="1"/>
      <w:marLeft w:val="0"/>
      <w:marRight w:val="0"/>
      <w:marTop w:val="0"/>
      <w:marBottom w:val="0"/>
      <w:divBdr>
        <w:top w:val="none" w:sz="0" w:space="0" w:color="auto"/>
        <w:left w:val="none" w:sz="0" w:space="0" w:color="auto"/>
        <w:bottom w:val="none" w:sz="0" w:space="0" w:color="auto"/>
        <w:right w:val="none" w:sz="0" w:space="0" w:color="auto"/>
      </w:divBdr>
    </w:div>
    <w:div w:id="1053382858">
      <w:bodyDiv w:val="1"/>
      <w:marLeft w:val="0"/>
      <w:marRight w:val="0"/>
      <w:marTop w:val="0"/>
      <w:marBottom w:val="0"/>
      <w:divBdr>
        <w:top w:val="none" w:sz="0" w:space="0" w:color="auto"/>
        <w:left w:val="none" w:sz="0" w:space="0" w:color="auto"/>
        <w:bottom w:val="none" w:sz="0" w:space="0" w:color="auto"/>
        <w:right w:val="none" w:sz="0" w:space="0" w:color="auto"/>
      </w:divBdr>
    </w:div>
    <w:div w:id="1102990296">
      <w:bodyDiv w:val="1"/>
      <w:marLeft w:val="0"/>
      <w:marRight w:val="0"/>
      <w:marTop w:val="0"/>
      <w:marBottom w:val="0"/>
      <w:divBdr>
        <w:top w:val="none" w:sz="0" w:space="0" w:color="auto"/>
        <w:left w:val="none" w:sz="0" w:space="0" w:color="auto"/>
        <w:bottom w:val="none" w:sz="0" w:space="0" w:color="auto"/>
        <w:right w:val="none" w:sz="0" w:space="0" w:color="auto"/>
      </w:divBdr>
    </w:div>
    <w:div w:id="1105227601">
      <w:bodyDiv w:val="1"/>
      <w:marLeft w:val="0"/>
      <w:marRight w:val="0"/>
      <w:marTop w:val="0"/>
      <w:marBottom w:val="0"/>
      <w:divBdr>
        <w:top w:val="none" w:sz="0" w:space="0" w:color="auto"/>
        <w:left w:val="none" w:sz="0" w:space="0" w:color="auto"/>
        <w:bottom w:val="none" w:sz="0" w:space="0" w:color="auto"/>
        <w:right w:val="none" w:sz="0" w:space="0" w:color="auto"/>
      </w:divBdr>
    </w:div>
    <w:div w:id="1144080784">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206716471">
      <w:bodyDiv w:val="1"/>
      <w:marLeft w:val="0"/>
      <w:marRight w:val="0"/>
      <w:marTop w:val="0"/>
      <w:marBottom w:val="0"/>
      <w:divBdr>
        <w:top w:val="none" w:sz="0" w:space="0" w:color="auto"/>
        <w:left w:val="none" w:sz="0" w:space="0" w:color="auto"/>
        <w:bottom w:val="none" w:sz="0" w:space="0" w:color="auto"/>
        <w:right w:val="none" w:sz="0" w:space="0" w:color="auto"/>
      </w:divBdr>
    </w:div>
    <w:div w:id="1211264712">
      <w:bodyDiv w:val="1"/>
      <w:marLeft w:val="0"/>
      <w:marRight w:val="0"/>
      <w:marTop w:val="0"/>
      <w:marBottom w:val="0"/>
      <w:divBdr>
        <w:top w:val="none" w:sz="0" w:space="0" w:color="auto"/>
        <w:left w:val="none" w:sz="0" w:space="0" w:color="auto"/>
        <w:bottom w:val="none" w:sz="0" w:space="0" w:color="auto"/>
        <w:right w:val="none" w:sz="0" w:space="0" w:color="auto"/>
      </w:divBdr>
    </w:div>
    <w:div w:id="1219323280">
      <w:bodyDiv w:val="1"/>
      <w:marLeft w:val="0"/>
      <w:marRight w:val="0"/>
      <w:marTop w:val="0"/>
      <w:marBottom w:val="0"/>
      <w:divBdr>
        <w:top w:val="none" w:sz="0" w:space="0" w:color="auto"/>
        <w:left w:val="none" w:sz="0" w:space="0" w:color="auto"/>
        <w:bottom w:val="none" w:sz="0" w:space="0" w:color="auto"/>
        <w:right w:val="none" w:sz="0" w:space="0" w:color="auto"/>
      </w:divBdr>
    </w:div>
    <w:div w:id="1245720020">
      <w:bodyDiv w:val="1"/>
      <w:marLeft w:val="0"/>
      <w:marRight w:val="0"/>
      <w:marTop w:val="0"/>
      <w:marBottom w:val="0"/>
      <w:divBdr>
        <w:top w:val="none" w:sz="0" w:space="0" w:color="auto"/>
        <w:left w:val="none" w:sz="0" w:space="0" w:color="auto"/>
        <w:bottom w:val="none" w:sz="0" w:space="0" w:color="auto"/>
        <w:right w:val="none" w:sz="0" w:space="0" w:color="auto"/>
      </w:divBdr>
    </w:div>
    <w:div w:id="1258713464">
      <w:bodyDiv w:val="1"/>
      <w:marLeft w:val="0"/>
      <w:marRight w:val="0"/>
      <w:marTop w:val="0"/>
      <w:marBottom w:val="0"/>
      <w:divBdr>
        <w:top w:val="none" w:sz="0" w:space="0" w:color="auto"/>
        <w:left w:val="none" w:sz="0" w:space="0" w:color="auto"/>
        <w:bottom w:val="none" w:sz="0" w:space="0" w:color="auto"/>
        <w:right w:val="none" w:sz="0" w:space="0" w:color="auto"/>
      </w:divBdr>
    </w:div>
    <w:div w:id="1276207251">
      <w:bodyDiv w:val="1"/>
      <w:marLeft w:val="0"/>
      <w:marRight w:val="0"/>
      <w:marTop w:val="0"/>
      <w:marBottom w:val="0"/>
      <w:divBdr>
        <w:top w:val="none" w:sz="0" w:space="0" w:color="auto"/>
        <w:left w:val="none" w:sz="0" w:space="0" w:color="auto"/>
        <w:bottom w:val="none" w:sz="0" w:space="0" w:color="auto"/>
        <w:right w:val="none" w:sz="0" w:space="0" w:color="auto"/>
      </w:divBdr>
    </w:div>
    <w:div w:id="1279219945">
      <w:bodyDiv w:val="1"/>
      <w:marLeft w:val="0"/>
      <w:marRight w:val="0"/>
      <w:marTop w:val="0"/>
      <w:marBottom w:val="0"/>
      <w:divBdr>
        <w:top w:val="none" w:sz="0" w:space="0" w:color="auto"/>
        <w:left w:val="none" w:sz="0" w:space="0" w:color="auto"/>
        <w:bottom w:val="none" w:sz="0" w:space="0" w:color="auto"/>
        <w:right w:val="none" w:sz="0" w:space="0" w:color="auto"/>
      </w:divBdr>
    </w:div>
    <w:div w:id="1297376329">
      <w:bodyDiv w:val="1"/>
      <w:marLeft w:val="0"/>
      <w:marRight w:val="0"/>
      <w:marTop w:val="0"/>
      <w:marBottom w:val="0"/>
      <w:divBdr>
        <w:top w:val="none" w:sz="0" w:space="0" w:color="auto"/>
        <w:left w:val="none" w:sz="0" w:space="0" w:color="auto"/>
        <w:bottom w:val="none" w:sz="0" w:space="0" w:color="auto"/>
        <w:right w:val="none" w:sz="0" w:space="0" w:color="auto"/>
      </w:divBdr>
    </w:div>
    <w:div w:id="1320160521">
      <w:bodyDiv w:val="1"/>
      <w:marLeft w:val="0"/>
      <w:marRight w:val="0"/>
      <w:marTop w:val="0"/>
      <w:marBottom w:val="0"/>
      <w:divBdr>
        <w:top w:val="none" w:sz="0" w:space="0" w:color="auto"/>
        <w:left w:val="none" w:sz="0" w:space="0" w:color="auto"/>
        <w:bottom w:val="none" w:sz="0" w:space="0" w:color="auto"/>
        <w:right w:val="none" w:sz="0" w:space="0" w:color="auto"/>
      </w:divBdr>
    </w:div>
    <w:div w:id="1360623294">
      <w:bodyDiv w:val="1"/>
      <w:marLeft w:val="0"/>
      <w:marRight w:val="0"/>
      <w:marTop w:val="0"/>
      <w:marBottom w:val="0"/>
      <w:divBdr>
        <w:top w:val="none" w:sz="0" w:space="0" w:color="auto"/>
        <w:left w:val="none" w:sz="0" w:space="0" w:color="auto"/>
        <w:bottom w:val="none" w:sz="0" w:space="0" w:color="auto"/>
        <w:right w:val="none" w:sz="0" w:space="0" w:color="auto"/>
      </w:divBdr>
    </w:div>
    <w:div w:id="1392270615">
      <w:bodyDiv w:val="1"/>
      <w:marLeft w:val="0"/>
      <w:marRight w:val="0"/>
      <w:marTop w:val="0"/>
      <w:marBottom w:val="0"/>
      <w:divBdr>
        <w:top w:val="none" w:sz="0" w:space="0" w:color="auto"/>
        <w:left w:val="none" w:sz="0" w:space="0" w:color="auto"/>
        <w:bottom w:val="none" w:sz="0" w:space="0" w:color="auto"/>
        <w:right w:val="none" w:sz="0" w:space="0" w:color="auto"/>
      </w:divBdr>
    </w:div>
    <w:div w:id="1446774377">
      <w:bodyDiv w:val="1"/>
      <w:marLeft w:val="0"/>
      <w:marRight w:val="0"/>
      <w:marTop w:val="0"/>
      <w:marBottom w:val="0"/>
      <w:divBdr>
        <w:top w:val="none" w:sz="0" w:space="0" w:color="auto"/>
        <w:left w:val="none" w:sz="0" w:space="0" w:color="auto"/>
        <w:bottom w:val="none" w:sz="0" w:space="0" w:color="auto"/>
        <w:right w:val="none" w:sz="0" w:space="0" w:color="auto"/>
      </w:divBdr>
    </w:div>
    <w:div w:id="1498764091">
      <w:bodyDiv w:val="1"/>
      <w:marLeft w:val="0"/>
      <w:marRight w:val="0"/>
      <w:marTop w:val="0"/>
      <w:marBottom w:val="0"/>
      <w:divBdr>
        <w:top w:val="none" w:sz="0" w:space="0" w:color="auto"/>
        <w:left w:val="none" w:sz="0" w:space="0" w:color="auto"/>
        <w:bottom w:val="none" w:sz="0" w:space="0" w:color="auto"/>
        <w:right w:val="none" w:sz="0" w:space="0" w:color="auto"/>
      </w:divBdr>
    </w:div>
    <w:div w:id="1525825513">
      <w:bodyDiv w:val="1"/>
      <w:marLeft w:val="0"/>
      <w:marRight w:val="0"/>
      <w:marTop w:val="0"/>
      <w:marBottom w:val="0"/>
      <w:divBdr>
        <w:top w:val="none" w:sz="0" w:space="0" w:color="auto"/>
        <w:left w:val="none" w:sz="0" w:space="0" w:color="auto"/>
        <w:bottom w:val="none" w:sz="0" w:space="0" w:color="auto"/>
        <w:right w:val="none" w:sz="0" w:space="0" w:color="auto"/>
      </w:divBdr>
    </w:div>
    <w:div w:id="1581989953">
      <w:bodyDiv w:val="1"/>
      <w:marLeft w:val="0"/>
      <w:marRight w:val="0"/>
      <w:marTop w:val="0"/>
      <w:marBottom w:val="0"/>
      <w:divBdr>
        <w:top w:val="none" w:sz="0" w:space="0" w:color="auto"/>
        <w:left w:val="none" w:sz="0" w:space="0" w:color="auto"/>
        <w:bottom w:val="none" w:sz="0" w:space="0" w:color="auto"/>
        <w:right w:val="none" w:sz="0" w:space="0" w:color="auto"/>
      </w:divBdr>
    </w:div>
    <w:div w:id="1608846818">
      <w:bodyDiv w:val="1"/>
      <w:marLeft w:val="0"/>
      <w:marRight w:val="0"/>
      <w:marTop w:val="0"/>
      <w:marBottom w:val="0"/>
      <w:divBdr>
        <w:top w:val="none" w:sz="0" w:space="0" w:color="auto"/>
        <w:left w:val="none" w:sz="0" w:space="0" w:color="auto"/>
        <w:bottom w:val="none" w:sz="0" w:space="0" w:color="auto"/>
        <w:right w:val="none" w:sz="0" w:space="0" w:color="auto"/>
      </w:divBdr>
    </w:div>
    <w:div w:id="1638954024">
      <w:bodyDiv w:val="1"/>
      <w:marLeft w:val="0"/>
      <w:marRight w:val="0"/>
      <w:marTop w:val="0"/>
      <w:marBottom w:val="0"/>
      <w:divBdr>
        <w:top w:val="none" w:sz="0" w:space="0" w:color="auto"/>
        <w:left w:val="none" w:sz="0" w:space="0" w:color="auto"/>
        <w:bottom w:val="none" w:sz="0" w:space="0" w:color="auto"/>
        <w:right w:val="none" w:sz="0" w:space="0" w:color="auto"/>
      </w:divBdr>
    </w:div>
    <w:div w:id="1658532468">
      <w:bodyDiv w:val="1"/>
      <w:marLeft w:val="0"/>
      <w:marRight w:val="0"/>
      <w:marTop w:val="0"/>
      <w:marBottom w:val="0"/>
      <w:divBdr>
        <w:top w:val="none" w:sz="0" w:space="0" w:color="auto"/>
        <w:left w:val="none" w:sz="0" w:space="0" w:color="auto"/>
        <w:bottom w:val="none" w:sz="0" w:space="0" w:color="auto"/>
        <w:right w:val="none" w:sz="0" w:space="0" w:color="auto"/>
      </w:divBdr>
    </w:div>
    <w:div w:id="1696612264">
      <w:bodyDiv w:val="1"/>
      <w:marLeft w:val="0"/>
      <w:marRight w:val="0"/>
      <w:marTop w:val="0"/>
      <w:marBottom w:val="0"/>
      <w:divBdr>
        <w:top w:val="none" w:sz="0" w:space="0" w:color="auto"/>
        <w:left w:val="none" w:sz="0" w:space="0" w:color="auto"/>
        <w:bottom w:val="none" w:sz="0" w:space="0" w:color="auto"/>
        <w:right w:val="none" w:sz="0" w:space="0" w:color="auto"/>
      </w:divBdr>
    </w:div>
    <w:div w:id="1770463693">
      <w:bodyDiv w:val="1"/>
      <w:marLeft w:val="0"/>
      <w:marRight w:val="0"/>
      <w:marTop w:val="0"/>
      <w:marBottom w:val="0"/>
      <w:divBdr>
        <w:top w:val="none" w:sz="0" w:space="0" w:color="auto"/>
        <w:left w:val="none" w:sz="0" w:space="0" w:color="auto"/>
        <w:bottom w:val="none" w:sz="0" w:space="0" w:color="auto"/>
        <w:right w:val="none" w:sz="0" w:space="0" w:color="auto"/>
      </w:divBdr>
    </w:div>
    <w:div w:id="1771314446">
      <w:bodyDiv w:val="1"/>
      <w:marLeft w:val="0"/>
      <w:marRight w:val="0"/>
      <w:marTop w:val="0"/>
      <w:marBottom w:val="0"/>
      <w:divBdr>
        <w:top w:val="none" w:sz="0" w:space="0" w:color="auto"/>
        <w:left w:val="none" w:sz="0" w:space="0" w:color="auto"/>
        <w:bottom w:val="none" w:sz="0" w:space="0" w:color="auto"/>
        <w:right w:val="none" w:sz="0" w:space="0" w:color="auto"/>
      </w:divBdr>
    </w:div>
    <w:div w:id="1895577577">
      <w:bodyDiv w:val="1"/>
      <w:marLeft w:val="0"/>
      <w:marRight w:val="0"/>
      <w:marTop w:val="0"/>
      <w:marBottom w:val="0"/>
      <w:divBdr>
        <w:top w:val="none" w:sz="0" w:space="0" w:color="auto"/>
        <w:left w:val="none" w:sz="0" w:space="0" w:color="auto"/>
        <w:bottom w:val="none" w:sz="0" w:space="0" w:color="auto"/>
        <w:right w:val="none" w:sz="0" w:space="0" w:color="auto"/>
      </w:divBdr>
    </w:div>
    <w:div w:id="1901791470">
      <w:bodyDiv w:val="1"/>
      <w:marLeft w:val="0"/>
      <w:marRight w:val="0"/>
      <w:marTop w:val="0"/>
      <w:marBottom w:val="0"/>
      <w:divBdr>
        <w:top w:val="none" w:sz="0" w:space="0" w:color="auto"/>
        <w:left w:val="none" w:sz="0" w:space="0" w:color="auto"/>
        <w:bottom w:val="none" w:sz="0" w:space="0" w:color="auto"/>
        <w:right w:val="none" w:sz="0" w:space="0" w:color="auto"/>
      </w:divBdr>
    </w:div>
    <w:div w:id="2015066081">
      <w:bodyDiv w:val="1"/>
      <w:marLeft w:val="0"/>
      <w:marRight w:val="0"/>
      <w:marTop w:val="0"/>
      <w:marBottom w:val="0"/>
      <w:divBdr>
        <w:top w:val="none" w:sz="0" w:space="0" w:color="auto"/>
        <w:left w:val="none" w:sz="0" w:space="0" w:color="auto"/>
        <w:bottom w:val="none" w:sz="0" w:space="0" w:color="auto"/>
        <w:right w:val="none" w:sz="0" w:space="0" w:color="auto"/>
      </w:divBdr>
    </w:div>
    <w:div w:id="2042700637">
      <w:bodyDiv w:val="1"/>
      <w:marLeft w:val="0"/>
      <w:marRight w:val="0"/>
      <w:marTop w:val="0"/>
      <w:marBottom w:val="0"/>
      <w:divBdr>
        <w:top w:val="none" w:sz="0" w:space="0" w:color="auto"/>
        <w:left w:val="none" w:sz="0" w:space="0" w:color="auto"/>
        <w:bottom w:val="none" w:sz="0" w:space="0" w:color="auto"/>
        <w:right w:val="none" w:sz="0" w:space="0" w:color="auto"/>
      </w:divBdr>
    </w:div>
    <w:div w:id="2049450560">
      <w:bodyDiv w:val="1"/>
      <w:marLeft w:val="0"/>
      <w:marRight w:val="0"/>
      <w:marTop w:val="0"/>
      <w:marBottom w:val="0"/>
      <w:divBdr>
        <w:top w:val="none" w:sz="0" w:space="0" w:color="auto"/>
        <w:left w:val="none" w:sz="0" w:space="0" w:color="auto"/>
        <w:bottom w:val="none" w:sz="0" w:space="0" w:color="auto"/>
        <w:right w:val="none" w:sz="0" w:space="0" w:color="auto"/>
      </w:divBdr>
    </w:div>
    <w:div w:id="2054109648">
      <w:bodyDiv w:val="1"/>
      <w:marLeft w:val="0"/>
      <w:marRight w:val="0"/>
      <w:marTop w:val="0"/>
      <w:marBottom w:val="0"/>
      <w:divBdr>
        <w:top w:val="none" w:sz="0" w:space="0" w:color="auto"/>
        <w:left w:val="none" w:sz="0" w:space="0" w:color="auto"/>
        <w:bottom w:val="none" w:sz="0" w:space="0" w:color="auto"/>
        <w:right w:val="none" w:sz="0" w:space="0" w:color="auto"/>
      </w:divBdr>
    </w:div>
    <w:div w:id="210757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image" Target="media/image25.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www.tagnifi.com"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emf"/><Relationship Id="rId37" Type="http://schemas.openxmlformats.org/officeDocument/2006/relationships/image" Target="media/image28.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7.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6.png"/></Relationships>
</file>

<file path=word/_rels/footnotes.xml.rels><?xml version="1.0" encoding="UTF-8" standalone="yes"?>
<Relationships xmlns="http://schemas.openxmlformats.org/package/2006/relationships"><Relationship Id="rId8" Type="http://schemas.openxmlformats.org/officeDocument/2006/relationships/hyperlink" Target="https://fred.stlouisfed.org/series/BAA" TargetMode="External"/><Relationship Id="rId13" Type="http://schemas.openxmlformats.org/officeDocument/2006/relationships/hyperlink" Target="https://fred.stlouisfed.org/series/HOUST" TargetMode="External"/><Relationship Id="rId18" Type="http://schemas.openxmlformats.org/officeDocument/2006/relationships/hyperlink" Target="https://fred.stlouisfed.org/series/UMCSENT" TargetMode="External"/><Relationship Id="rId3" Type="http://schemas.openxmlformats.org/officeDocument/2006/relationships/hyperlink" Target="https://fred.stlouisfed.org/series/GDPC1" TargetMode="External"/><Relationship Id="rId21" Type="http://schemas.openxmlformats.org/officeDocument/2006/relationships/hyperlink" Target="https://fred.stlouisfed.org/series/PCECTPICTM" TargetMode="External"/><Relationship Id="rId7" Type="http://schemas.openxmlformats.org/officeDocument/2006/relationships/hyperlink" Target="https://fred.stlouisfed.org/series/DGS10" TargetMode="External"/><Relationship Id="rId12" Type="http://schemas.openxmlformats.org/officeDocument/2006/relationships/hyperlink" Target="https://fred.stlouisfed.org/series/PPIACO" TargetMode="External"/><Relationship Id="rId17" Type="http://schemas.openxmlformats.org/officeDocument/2006/relationships/hyperlink" Target="https://fred.stlouisfed.org/series/ALTSALES" TargetMode="External"/><Relationship Id="rId2" Type="http://schemas.openxmlformats.org/officeDocument/2006/relationships/hyperlink" Target="https://fred.stlouisfed.org/series/TWEXB" TargetMode="External"/><Relationship Id="rId16" Type="http://schemas.openxmlformats.org/officeDocument/2006/relationships/hyperlink" Target="https://fred.stlouisfed.org/series/PCE" TargetMode="External"/><Relationship Id="rId20" Type="http://schemas.openxmlformats.org/officeDocument/2006/relationships/hyperlink" Target="https://fred.stlouisfed.org/series/GDPC1CTM" TargetMode="External"/><Relationship Id="rId1" Type="http://schemas.openxmlformats.org/officeDocument/2006/relationships/hyperlink" Target="https://fred.stlouisfed.org/series/MCOILWTICO" TargetMode="External"/><Relationship Id="rId6" Type="http://schemas.openxmlformats.org/officeDocument/2006/relationships/hyperlink" Target="https://fred.stlouisfed.org/series/FEDFUNDS" TargetMode="External"/><Relationship Id="rId11" Type="http://schemas.openxmlformats.org/officeDocument/2006/relationships/hyperlink" Target="https://fred.stlouisfed.org/series/CPIAUCSL" TargetMode="External"/><Relationship Id="rId5" Type="http://schemas.openxmlformats.org/officeDocument/2006/relationships/hyperlink" Target="https://fred.stlouisfed.org/series/DGS1" TargetMode="External"/><Relationship Id="rId15" Type="http://schemas.openxmlformats.org/officeDocument/2006/relationships/hyperlink" Target="https://fred.stlouisfed.org/series/SPCS20RSA" TargetMode="External"/><Relationship Id="rId10" Type="http://schemas.openxmlformats.org/officeDocument/2006/relationships/hyperlink" Target="https://fred.stlouisfed.org/series/UNRATE" TargetMode="External"/><Relationship Id="rId19" Type="http://schemas.openxmlformats.org/officeDocument/2006/relationships/hyperlink" Target="https://fred.stlouisfed.org/series/VIXCLS" TargetMode="External"/><Relationship Id="rId4" Type="http://schemas.openxmlformats.org/officeDocument/2006/relationships/hyperlink" Target="https://fred.stlouisfed.org/series/INDPRO" TargetMode="External"/><Relationship Id="rId9" Type="http://schemas.openxmlformats.org/officeDocument/2006/relationships/hyperlink" Target="https://fred.stlouisfed.org/series/PAYEMS" TargetMode="External"/><Relationship Id="rId14" Type="http://schemas.openxmlformats.org/officeDocument/2006/relationships/hyperlink" Target="https://fred.stlouisfed.org/series/MORTGAGE30US" TargetMode="External"/><Relationship Id="rId22" Type="http://schemas.openxmlformats.org/officeDocument/2006/relationships/hyperlink" Target="https://fred.stlouisfed.org/series/UNRATEC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Designed for business valuation professionals, TagniFi’s Quarterly Economic Update provides timely economic data to satisfy Revenue Ruling 59-60.  </Abstract>
  <CompanyAddress/>
  <CompanyPhone/>
  <CompanyFax/>
  <CompanyEmail>www.tagnifi.com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BD9592-C76A-4C54-B6DE-3D59AAB6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18</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Quarterly Economic Update</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Economic Update</dc:title>
  <dc:subject>For the 4th Quarter of 2019</dc:subject>
  <dc:creator>Office 365</dc:creator>
  <cp:keywords/>
  <dc:description/>
  <cp:lastModifiedBy>Chad Sandstedt</cp:lastModifiedBy>
  <cp:revision>10</cp:revision>
  <cp:lastPrinted>2020-02-06T21:16:00Z</cp:lastPrinted>
  <dcterms:created xsi:type="dcterms:W3CDTF">2020-02-06T20:57:00Z</dcterms:created>
  <dcterms:modified xsi:type="dcterms:W3CDTF">2020-02-07T14:54:00Z</dcterms:modified>
</cp:coreProperties>
</file>