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25127297"/>
        <w:docPartObj>
          <w:docPartGallery w:val="Cover Pages"/>
          <w:docPartUnique/>
        </w:docPartObj>
      </w:sdtPr>
      <w:sdtEndPr/>
      <w:sdtContent>
        <w:p w14:paraId="5380ED24" w14:textId="77777777" w:rsidR="005B1168" w:rsidRDefault="005B1168" w:rsidP="002E6FDE">
          <w:pPr>
            <w:jc w:val="right"/>
          </w:pPr>
        </w:p>
        <w:p w14:paraId="3B0C0374" w14:textId="77777777" w:rsidR="005B1168" w:rsidRDefault="005B1168" w:rsidP="002E6FDE">
          <w:pPr>
            <w:jc w:val="right"/>
          </w:pPr>
        </w:p>
        <w:p w14:paraId="2ABEC867" w14:textId="14166ACD" w:rsidR="000F1648" w:rsidRDefault="002E6FDE" w:rsidP="002E6FDE">
          <w:pPr>
            <w:jc w:val="right"/>
          </w:pPr>
          <w:r>
            <w:rPr>
              <w:noProof/>
            </w:rPr>
            <w:drawing>
              <wp:inline distT="0" distB="0" distL="0" distR="0" wp14:anchorId="4299616C" wp14:editId="23A7AF10">
                <wp:extent cx="1593215" cy="487222"/>
                <wp:effectExtent l="0" t="0" r="698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gnifi_logo_large_300dpi_fl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3657" cy="493473"/>
                        </a:xfrm>
                        <a:prstGeom prst="rect">
                          <a:avLst/>
                        </a:prstGeom>
                      </pic:spPr>
                    </pic:pic>
                  </a:graphicData>
                </a:graphic>
              </wp:inline>
            </w:drawing>
          </w:r>
        </w:p>
        <w:p w14:paraId="45CC237F" w14:textId="77777777" w:rsidR="000F1648" w:rsidRDefault="000F1648" w:rsidP="002E6FDE">
          <w:pPr>
            <w:jc w:val="right"/>
          </w:pPr>
        </w:p>
        <w:p w14:paraId="149D5EEE" w14:textId="3E547054" w:rsidR="00005111" w:rsidRDefault="00005111" w:rsidP="002E6FDE">
          <w:pPr>
            <w:jc w:val="right"/>
          </w:pPr>
          <w:r>
            <w:rPr>
              <w:noProof/>
            </w:rPr>
            <mc:AlternateContent>
              <mc:Choice Requires="wps">
                <w:drawing>
                  <wp:anchor distT="0" distB="0" distL="114300" distR="114300" simplePos="0" relativeHeight="251656704" behindDoc="0" locked="0" layoutInCell="1" allowOverlap="1" wp14:anchorId="149D5FB9" wp14:editId="4D4E2E2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9" w14:textId="4A56AD66" w:rsidR="00BA05F4" w:rsidRDefault="00BA05F4">
                                <w:pPr>
                                  <w:pStyle w:val="NoSpacing"/>
                                  <w:jc w:val="right"/>
                                  <w:rPr>
                                    <w:color w:val="595959" w:themeColor="text1" w:themeTint="A6"/>
                                    <w:sz w:val="28"/>
                                    <w:szCs w:val="28"/>
                                  </w:rPr>
                                </w:pPr>
                              </w:p>
                              <w:p w14:paraId="641EFF4B" w14:textId="2362ED3A" w:rsidR="00BA05F4" w:rsidRDefault="00BA05F4">
                                <w:pPr>
                                  <w:pStyle w:val="NoSpacing"/>
                                  <w:jc w:val="right"/>
                                  <w:rPr>
                                    <w:color w:val="595959" w:themeColor="text1" w:themeTint="A6"/>
                                    <w:sz w:val="18"/>
                                    <w:szCs w:val="18"/>
                                  </w:rPr>
                                </w:pPr>
                                <w:r>
                                  <w:rPr>
                                    <w:color w:val="595959" w:themeColor="text1" w:themeTint="A6"/>
                                    <w:sz w:val="18"/>
                                    <w:szCs w:val="18"/>
                                  </w:rPr>
                                  <w:t>800-TagniFi</w:t>
                                </w:r>
                              </w:p>
                              <w:p w14:paraId="149D5FEA" w14:textId="0E621728" w:rsidR="00BA05F4" w:rsidRDefault="00E643AB">
                                <w:pPr>
                                  <w:pStyle w:val="NoSpacing"/>
                                  <w:jc w:val="right"/>
                                  <w:rPr>
                                    <w:color w:val="595959" w:themeColor="text1" w:themeTint="A6"/>
                                    <w:sz w:val="18"/>
                                    <w:szCs w:val="18"/>
                                  </w:rPr>
                                </w:pPr>
                                <w:sdt>
                                  <w:sdtPr>
                                    <w:rPr>
                                      <w:color w:val="595959" w:themeColor="text1" w:themeTint="A6"/>
                                      <w:sz w:val="18"/>
                                      <w:szCs w:val="18"/>
                                    </w:rPr>
                                    <w:alias w:val="Email"/>
                                    <w:tag w:val="Email"/>
                                    <w:id w:val="2135518675"/>
                                    <w:dataBinding w:prefixMappings="xmlns:ns0='http://schemas.microsoft.com/office/2006/coverPageProps' " w:xpath="/ns0:CoverPageProperties[1]/ns0:CompanyEmail[1]" w:storeItemID="{55AF091B-3C7A-41E3-B477-F2FDAA23CFDA}"/>
                                    <w:text/>
                                  </w:sdtPr>
                                  <w:sdtEndPr/>
                                  <w:sdtContent>
                                    <w:r w:rsidR="00BA05F4">
                                      <w:rPr>
                                        <w:color w:val="595959" w:themeColor="text1" w:themeTint="A6"/>
                                        <w:sz w:val="18"/>
                                        <w:szCs w:val="18"/>
                                      </w:rPr>
                                      <w:t>www.tagnifi.com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49D5FB9"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149D5FE9" w14:textId="4A56AD66" w:rsidR="00BA05F4" w:rsidRDefault="00BA05F4">
                          <w:pPr>
                            <w:pStyle w:val="NoSpacing"/>
                            <w:jc w:val="right"/>
                            <w:rPr>
                              <w:color w:val="595959" w:themeColor="text1" w:themeTint="A6"/>
                              <w:sz w:val="28"/>
                              <w:szCs w:val="28"/>
                            </w:rPr>
                          </w:pPr>
                        </w:p>
                        <w:p w14:paraId="641EFF4B" w14:textId="2362ED3A" w:rsidR="00BA05F4" w:rsidRDefault="00BA05F4">
                          <w:pPr>
                            <w:pStyle w:val="NoSpacing"/>
                            <w:jc w:val="right"/>
                            <w:rPr>
                              <w:color w:val="595959" w:themeColor="text1" w:themeTint="A6"/>
                              <w:sz w:val="18"/>
                              <w:szCs w:val="18"/>
                            </w:rPr>
                          </w:pPr>
                          <w:r>
                            <w:rPr>
                              <w:color w:val="595959" w:themeColor="text1" w:themeTint="A6"/>
                              <w:sz w:val="18"/>
                              <w:szCs w:val="18"/>
                            </w:rPr>
                            <w:t>800-TagniFi</w:t>
                          </w:r>
                        </w:p>
                        <w:p w14:paraId="149D5FEA" w14:textId="0E621728" w:rsidR="00BA05F4" w:rsidRDefault="00E643AB">
                          <w:pPr>
                            <w:pStyle w:val="NoSpacing"/>
                            <w:jc w:val="right"/>
                            <w:rPr>
                              <w:color w:val="595959" w:themeColor="text1" w:themeTint="A6"/>
                              <w:sz w:val="18"/>
                              <w:szCs w:val="18"/>
                            </w:rPr>
                          </w:pPr>
                          <w:sdt>
                            <w:sdtPr>
                              <w:rPr>
                                <w:color w:val="595959" w:themeColor="text1" w:themeTint="A6"/>
                                <w:sz w:val="18"/>
                                <w:szCs w:val="18"/>
                              </w:rPr>
                              <w:alias w:val="Email"/>
                              <w:tag w:val="Email"/>
                              <w:id w:val="2135518675"/>
                              <w:dataBinding w:prefixMappings="xmlns:ns0='http://schemas.microsoft.com/office/2006/coverPageProps' " w:xpath="/ns0:CoverPageProperties[1]/ns0:CompanyEmail[1]" w:storeItemID="{55AF091B-3C7A-41E3-B477-F2FDAA23CFDA}"/>
                              <w:text/>
                            </w:sdtPr>
                            <w:sdtEndPr/>
                            <w:sdtContent>
                              <w:r w:rsidR="00BA05F4">
                                <w:rPr>
                                  <w:color w:val="595959" w:themeColor="text1" w:themeTint="A6"/>
                                  <w:sz w:val="18"/>
                                  <w:szCs w:val="18"/>
                                </w:rPr>
                                <w:t>www.tagnifi.com</w:t>
                              </w:r>
                            </w:sdtContent>
                          </w:sdt>
                        </w:p>
                      </w:txbxContent>
                    </v:textbox>
                    <w10:wrap type="square" anchorx="page" anchory="page"/>
                  </v:shape>
                </w:pict>
              </mc:Fallback>
            </mc:AlternateContent>
          </w:r>
        </w:p>
        <w:p w14:paraId="149D5EEF" w14:textId="48662BBE" w:rsidR="00005111" w:rsidRDefault="001868CB" w:rsidP="000F1648">
          <w:pPr>
            <w:ind w:hanging="900"/>
          </w:pPr>
          <w:r>
            <w:rPr>
              <w:noProof/>
            </w:rPr>
            <mc:AlternateContent>
              <mc:Choice Requires="wps">
                <w:drawing>
                  <wp:anchor distT="0" distB="0" distL="114300" distR="114300" simplePos="0" relativeHeight="251658752" behindDoc="0" locked="0" layoutInCell="1" allowOverlap="1" wp14:anchorId="149D5FBB" wp14:editId="48C15E45">
                    <wp:simplePos x="0" y="0"/>
                    <wp:positionH relativeFrom="page">
                      <wp:posOffset>1228724</wp:posOffset>
                    </wp:positionH>
                    <wp:positionV relativeFrom="page">
                      <wp:posOffset>7038975</wp:posOffset>
                    </wp:positionV>
                    <wp:extent cx="6313805"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1380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B" w14:textId="77777777" w:rsidR="00BA05F4" w:rsidRPr="00460436" w:rsidRDefault="00BA05F4">
                                <w:pPr>
                                  <w:pStyle w:val="NoSpacing"/>
                                  <w:jc w:val="right"/>
                                  <w:rPr>
                                    <w:color w:val="008FD5"/>
                                    <w:sz w:val="28"/>
                                    <w:szCs w:val="28"/>
                                  </w:rPr>
                                </w:pPr>
                                <w:r w:rsidRPr="00460436">
                                  <w:rPr>
                                    <w:color w:val="008FD5"/>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49D5FEC" w14:textId="2C8EF4B7" w:rsidR="00BA05F4" w:rsidRDefault="00BA05F4">
                                    <w:pPr>
                                      <w:pStyle w:val="NoSpacing"/>
                                      <w:jc w:val="right"/>
                                      <w:rPr>
                                        <w:color w:val="595959" w:themeColor="text1" w:themeTint="A6"/>
                                        <w:sz w:val="20"/>
                                        <w:szCs w:val="20"/>
                                      </w:rPr>
                                    </w:pPr>
                                    <w:r w:rsidRPr="00005111">
                                      <w:rPr>
                                        <w:color w:val="595959" w:themeColor="text1" w:themeTint="A6"/>
                                        <w:sz w:val="20"/>
                                        <w:szCs w:val="20"/>
                                      </w:rPr>
                                      <w:t xml:space="preserve">Designed for business valuation professionals, TagniFi’s Quarterly Economic </w:t>
                                    </w:r>
                                    <w:r>
                                      <w:rPr>
                                        <w:color w:val="595959" w:themeColor="text1" w:themeTint="A6"/>
                                        <w:sz w:val="20"/>
                                        <w:szCs w:val="20"/>
                                      </w:rPr>
                                      <w:t>Update</w:t>
                                    </w:r>
                                    <w:r w:rsidRPr="00005111">
                                      <w:rPr>
                                        <w:color w:val="595959" w:themeColor="text1" w:themeTint="A6"/>
                                        <w:sz w:val="20"/>
                                        <w:szCs w:val="20"/>
                                      </w:rPr>
                                      <w:t xml:space="preserve"> provides timely economic data</w:t>
                                    </w:r>
                                    <w:r>
                                      <w:rPr>
                                        <w:color w:val="595959" w:themeColor="text1" w:themeTint="A6"/>
                                        <w:sz w:val="20"/>
                                        <w:szCs w:val="20"/>
                                      </w:rPr>
                                      <w:t xml:space="preserve"> to satisfy Revenue Ruling 59-60. </w:t>
                                    </w:r>
                                    <w:r w:rsidRPr="00005111">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149D5FBB" id="Text Box 153" o:spid="_x0000_s1027" type="#_x0000_t202" style="position:absolute;margin-left:96.75pt;margin-top:554.25pt;width:497.15pt;height:79.5pt;z-index:2516587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" filled="f" stroked="f" strokeweight=".5pt">
                    <v:textbox style="mso-fit-shape-to-text:t" inset="126pt,0,54pt,0">
                      <w:txbxContent>
                        <w:p w14:paraId="149D5FEB" w14:textId="77777777" w:rsidR="00BA05F4" w:rsidRPr="00460436" w:rsidRDefault="00BA05F4">
                          <w:pPr>
                            <w:pStyle w:val="NoSpacing"/>
                            <w:jc w:val="right"/>
                            <w:rPr>
                              <w:color w:val="008FD5"/>
                              <w:sz w:val="28"/>
                              <w:szCs w:val="28"/>
                            </w:rPr>
                          </w:pPr>
                          <w:r w:rsidRPr="00460436">
                            <w:rPr>
                              <w:color w:val="008FD5"/>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49D5FEC" w14:textId="2C8EF4B7" w:rsidR="00BA05F4" w:rsidRDefault="00BA05F4">
                              <w:pPr>
                                <w:pStyle w:val="NoSpacing"/>
                                <w:jc w:val="right"/>
                                <w:rPr>
                                  <w:color w:val="595959" w:themeColor="text1" w:themeTint="A6"/>
                                  <w:sz w:val="20"/>
                                  <w:szCs w:val="20"/>
                                </w:rPr>
                              </w:pPr>
                              <w:r w:rsidRPr="00005111">
                                <w:rPr>
                                  <w:color w:val="595959" w:themeColor="text1" w:themeTint="A6"/>
                                  <w:sz w:val="20"/>
                                  <w:szCs w:val="20"/>
                                </w:rPr>
                                <w:t xml:space="preserve">Designed for business valuation professionals, TagniFi’s Quarterly Economic </w:t>
                              </w:r>
                              <w:r>
                                <w:rPr>
                                  <w:color w:val="595959" w:themeColor="text1" w:themeTint="A6"/>
                                  <w:sz w:val="20"/>
                                  <w:szCs w:val="20"/>
                                </w:rPr>
                                <w:t>Update</w:t>
                              </w:r>
                              <w:r w:rsidRPr="00005111">
                                <w:rPr>
                                  <w:color w:val="595959" w:themeColor="text1" w:themeTint="A6"/>
                                  <w:sz w:val="20"/>
                                  <w:szCs w:val="20"/>
                                </w:rPr>
                                <w:t xml:space="preserve"> provides timely economic data</w:t>
                              </w:r>
                              <w:r>
                                <w:rPr>
                                  <w:color w:val="595959" w:themeColor="text1" w:themeTint="A6"/>
                                  <w:sz w:val="20"/>
                                  <w:szCs w:val="20"/>
                                </w:rPr>
                                <w:t xml:space="preserve"> to satisfy Revenue Ruling 59-60. </w:t>
                              </w:r>
                              <w:r w:rsidRPr="00005111">
                                <w:rPr>
                                  <w:color w:val="595959" w:themeColor="text1" w:themeTint="A6"/>
                                  <w:sz w:val="20"/>
                                  <w:szCs w:val="20"/>
                                </w:rPr>
                                <w:t xml:space="preserve"> </w:t>
                              </w:r>
                            </w:p>
                          </w:sdtContent>
                        </w:sdt>
                      </w:txbxContent>
                    </v:textbox>
                    <w10:wrap type="square" anchorx="page" anchory="page"/>
                  </v:shape>
                </w:pict>
              </mc:Fallback>
            </mc:AlternateContent>
          </w:r>
          <w:r w:rsidR="000F1648">
            <w:rPr>
              <w:noProof/>
            </w:rPr>
            <mc:AlternateContent>
              <mc:Choice Requires="wps">
                <w:drawing>
                  <wp:anchor distT="0" distB="0" distL="114300" distR="114300" simplePos="0" relativeHeight="251654656" behindDoc="0" locked="0" layoutInCell="1" allowOverlap="1" wp14:anchorId="149D5FBD" wp14:editId="198431CC">
                    <wp:simplePos x="0" y="0"/>
                    <wp:positionH relativeFrom="page">
                      <wp:posOffset>228600</wp:posOffset>
                    </wp:positionH>
                    <wp:positionV relativeFrom="page">
                      <wp:posOffset>5173980</wp:posOffset>
                    </wp:positionV>
                    <wp:extent cx="7315200" cy="14884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8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5FED" w14:textId="263D05B6" w:rsidR="00BA05F4" w:rsidRPr="00460436" w:rsidRDefault="00E643AB" w:rsidP="0099783F">
                                <w:pPr>
                                  <w:ind w:left="-1260"/>
                                  <w:jc w:val="right"/>
                                  <w:rPr>
                                    <w:color w:val="008FD5"/>
                                    <w:sz w:val="64"/>
                                    <w:szCs w:val="64"/>
                                  </w:rPr>
                                </w:pPr>
                                <w:sdt>
                                  <w:sdtPr>
                                    <w:rPr>
                                      <w:caps/>
                                      <w:color w:val="008FD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5DFF">
                                      <w:rPr>
                                        <w:caps/>
                                        <w:color w:val="008FD5"/>
                                        <w:sz w:val="64"/>
                                        <w:szCs w:val="64"/>
                                      </w:rPr>
                                      <w:t>Interim</w:t>
                                    </w:r>
                                    <w:r w:rsidR="00BA05F4" w:rsidRPr="00460436">
                                      <w:rPr>
                                        <w:caps/>
                                        <w:color w:val="008FD5"/>
                                        <w:sz w:val="64"/>
                                        <w:szCs w:val="64"/>
                                      </w:rPr>
                                      <w:t xml:space="preserve"> Economic Update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49D5FEE" w14:textId="5AD3E0AD" w:rsidR="00BA05F4" w:rsidRDefault="0050577D">
                                    <w:pPr>
                                      <w:jc w:val="right"/>
                                      <w:rPr>
                                        <w:smallCaps/>
                                        <w:color w:val="404040" w:themeColor="text1" w:themeTint="BF"/>
                                        <w:sz w:val="36"/>
                                        <w:szCs w:val="36"/>
                                      </w:rPr>
                                    </w:pPr>
                                    <w:r>
                                      <w:rPr>
                                        <w:color w:val="404040" w:themeColor="text1" w:themeTint="BF"/>
                                        <w:sz w:val="36"/>
                                        <w:szCs w:val="36"/>
                                      </w:rPr>
                                      <w:t>Interim Update:</w:t>
                                    </w:r>
                                    <w:r w:rsidR="00BA05F4">
                                      <w:rPr>
                                        <w:color w:val="404040" w:themeColor="text1" w:themeTint="BF"/>
                                        <w:sz w:val="36"/>
                                        <w:szCs w:val="36"/>
                                      </w:rPr>
                                      <w:t xml:space="preserve"> </w:t>
                                    </w:r>
                                    <w:r w:rsidR="00B55DFF">
                                      <w:rPr>
                                        <w:color w:val="404040" w:themeColor="text1" w:themeTint="BF"/>
                                        <w:sz w:val="36"/>
                                        <w:szCs w:val="36"/>
                                      </w:rPr>
                                      <w:t>1st</w:t>
                                    </w:r>
                                    <w:r w:rsidR="00BA05F4">
                                      <w:rPr>
                                        <w:color w:val="404040" w:themeColor="text1" w:themeTint="BF"/>
                                        <w:sz w:val="36"/>
                                        <w:szCs w:val="36"/>
                                      </w:rPr>
                                      <w:t xml:space="preserve"> Quarter of 20</w:t>
                                    </w:r>
                                    <w:r w:rsidR="00B55DFF">
                                      <w:rPr>
                                        <w:color w:val="404040" w:themeColor="text1" w:themeTint="BF"/>
                                        <w:sz w:val="36"/>
                                        <w:szCs w:val="36"/>
                                      </w:rPr>
                                      <w:t>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49D5FBD" id="Text Box 154" o:spid="_x0000_s1028" type="#_x0000_t202" style="position:absolute;margin-left:18pt;margin-top:407.4pt;width:8in;height:117.2pt;z-index:25165465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" filled="f" stroked="f" strokeweight=".5pt">
                    <v:textbox inset="126pt,0,54pt,0">
                      <w:txbxContent>
                        <w:p w14:paraId="149D5FED" w14:textId="263D05B6" w:rsidR="00BA05F4" w:rsidRPr="00460436" w:rsidRDefault="00E643AB" w:rsidP="0099783F">
                          <w:pPr>
                            <w:ind w:left="-1260"/>
                            <w:jc w:val="right"/>
                            <w:rPr>
                              <w:color w:val="008FD5"/>
                              <w:sz w:val="64"/>
                              <w:szCs w:val="64"/>
                            </w:rPr>
                          </w:pPr>
                          <w:sdt>
                            <w:sdtPr>
                              <w:rPr>
                                <w:caps/>
                                <w:color w:val="008FD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5DFF">
                                <w:rPr>
                                  <w:caps/>
                                  <w:color w:val="008FD5"/>
                                  <w:sz w:val="64"/>
                                  <w:szCs w:val="64"/>
                                </w:rPr>
                                <w:t>Interim</w:t>
                              </w:r>
                              <w:r w:rsidR="00BA05F4" w:rsidRPr="00460436">
                                <w:rPr>
                                  <w:caps/>
                                  <w:color w:val="008FD5"/>
                                  <w:sz w:val="64"/>
                                  <w:szCs w:val="64"/>
                                </w:rPr>
                                <w:t xml:space="preserve"> Economic Update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49D5FEE" w14:textId="5AD3E0AD" w:rsidR="00BA05F4" w:rsidRDefault="0050577D">
                              <w:pPr>
                                <w:jc w:val="right"/>
                                <w:rPr>
                                  <w:smallCaps/>
                                  <w:color w:val="404040" w:themeColor="text1" w:themeTint="BF"/>
                                  <w:sz w:val="36"/>
                                  <w:szCs w:val="36"/>
                                </w:rPr>
                              </w:pPr>
                              <w:r>
                                <w:rPr>
                                  <w:color w:val="404040" w:themeColor="text1" w:themeTint="BF"/>
                                  <w:sz w:val="36"/>
                                  <w:szCs w:val="36"/>
                                </w:rPr>
                                <w:t>Interim Update:</w:t>
                              </w:r>
                              <w:r w:rsidR="00BA05F4">
                                <w:rPr>
                                  <w:color w:val="404040" w:themeColor="text1" w:themeTint="BF"/>
                                  <w:sz w:val="36"/>
                                  <w:szCs w:val="36"/>
                                </w:rPr>
                                <w:t xml:space="preserve"> </w:t>
                              </w:r>
                              <w:r w:rsidR="00B55DFF">
                                <w:rPr>
                                  <w:color w:val="404040" w:themeColor="text1" w:themeTint="BF"/>
                                  <w:sz w:val="36"/>
                                  <w:szCs w:val="36"/>
                                </w:rPr>
                                <w:t>1st</w:t>
                              </w:r>
                              <w:r w:rsidR="00BA05F4">
                                <w:rPr>
                                  <w:color w:val="404040" w:themeColor="text1" w:themeTint="BF"/>
                                  <w:sz w:val="36"/>
                                  <w:szCs w:val="36"/>
                                </w:rPr>
                                <w:t xml:space="preserve"> Quarter of 20</w:t>
                              </w:r>
                              <w:r w:rsidR="00B55DFF">
                                <w:rPr>
                                  <w:color w:val="404040" w:themeColor="text1" w:themeTint="BF"/>
                                  <w:sz w:val="36"/>
                                  <w:szCs w:val="36"/>
                                </w:rPr>
                                <w:t>20</w:t>
                              </w:r>
                            </w:p>
                          </w:sdtContent>
                        </w:sdt>
                      </w:txbxContent>
                    </v:textbox>
                    <w10:wrap type="square" anchorx="page" anchory="page"/>
                  </v:shape>
                </w:pict>
              </mc:Fallback>
            </mc:AlternateContent>
          </w:r>
          <w:r w:rsidR="00005111">
            <w:br w:type="page"/>
          </w:r>
        </w:p>
      </w:sdtContent>
    </w:sdt>
    <w:p w14:paraId="149D5EF0" w14:textId="05F21913" w:rsidR="00217AD5" w:rsidRDefault="0050577D" w:rsidP="00005111">
      <w:pPr>
        <w:pStyle w:val="Heading1"/>
      </w:pPr>
      <w:r>
        <w:lastRenderedPageBreak/>
        <w:t>Economic Impact of the Novel Coronavirus</w:t>
      </w:r>
    </w:p>
    <w:p w14:paraId="4E2361B6" w14:textId="2A879CFF" w:rsidR="0050577D" w:rsidRDefault="0050577D" w:rsidP="00E44639">
      <w:r>
        <w:t>An outbreak of a novel coronavirus named COVID-19, a respiratory virus capable of causing pneumonia, spread outward from its epicenter of Wuhan, China beginning in January 2020. As of February 29</w:t>
      </w:r>
      <w:r w:rsidRPr="0050577D">
        <w:rPr>
          <w:vertAlign w:val="superscript"/>
        </w:rPr>
        <w:t>th</w:t>
      </w:r>
      <w:r>
        <w:t>, 85,403 cases and 2,924 deaths had been reported in more than 50 countries.</w:t>
      </w:r>
      <w:r w:rsidRPr="00090DA6">
        <w:t xml:space="preserve"> </w:t>
      </w:r>
      <w:r>
        <w:t>The virus, while not highly deadly, has incited global fear as it is extremely contagious and poses a high risk to certain segments of the population including the elderly and those with pre-existing health conditions. Governments and healthcare systems’ primary responses to the novel coronavirus, which lacks established treatments or immunizations, have been widespread quarantines and travel bans.</w:t>
      </w:r>
    </w:p>
    <w:p w14:paraId="26CC5A3E" w14:textId="77777777" w:rsidR="0050577D" w:rsidRDefault="0050577D" w:rsidP="00E44639">
      <w:r>
        <w:t>The outbreak is expected to slow global economic output, most nota</w:t>
      </w:r>
      <w:bookmarkStart w:id="0" w:name="_GoBack"/>
      <w:bookmarkEnd w:id="0"/>
      <w:r>
        <w:t xml:space="preserve">bly in China. </w:t>
      </w:r>
      <w:r w:rsidRPr="0050577D">
        <w:t>Kristalina Georgieva, managing director of the International Monetary Fund (IMF)</w:t>
      </w:r>
      <w:r>
        <w:t>, anticipates growth will slow worldwide this year by 0.1 percentage points and in China by 0.4 percentage points. Additionally, the Chinese government’s focus on containing the virus is expected to delay work on the anticipated Phase 2 of U.S.-China trade negotiations</w:t>
      </w:r>
      <w:r w:rsidR="00F60736" w:rsidRPr="00090DA6">
        <w:t>.</w:t>
      </w:r>
    </w:p>
    <w:p w14:paraId="5F7D2BE5" w14:textId="44C4FBD0" w:rsidR="006E6C82" w:rsidRDefault="006E6C82" w:rsidP="006E6C82">
      <w:pPr>
        <w:jc w:val="center"/>
      </w:pPr>
      <w:r>
        <w:rPr>
          <w:noProof/>
        </w:rPr>
        <w:drawing>
          <wp:inline distT="0" distB="0" distL="0" distR="0" wp14:anchorId="17234C3C" wp14:editId="582F29F0">
            <wp:extent cx="4097020" cy="274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7020" cy="2749550"/>
                    </a:xfrm>
                    <a:prstGeom prst="rect">
                      <a:avLst/>
                    </a:prstGeom>
                    <a:noFill/>
                  </pic:spPr>
                </pic:pic>
              </a:graphicData>
            </a:graphic>
          </wp:inline>
        </w:drawing>
      </w:r>
    </w:p>
    <w:p w14:paraId="01DDD5D5" w14:textId="77777777" w:rsidR="006E6C82" w:rsidRDefault="006E6C82" w:rsidP="006E6C82">
      <w:r>
        <w:t>Partly in response to these emerging threats, the stock market dropped on Monday, February 24</w:t>
      </w:r>
      <w:r w:rsidRPr="0050577D">
        <w:rPr>
          <w:vertAlign w:val="superscript"/>
        </w:rPr>
        <w:t>th</w:t>
      </w:r>
      <w:r>
        <w:t xml:space="preserve"> by more than 3%, with the largest declines for companies in the travel industry and those with supply chains heavily reliant on China and South Korea, another country hard-hit by the virus’s spread</w:t>
      </w:r>
      <w:r w:rsidRPr="00090DA6">
        <w:t>.</w:t>
      </w:r>
      <w:r>
        <w:t xml:space="preserve"> The slide continued throughout the week, with the Dow Jones Industrial Average</w:t>
      </w:r>
      <w:r>
        <w:rPr>
          <w:rStyle w:val="FootnoteReference"/>
        </w:rPr>
        <w:footnoteReference w:id="1"/>
      </w:r>
      <w:r>
        <w:t xml:space="preserve"> falling 3,583.05 points and closing 12.4% lower on Friday, February 28</w:t>
      </w:r>
      <w:r w:rsidRPr="0050577D">
        <w:rPr>
          <w:vertAlign w:val="superscript"/>
        </w:rPr>
        <w:t>th</w:t>
      </w:r>
      <w:r>
        <w:t xml:space="preserve">, </w:t>
      </w:r>
      <w:proofErr w:type="gramStart"/>
      <w:r>
        <w:t>than</w:t>
      </w:r>
      <w:proofErr w:type="gramEnd"/>
      <w:r>
        <w:t xml:space="preserve"> the previous Friday. The S&amp;P 500 was down 11.5% over the same period. The volatility index</w:t>
      </w:r>
      <w:r>
        <w:rPr>
          <w:rStyle w:val="FootnoteReference"/>
        </w:rPr>
        <w:footnoteReference w:id="2"/>
      </w:r>
      <w:r>
        <w:t xml:space="preserve">, a </w:t>
      </w:r>
      <w:r>
        <w:lastRenderedPageBreak/>
        <w:t>proxy for investor anxiety derived from tracking options prices on S&amp;P 500 stocks, closed at 39.16 on Thursday, February 27</w:t>
      </w:r>
      <w:r w:rsidRPr="0050577D">
        <w:rPr>
          <w:vertAlign w:val="superscript"/>
        </w:rPr>
        <w:t>th</w:t>
      </w:r>
      <w:r>
        <w:t>, more than 1.5 times its level one week prior. In the course of the selloff, the market demonstrated an appetite for safer investments, pushing long-term treasury bond prices up and yields down.</w:t>
      </w:r>
      <w:r w:rsidRPr="0050577D">
        <w:t xml:space="preserve"> </w:t>
      </w:r>
      <w:r>
        <w:t>The Chairman of the Federal Reserve, Jerome Powell, indicated that the Fed would “act as appropriate” to mitigate the nation’s economic effects of the coronavirus outbreak. On Tuesday, March 3</w:t>
      </w:r>
      <w:r w:rsidRPr="00D661D8">
        <w:rPr>
          <w:vertAlign w:val="superscript"/>
        </w:rPr>
        <w:t>rd</w:t>
      </w:r>
      <w:r>
        <w:t>, the Fed cut target interest rates by 50 basis points to a range of 1.0% to 1.25% in response to the risks posed by the novel coronavirus to economic stability; it was the first emergency rate cut in over 11 years.</w:t>
      </w:r>
    </w:p>
    <w:p w14:paraId="55B0FCC4" w14:textId="77777777" w:rsidR="006E6C82" w:rsidRDefault="006E6C82" w:rsidP="006E6C82"/>
    <w:p w14:paraId="3DA5A3C9" w14:textId="77777777" w:rsidR="002308A9" w:rsidRDefault="002308A9">
      <w:pPr>
        <w:rPr>
          <w:rFonts w:asciiTheme="majorHAnsi" w:eastAsiaTheme="majorEastAsia" w:hAnsiTheme="majorHAnsi" w:cstheme="majorBidi"/>
          <w:color w:val="008FD5"/>
          <w:sz w:val="36"/>
          <w:szCs w:val="32"/>
        </w:rPr>
      </w:pPr>
      <w:r>
        <w:br w:type="page"/>
      </w:r>
    </w:p>
    <w:p w14:paraId="06681FA3" w14:textId="77777777" w:rsidR="004B0605" w:rsidRPr="0017465F" w:rsidRDefault="004B0605" w:rsidP="004B0605">
      <w:pPr>
        <w:pStyle w:val="Heading1"/>
      </w:pPr>
      <w:r w:rsidRPr="0017465F">
        <w:lastRenderedPageBreak/>
        <w:t>About This Report</w:t>
      </w:r>
    </w:p>
    <w:p w14:paraId="63925933" w14:textId="77777777" w:rsidR="004B0605" w:rsidRDefault="004B0605" w:rsidP="004B0605">
      <w:r w:rsidRPr="0017465F">
        <w:t xml:space="preserve">The </w:t>
      </w:r>
      <w:r w:rsidRPr="0017465F">
        <w:rPr>
          <w:i/>
        </w:rPr>
        <w:t>Quarterly Economic Update</w:t>
      </w:r>
      <w:r w:rsidRPr="0017465F">
        <w:t xml:space="preserve"> is a free publication sponsored by </w:t>
      </w:r>
      <w:proofErr w:type="spellStart"/>
      <w:r w:rsidRPr="0017465F">
        <w:t>TagniFi</w:t>
      </w:r>
      <w:proofErr w:type="spellEnd"/>
      <w:r w:rsidRPr="0017465F">
        <w:t xml:space="preserve">. You are free to share this report and include its contents in the economic outlook section of your valuation reports as required by </w:t>
      </w:r>
      <w:r w:rsidRPr="0017465F">
        <w:rPr>
          <w:i/>
        </w:rPr>
        <w:t>Revenue Ruling 59-60</w:t>
      </w:r>
      <w:r w:rsidRPr="0017465F">
        <w:t xml:space="preserve">. Please forward this free report to a colleague to help us spread the word about </w:t>
      </w:r>
      <w:proofErr w:type="spellStart"/>
      <w:r w:rsidRPr="0017465F">
        <w:t>TagniFi</w:t>
      </w:r>
      <w:proofErr w:type="spellEnd"/>
      <w:r w:rsidRPr="0017465F">
        <w:t>.</w:t>
      </w:r>
    </w:p>
    <w:p w14:paraId="0074E115" w14:textId="77777777" w:rsidR="004B0605" w:rsidRDefault="004B0605" w:rsidP="004B0605">
      <w:pPr>
        <w:pStyle w:val="Heading1"/>
      </w:pPr>
      <w:bookmarkStart w:id="1" w:name="_Hlk31896782"/>
      <w:r>
        <w:t xml:space="preserve">About </w:t>
      </w:r>
      <w:proofErr w:type="spellStart"/>
      <w:r>
        <w:t>TagniFi</w:t>
      </w:r>
      <w:proofErr w:type="spellEnd"/>
    </w:p>
    <w:bookmarkEnd w:id="1"/>
    <w:p w14:paraId="1EEB9728" w14:textId="77777777" w:rsidR="004B0605" w:rsidRDefault="004B0605" w:rsidP="004B0605">
      <w:r>
        <w:t xml:space="preserve">In July 2015 we released our first dataset, </w:t>
      </w:r>
      <w:proofErr w:type="spellStart"/>
      <w:r>
        <w:t>TagniFi</w:t>
      </w:r>
      <w:proofErr w:type="spellEnd"/>
      <w:r>
        <w:t xml:space="preserve"> Fundamentals, because we thought investors and finance professionals needed a better solution for financial data. Since then our mission has remained the same: to serve our clients with the best financial data available at a reasonable price. We do this by developing innovative solutions to leverage tagged financial statements which allow us to deliver better, faster and more detailed data at a fraction of the cost.</w:t>
      </w:r>
    </w:p>
    <w:p w14:paraId="4F1299AC" w14:textId="77777777" w:rsidR="004B0605" w:rsidRDefault="004B0605" w:rsidP="004B0605">
      <w:r>
        <w:t xml:space="preserve">Today </w:t>
      </w:r>
      <w:proofErr w:type="spellStart"/>
      <w:r>
        <w:t>TagniFi</w:t>
      </w:r>
      <w:proofErr w:type="spellEnd"/>
      <w:r>
        <w:t xml:space="preserve"> is a platform of financial data aimed at making our clients more productive and prosperous. We're helping clients in all corners of finance make better decisions with better data. We relentlessly focus on quality and the trust we've earned from our clients is our greatest asset. Our growth is centered around our clients' needs as we look to expand our platform with new data. Referrals from our existing clients is the ultimate compliment so we choose to invest in our product, not flashy marketing </w:t>
      </w:r>
      <w:proofErr w:type="spellStart"/>
      <w:r>
        <w:t>campaigns.</w:t>
      </w:r>
      <w:r w:rsidRPr="0017465F">
        <w:t>For</w:t>
      </w:r>
      <w:proofErr w:type="spellEnd"/>
      <w:r w:rsidRPr="0017465F">
        <w:t xml:space="preserve"> more information on </w:t>
      </w:r>
      <w:proofErr w:type="spellStart"/>
      <w:r w:rsidRPr="0017465F">
        <w:t>TagniFi</w:t>
      </w:r>
      <w:proofErr w:type="spellEnd"/>
      <w:r w:rsidRPr="0017465F">
        <w:t xml:space="preserve">, please visit </w:t>
      </w:r>
      <w:hyperlink r:id="rId11" w:history="1">
        <w:r w:rsidRPr="0017465F">
          <w:rPr>
            <w:rStyle w:val="Hyperlink"/>
          </w:rPr>
          <w:t>www.tagnifi.com</w:t>
        </w:r>
      </w:hyperlink>
      <w:r w:rsidRPr="0017465F">
        <w:t>.</w:t>
      </w:r>
    </w:p>
    <w:p w14:paraId="179E2D0C" w14:textId="77777777" w:rsidR="004B0605" w:rsidRPr="00964DD4" w:rsidRDefault="004B0605" w:rsidP="004B0605">
      <w:pPr>
        <w:rPr>
          <w:rFonts w:ascii="Calibri Light" w:hAnsi="Calibri Light" w:cs="Calibri Light"/>
          <w:color w:val="008FD5"/>
          <w:sz w:val="36"/>
          <w:szCs w:val="36"/>
        </w:rPr>
      </w:pPr>
      <w:r w:rsidRPr="00964DD4">
        <w:rPr>
          <w:rFonts w:ascii="Calibri Light" w:hAnsi="Calibri Light" w:cs="Calibri Light"/>
          <w:color w:val="008FD5"/>
          <w:sz w:val="36"/>
          <w:szCs w:val="36"/>
        </w:rPr>
        <w:t xml:space="preserve">How </w:t>
      </w:r>
      <w:proofErr w:type="spellStart"/>
      <w:r w:rsidRPr="00964DD4">
        <w:rPr>
          <w:rFonts w:ascii="Calibri Light" w:hAnsi="Calibri Light" w:cs="Calibri Light"/>
          <w:color w:val="008FD5"/>
          <w:sz w:val="36"/>
          <w:szCs w:val="36"/>
        </w:rPr>
        <w:t>TagniFi</w:t>
      </w:r>
      <w:proofErr w:type="spellEnd"/>
      <w:r w:rsidRPr="00964DD4">
        <w:rPr>
          <w:rFonts w:ascii="Calibri Light" w:hAnsi="Calibri Light" w:cs="Calibri Light"/>
          <w:color w:val="008FD5"/>
          <w:sz w:val="36"/>
          <w:szCs w:val="36"/>
        </w:rPr>
        <w:t xml:space="preserve"> Automates Business Valuation</w:t>
      </w:r>
    </w:p>
    <w:p w14:paraId="2A32E127" w14:textId="77777777" w:rsidR="004B0605" w:rsidRDefault="004B0605" w:rsidP="004B0605">
      <w:proofErr w:type="spellStart"/>
      <w:r w:rsidRPr="00964DD4">
        <w:t>TagniFi’s</w:t>
      </w:r>
      <w:proofErr w:type="spellEnd"/>
      <w:r w:rsidRPr="00964DD4">
        <w:t xml:space="preserve"> financial data platform empowers business valuation professionals to quickly and easily build highly accurate financial models with full transparency—and within seconds.</w:t>
      </w:r>
    </w:p>
    <w:p w14:paraId="7CF46D0E" w14:textId="77777777" w:rsidR="004B0605" w:rsidRDefault="004B0605" w:rsidP="004B0605"/>
    <w:p w14:paraId="4808B4C3" w14:textId="77777777" w:rsidR="004B0605" w:rsidRDefault="004B0605" w:rsidP="004B0605">
      <w:r w:rsidRPr="004C20AB">
        <w:rPr>
          <w:b/>
          <w:bCs/>
        </w:rPr>
        <w:t>Public Comps</w:t>
      </w:r>
      <w:r>
        <w:br/>
      </w:r>
      <w:r>
        <w:rPr>
          <w:noProof/>
        </w:rPr>
        <w:drawing>
          <wp:anchor distT="0" distB="0" distL="114300" distR="114300" simplePos="0" relativeHeight="251660800" behindDoc="0" locked="0" layoutInCell="1" allowOverlap="1" wp14:anchorId="2E45CBA9" wp14:editId="46A2F167">
            <wp:simplePos x="0" y="0"/>
            <wp:positionH relativeFrom="column">
              <wp:posOffset>0</wp:posOffset>
            </wp:positionH>
            <wp:positionV relativeFrom="paragraph">
              <wp:posOffset>2540</wp:posOffset>
            </wp:positionV>
            <wp:extent cx="2162175" cy="16216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621631"/>
                    </a:xfrm>
                    <a:prstGeom prst="rect">
                      <a:avLst/>
                    </a:prstGeom>
                    <a:noFill/>
                    <a:ln>
                      <a:noFill/>
                    </a:ln>
                  </pic:spPr>
                </pic:pic>
              </a:graphicData>
            </a:graphic>
          </wp:anchor>
        </w:drawing>
      </w:r>
      <w:r w:rsidRPr="004C20AB">
        <w:t xml:space="preserve">Search for public companies with </w:t>
      </w:r>
      <w:proofErr w:type="spellStart"/>
      <w:r w:rsidRPr="004C20AB">
        <w:t>TagniFi</w:t>
      </w:r>
      <w:proofErr w:type="spellEnd"/>
      <w:r w:rsidRPr="004C20AB">
        <w:t xml:space="preserve"> Web. Simply enter your valuation date and ticker symbols in Excel to run a guideline public company method.</w:t>
      </w:r>
      <w:r>
        <w:t xml:space="preserve"> Your Excel model populates instantly with the financial statements, analyst estimates, interest rates and economic data for your valuation date. </w:t>
      </w:r>
    </w:p>
    <w:p w14:paraId="110B6E4A" w14:textId="77777777" w:rsidR="004B0605" w:rsidRDefault="004B0605" w:rsidP="004B0605"/>
    <w:p w14:paraId="7E92D15D" w14:textId="77777777" w:rsidR="004B0605" w:rsidRDefault="004B0605" w:rsidP="004B0605"/>
    <w:p w14:paraId="6176DDBC" w14:textId="77777777" w:rsidR="004B0605" w:rsidRDefault="004B0605" w:rsidP="004B0605">
      <w:r w:rsidRPr="004C20AB">
        <w:rPr>
          <w:b/>
          <w:bCs/>
          <w:noProof/>
        </w:rPr>
        <w:lastRenderedPageBreak/>
        <w:drawing>
          <wp:anchor distT="0" distB="0" distL="114300" distR="114300" simplePos="0" relativeHeight="251661824" behindDoc="0" locked="0" layoutInCell="1" allowOverlap="1" wp14:anchorId="7413E28B" wp14:editId="39E6DE71">
            <wp:simplePos x="0" y="0"/>
            <wp:positionH relativeFrom="column">
              <wp:posOffset>3524250</wp:posOffset>
            </wp:positionH>
            <wp:positionV relativeFrom="paragraph">
              <wp:posOffset>-478790</wp:posOffset>
            </wp:positionV>
            <wp:extent cx="2152650" cy="1614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614170"/>
                    </a:xfrm>
                    <a:prstGeom prst="rect">
                      <a:avLst/>
                    </a:prstGeom>
                    <a:noFill/>
                    <a:ln>
                      <a:noFill/>
                    </a:ln>
                  </pic:spPr>
                </pic:pic>
              </a:graphicData>
            </a:graphic>
          </wp:anchor>
        </w:drawing>
      </w:r>
      <w:r w:rsidRPr="004C20AB">
        <w:rPr>
          <w:b/>
          <w:bCs/>
        </w:rPr>
        <w:t>Transaction Comps</w:t>
      </w:r>
      <w:r>
        <w:br/>
      </w:r>
      <w:r w:rsidRPr="004C20AB">
        <w:t xml:space="preserve">Search for public and private M&amp;A transactions with </w:t>
      </w:r>
      <w:proofErr w:type="spellStart"/>
      <w:r w:rsidRPr="004C20AB">
        <w:t>TagniFi</w:t>
      </w:r>
      <w:proofErr w:type="spellEnd"/>
      <w:r w:rsidRPr="004C20AB">
        <w:t xml:space="preserve"> Web. Run your transaction comps within seconds by pasting the Deal ID into your Excel model.</w:t>
      </w:r>
      <w:r>
        <w:t xml:space="preserve"> Every deal disclosed in an SEC filing (8-K, 10-K, or 10-Q) is available for your analysis. Choose from over 90 fields of data available for every deal. </w:t>
      </w:r>
    </w:p>
    <w:p w14:paraId="2825665E" w14:textId="77777777" w:rsidR="004B0605" w:rsidRDefault="004B0605" w:rsidP="004B0605">
      <w:pPr>
        <w:rPr>
          <w:b/>
          <w:bCs/>
        </w:rPr>
      </w:pPr>
      <w:r w:rsidRPr="004C20AB">
        <w:rPr>
          <w:b/>
          <w:bCs/>
          <w:noProof/>
        </w:rPr>
        <w:drawing>
          <wp:anchor distT="0" distB="0" distL="114300" distR="114300" simplePos="0" relativeHeight="251662848" behindDoc="0" locked="0" layoutInCell="1" allowOverlap="1" wp14:anchorId="68F056E9" wp14:editId="67431BE2">
            <wp:simplePos x="0" y="0"/>
            <wp:positionH relativeFrom="margin">
              <wp:align>left</wp:align>
            </wp:positionH>
            <wp:positionV relativeFrom="paragraph">
              <wp:posOffset>274320</wp:posOffset>
            </wp:positionV>
            <wp:extent cx="2256790" cy="15595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7877"/>
                    <a:stretch/>
                  </pic:blipFill>
                  <pic:spPr bwMode="auto">
                    <a:xfrm>
                      <a:off x="0" y="0"/>
                      <a:ext cx="2256790" cy="15595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D4DB4C" w14:textId="77777777" w:rsidR="004B0605" w:rsidRDefault="004B0605" w:rsidP="004B0605">
      <w:r w:rsidRPr="004C20AB">
        <w:rPr>
          <w:b/>
          <w:bCs/>
        </w:rPr>
        <w:t>Historical Beta and Volatility</w:t>
      </w:r>
      <w:r w:rsidRPr="004C20AB">
        <w:rPr>
          <w:b/>
          <w:bCs/>
        </w:rPr>
        <w:br/>
      </w:r>
      <w:r w:rsidRPr="004C20AB">
        <w:t xml:space="preserve">Calculate historical beta and volatility as of your valuation date automatically. Simply enter the tickers and valuation date in Excel </w:t>
      </w:r>
      <w:r>
        <w:t>-</w:t>
      </w:r>
      <w:r w:rsidRPr="004C20AB">
        <w:t xml:space="preserve"> </w:t>
      </w:r>
      <w:proofErr w:type="spellStart"/>
      <w:r w:rsidRPr="004C20AB">
        <w:t>TagniFi</w:t>
      </w:r>
      <w:proofErr w:type="spellEnd"/>
      <w:r w:rsidRPr="004C20AB">
        <w:t xml:space="preserve"> does the rest.</w:t>
      </w:r>
      <w:r>
        <w:t xml:space="preserve"> In addition to beta and volatility, there are over 40 Excel models available in the Model Library to help with your valuation report. </w:t>
      </w:r>
    </w:p>
    <w:p w14:paraId="29EDC076" w14:textId="77777777" w:rsidR="004B0605" w:rsidRDefault="004B0605" w:rsidP="004B0605"/>
    <w:p w14:paraId="20FD3E25" w14:textId="77777777" w:rsidR="004B0605" w:rsidRPr="004C20AB" w:rsidRDefault="004B0605" w:rsidP="004B0605">
      <w:pPr>
        <w:rPr>
          <w:b/>
          <w:bCs/>
        </w:rPr>
      </w:pPr>
      <w:r>
        <w:rPr>
          <w:noProof/>
        </w:rPr>
        <w:drawing>
          <wp:anchor distT="0" distB="0" distL="114300" distR="114300" simplePos="0" relativeHeight="251663872" behindDoc="0" locked="0" layoutInCell="1" allowOverlap="1" wp14:anchorId="149194E1" wp14:editId="3009452B">
            <wp:simplePos x="0" y="0"/>
            <wp:positionH relativeFrom="margin">
              <wp:align>right</wp:align>
            </wp:positionH>
            <wp:positionV relativeFrom="paragraph">
              <wp:posOffset>10160</wp:posOffset>
            </wp:positionV>
            <wp:extent cx="2219325" cy="166449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664494"/>
                    </a:xfrm>
                    <a:prstGeom prst="rect">
                      <a:avLst/>
                    </a:prstGeom>
                    <a:noFill/>
                    <a:ln>
                      <a:noFill/>
                    </a:ln>
                  </pic:spPr>
                </pic:pic>
              </a:graphicData>
            </a:graphic>
          </wp:anchor>
        </w:drawing>
      </w:r>
      <w:r>
        <w:rPr>
          <w:b/>
          <w:bCs/>
        </w:rPr>
        <w:t>Interest Rates and Economic Date</w:t>
      </w:r>
      <w:r>
        <w:rPr>
          <w:b/>
          <w:bCs/>
        </w:rPr>
        <w:br/>
      </w:r>
      <w:r w:rsidRPr="003B0B22">
        <w:t xml:space="preserve">Automate the interest rates and economic data in your valuation report using the </w:t>
      </w:r>
      <w:proofErr w:type="spellStart"/>
      <w:r w:rsidRPr="003B0B22">
        <w:t>TagniFi</w:t>
      </w:r>
      <w:proofErr w:type="spellEnd"/>
      <w:r w:rsidRPr="003B0B22">
        <w:t xml:space="preserve"> Excel plugin. Choose from over 200,000 time series available.</w:t>
      </w:r>
      <w:r>
        <w:t xml:space="preserve"> All data in this </w:t>
      </w:r>
      <w:r w:rsidRPr="003B0B22">
        <w:rPr>
          <w:i/>
          <w:iCs/>
        </w:rPr>
        <w:t>Quarterly Economic Update</w:t>
      </w:r>
      <w:r>
        <w:t xml:space="preserve"> is from the </w:t>
      </w:r>
      <w:proofErr w:type="spellStart"/>
      <w:r>
        <w:t>TagniFi</w:t>
      </w:r>
      <w:proofErr w:type="spellEnd"/>
      <w:r>
        <w:t xml:space="preserve"> platform. Use economic and interest rate date for your own valuation models with the </w:t>
      </w:r>
      <w:proofErr w:type="spellStart"/>
      <w:r>
        <w:t>TagniFi</w:t>
      </w:r>
      <w:proofErr w:type="spellEnd"/>
      <w:r>
        <w:t xml:space="preserve"> Excel plugin.</w:t>
      </w:r>
    </w:p>
    <w:p w14:paraId="149D5FB6" w14:textId="6FF0DD56" w:rsidR="003E5CFB" w:rsidRDefault="003E5CFB" w:rsidP="004B0605">
      <w:pPr>
        <w:pStyle w:val="Heading1"/>
      </w:pPr>
    </w:p>
    <w:sectPr w:rsidR="003E5CFB" w:rsidSect="00005111">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72DC" w16cex:dateUtc="2020-03-04T2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922D" w14:textId="77777777" w:rsidR="00E643AB" w:rsidRDefault="00E643AB" w:rsidP="00171C8E">
      <w:pPr>
        <w:spacing w:after="0" w:line="240" w:lineRule="auto"/>
      </w:pPr>
      <w:r>
        <w:separator/>
      </w:r>
    </w:p>
  </w:endnote>
  <w:endnote w:type="continuationSeparator" w:id="0">
    <w:p w14:paraId="7D093EA9" w14:textId="77777777" w:rsidR="00E643AB" w:rsidRDefault="00E643AB" w:rsidP="0017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5FE8" w14:textId="540E2733" w:rsidR="00BA05F4" w:rsidRDefault="00BA05F4">
    <w:pPr>
      <w:pStyle w:val="Footer"/>
    </w:pPr>
    <w:r>
      <w:t xml:space="preserve">© 2019 </w:t>
    </w:r>
    <w:proofErr w:type="spellStart"/>
    <w:r>
      <w:t>TagniFi</w:t>
    </w:r>
    <w:proofErr w:type="spellEnd"/>
    <w:r>
      <w:t>, LLC. All rights reserved.</w:t>
    </w:r>
    <w:r>
      <w:tab/>
    </w:r>
    <w:r>
      <w:tab/>
      <w:t xml:space="preserve">Page </w:t>
    </w: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3D88" w14:textId="77777777" w:rsidR="00E643AB" w:rsidRDefault="00E643AB" w:rsidP="00171C8E">
      <w:pPr>
        <w:spacing w:after="0" w:line="240" w:lineRule="auto"/>
      </w:pPr>
      <w:r>
        <w:separator/>
      </w:r>
    </w:p>
  </w:footnote>
  <w:footnote w:type="continuationSeparator" w:id="0">
    <w:p w14:paraId="016DE666" w14:textId="77777777" w:rsidR="00E643AB" w:rsidRDefault="00E643AB" w:rsidP="00171C8E">
      <w:pPr>
        <w:spacing w:after="0" w:line="240" w:lineRule="auto"/>
      </w:pPr>
      <w:r>
        <w:continuationSeparator/>
      </w:r>
    </w:p>
  </w:footnote>
  <w:footnote w:id="1">
    <w:p w14:paraId="3660EBB3" w14:textId="77777777" w:rsidR="006E6C82" w:rsidRPr="0050577D" w:rsidRDefault="006E6C82" w:rsidP="006E6C82">
      <w:pPr>
        <w:rPr>
          <w:rFonts w:ascii="Times New Roman" w:eastAsia="Times New Roman" w:hAnsi="Times New Roman" w:cs="Times New Roman"/>
          <w:szCs w:val="24"/>
        </w:rPr>
      </w:pPr>
      <w:r>
        <w:rPr>
          <w:rStyle w:val="FootnoteReference"/>
        </w:rPr>
        <w:footnoteRef/>
      </w:r>
      <w:r>
        <w:t xml:space="preserve"> </w:t>
      </w:r>
      <w:r w:rsidRPr="0050577D">
        <w:rPr>
          <w:sz w:val="16"/>
          <w:szCs w:val="16"/>
          <w:lang w:val="en-PH"/>
        </w:rPr>
        <w:t xml:space="preserve">S&amp;P Dow Jones Indices LLC, Dow Jones Industrial Average [DJIA], retrieved from FRED, Federal Reserve Bank of St. Louis; </w:t>
      </w:r>
      <w:hyperlink r:id="rId1" w:history="1">
        <w:r w:rsidRPr="00F424DA">
          <w:rPr>
            <w:rStyle w:val="Hyperlink"/>
            <w:sz w:val="16"/>
            <w:szCs w:val="16"/>
            <w:lang w:val="en-PH"/>
          </w:rPr>
          <w:t>https://fred.stlouisfed.org/series/DJIA</w:t>
        </w:r>
      </w:hyperlink>
      <w:r w:rsidRPr="0050577D">
        <w:rPr>
          <w:sz w:val="16"/>
          <w:szCs w:val="16"/>
          <w:lang w:val="en-PH"/>
        </w:rPr>
        <w:t>, Mar 1, 2020.</w:t>
      </w:r>
    </w:p>
  </w:footnote>
  <w:footnote w:id="2">
    <w:p w14:paraId="3F3F0906" w14:textId="77777777" w:rsidR="006E6C82" w:rsidRDefault="006E6C82" w:rsidP="006E6C82">
      <w:pPr>
        <w:pStyle w:val="FootnoteText"/>
      </w:pPr>
      <w:r>
        <w:rPr>
          <w:rStyle w:val="FootnoteReference"/>
        </w:rPr>
        <w:footnoteRef/>
      </w:r>
      <w:r>
        <w:t xml:space="preserve"> </w:t>
      </w:r>
      <w:r w:rsidRPr="0007515A">
        <w:rPr>
          <w:sz w:val="16"/>
          <w:szCs w:val="16"/>
        </w:rPr>
        <w:t xml:space="preserve">Chicago Board Options Exchange, CBOE Volatility Index: VIX [VIXCLS], retrieved from FRED, Federal Reserve Bank of St. Louis; </w:t>
      </w:r>
      <w:hyperlink r:id="rId2" w:history="1">
        <w:r w:rsidRPr="0077461D">
          <w:rPr>
            <w:rStyle w:val="Hyperlink"/>
            <w:sz w:val="16"/>
            <w:szCs w:val="16"/>
          </w:rPr>
          <w:t>https://fred.stlouisfed.org/series/VIXCLS</w:t>
        </w:r>
      </w:hyperlink>
      <w:r w:rsidRPr="0007515A">
        <w:rPr>
          <w:sz w:val="16"/>
          <w:szCs w:val="16"/>
        </w:rPr>
        <w:t xml:space="preserve">, </w:t>
      </w:r>
      <w:r>
        <w:rPr>
          <w:sz w:val="16"/>
          <w:szCs w:val="16"/>
        </w:rPr>
        <w:t>Mar 1, 2020</w:t>
      </w:r>
      <w:r w:rsidRPr="0007515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5FE7" w14:textId="77777777" w:rsidR="00BA05F4" w:rsidRPr="00460436" w:rsidRDefault="00BA05F4" w:rsidP="00460436">
    <w:pPr>
      <w:pStyle w:val="Header"/>
      <w:jc w:val="right"/>
      <w:rPr>
        <w:rStyle w:val="IntenseEmphasis"/>
      </w:rPr>
    </w:pPr>
    <w:r w:rsidRPr="00460436">
      <w:rPr>
        <w:rStyle w:val="IntenseEmphasis"/>
      </w:rPr>
      <w:t>Quarterly Economic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2D28"/>
    <w:multiLevelType w:val="hybridMultilevel"/>
    <w:tmpl w:val="3C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54B19"/>
    <w:multiLevelType w:val="hybridMultilevel"/>
    <w:tmpl w:val="82C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907BB"/>
    <w:multiLevelType w:val="hybridMultilevel"/>
    <w:tmpl w:val="A0F6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E6018"/>
    <w:multiLevelType w:val="hybridMultilevel"/>
    <w:tmpl w:val="62A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11"/>
    <w:rsid w:val="0000055B"/>
    <w:rsid w:val="000017CB"/>
    <w:rsid w:val="00005111"/>
    <w:rsid w:val="00014CBA"/>
    <w:rsid w:val="00021EA4"/>
    <w:rsid w:val="00022BB4"/>
    <w:rsid w:val="000248D0"/>
    <w:rsid w:val="00024E64"/>
    <w:rsid w:val="0002602B"/>
    <w:rsid w:val="00027E1E"/>
    <w:rsid w:val="00030ECA"/>
    <w:rsid w:val="0003136B"/>
    <w:rsid w:val="000322F4"/>
    <w:rsid w:val="00033B75"/>
    <w:rsid w:val="00035810"/>
    <w:rsid w:val="0003611B"/>
    <w:rsid w:val="00046A04"/>
    <w:rsid w:val="00047034"/>
    <w:rsid w:val="00047E74"/>
    <w:rsid w:val="0005198D"/>
    <w:rsid w:val="00052F94"/>
    <w:rsid w:val="00053E46"/>
    <w:rsid w:val="0005726F"/>
    <w:rsid w:val="00057711"/>
    <w:rsid w:val="00060AA5"/>
    <w:rsid w:val="00061DAA"/>
    <w:rsid w:val="000644DB"/>
    <w:rsid w:val="000650B3"/>
    <w:rsid w:val="00065E14"/>
    <w:rsid w:val="00071875"/>
    <w:rsid w:val="00072C36"/>
    <w:rsid w:val="000738AD"/>
    <w:rsid w:val="00074123"/>
    <w:rsid w:val="000742F7"/>
    <w:rsid w:val="0007515A"/>
    <w:rsid w:val="00076850"/>
    <w:rsid w:val="000807FF"/>
    <w:rsid w:val="00084604"/>
    <w:rsid w:val="00084608"/>
    <w:rsid w:val="00084C45"/>
    <w:rsid w:val="000874E3"/>
    <w:rsid w:val="00090DA6"/>
    <w:rsid w:val="00093D9A"/>
    <w:rsid w:val="00093EF4"/>
    <w:rsid w:val="0009699C"/>
    <w:rsid w:val="000A0001"/>
    <w:rsid w:val="000A0FCA"/>
    <w:rsid w:val="000A1224"/>
    <w:rsid w:val="000A239B"/>
    <w:rsid w:val="000A3240"/>
    <w:rsid w:val="000A79DC"/>
    <w:rsid w:val="000B0583"/>
    <w:rsid w:val="000B0B86"/>
    <w:rsid w:val="000B42F9"/>
    <w:rsid w:val="000B4F85"/>
    <w:rsid w:val="000B5DA2"/>
    <w:rsid w:val="000B6EBB"/>
    <w:rsid w:val="000C1495"/>
    <w:rsid w:val="000C19DD"/>
    <w:rsid w:val="000C2E7D"/>
    <w:rsid w:val="000C6EEB"/>
    <w:rsid w:val="000C71C7"/>
    <w:rsid w:val="000D47AB"/>
    <w:rsid w:val="000D5719"/>
    <w:rsid w:val="000D646D"/>
    <w:rsid w:val="000D7BDC"/>
    <w:rsid w:val="000E1BAA"/>
    <w:rsid w:val="000E3192"/>
    <w:rsid w:val="000E6A61"/>
    <w:rsid w:val="000F1648"/>
    <w:rsid w:val="000F4AC6"/>
    <w:rsid w:val="000F59FF"/>
    <w:rsid w:val="001009B9"/>
    <w:rsid w:val="00100DF8"/>
    <w:rsid w:val="00102080"/>
    <w:rsid w:val="0010260B"/>
    <w:rsid w:val="00105413"/>
    <w:rsid w:val="00107AB4"/>
    <w:rsid w:val="001116CA"/>
    <w:rsid w:val="00113C90"/>
    <w:rsid w:val="001149CD"/>
    <w:rsid w:val="00115717"/>
    <w:rsid w:val="00116B91"/>
    <w:rsid w:val="00117BB0"/>
    <w:rsid w:val="00121E2F"/>
    <w:rsid w:val="00122842"/>
    <w:rsid w:val="001235D8"/>
    <w:rsid w:val="001277B9"/>
    <w:rsid w:val="00131885"/>
    <w:rsid w:val="00134A21"/>
    <w:rsid w:val="00140712"/>
    <w:rsid w:val="00140763"/>
    <w:rsid w:val="00140FEE"/>
    <w:rsid w:val="001418BA"/>
    <w:rsid w:val="001451F8"/>
    <w:rsid w:val="001460CC"/>
    <w:rsid w:val="001475FF"/>
    <w:rsid w:val="001511FF"/>
    <w:rsid w:val="00152CEC"/>
    <w:rsid w:val="001545F2"/>
    <w:rsid w:val="00155E88"/>
    <w:rsid w:val="00156FE4"/>
    <w:rsid w:val="0016088B"/>
    <w:rsid w:val="00163F37"/>
    <w:rsid w:val="0016688A"/>
    <w:rsid w:val="00166C08"/>
    <w:rsid w:val="00166F90"/>
    <w:rsid w:val="00171C8E"/>
    <w:rsid w:val="00172307"/>
    <w:rsid w:val="001744C6"/>
    <w:rsid w:val="0017465F"/>
    <w:rsid w:val="00174B44"/>
    <w:rsid w:val="00174BCD"/>
    <w:rsid w:val="00174CC3"/>
    <w:rsid w:val="001756EC"/>
    <w:rsid w:val="0017576B"/>
    <w:rsid w:val="001773AA"/>
    <w:rsid w:val="0018096F"/>
    <w:rsid w:val="001819E6"/>
    <w:rsid w:val="00183B61"/>
    <w:rsid w:val="00186318"/>
    <w:rsid w:val="001868CB"/>
    <w:rsid w:val="00187669"/>
    <w:rsid w:val="00193436"/>
    <w:rsid w:val="00195B12"/>
    <w:rsid w:val="001A4F9E"/>
    <w:rsid w:val="001A6C86"/>
    <w:rsid w:val="001B1490"/>
    <w:rsid w:val="001B4B76"/>
    <w:rsid w:val="001C0F2A"/>
    <w:rsid w:val="001C1070"/>
    <w:rsid w:val="001C14A1"/>
    <w:rsid w:val="001C38B9"/>
    <w:rsid w:val="001C7617"/>
    <w:rsid w:val="001D7D8D"/>
    <w:rsid w:val="001E04F8"/>
    <w:rsid w:val="001E42A6"/>
    <w:rsid w:val="001E7445"/>
    <w:rsid w:val="001F7970"/>
    <w:rsid w:val="0020145F"/>
    <w:rsid w:val="00204D9D"/>
    <w:rsid w:val="0021377C"/>
    <w:rsid w:val="00217AD5"/>
    <w:rsid w:val="002219B5"/>
    <w:rsid w:val="0022226D"/>
    <w:rsid w:val="002308A9"/>
    <w:rsid w:val="00230D29"/>
    <w:rsid w:val="00231FA3"/>
    <w:rsid w:val="00232336"/>
    <w:rsid w:val="002361FB"/>
    <w:rsid w:val="00236B68"/>
    <w:rsid w:val="00237901"/>
    <w:rsid w:val="002406D9"/>
    <w:rsid w:val="002435D7"/>
    <w:rsid w:val="00244C4D"/>
    <w:rsid w:val="002502D5"/>
    <w:rsid w:val="00250313"/>
    <w:rsid w:val="002521FF"/>
    <w:rsid w:val="0025222E"/>
    <w:rsid w:val="00252A9B"/>
    <w:rsid w:val="00254176"/>
    <w:rsid w:val="00255530"/>
    <w:rsid w:val="00255C32"/>
    <w:rsid w:val="0025666D"/>
    <w:rsid w:val="002608F3"/>
    <w:rsid w:val="0026329B"/>
    <w:rsid w:val="00265131"/>
    <w:rsid w:val="0026599C"/>
    <w:rsid w:val="002731EF"/>
    <w:rsid w:val="002775DB"/>
    <w:rsid w:val="002817E1"/>
    <w:rsid w:val="0028237E"/>
    <w:rsid w:val="00285F67"/>
    <w:rsid w:val="00291763"/>
    <w:rsid w:val="00291FFB"/>
    <w:rsid w:val="00292B24"/>
    <w:rsid w:val="00296BEB"/>
    <w:rsid w:val="002972D2"/>
    <w:rsid w:val="002978F9"/>
    <w:rsid w:val="002A0B80"/>
    <w:rsid w:val="002A14C5"/>
    <w:rsid w:val="002A3CB2"/>
    <w:rsid w:val="002A45E8"/>
    <w:rsid w:val="002A764F"/>
    <w:rsid w:val="002B16D0"/>
    <w:rsid w:val="002B29C7"/>
    <w:rsid w:val="002B2BBA"/>
    <w:rsid w:val="002C3C67"/>
    <w:rsid w:val="002C429F"/>
    <w:rsid w:val="002C601A"/>
    <w:rsid w:val="002C69A4"/>
    <w:rsid w:val="002D5CC3"/>
    <w:rsid w:val="002E0DC9"/>
    <w:rsid w:val="002E2644"/>
    <w:rsid w:val="002E3213"/>
    <w:rsid w:val="002E3647"/>
    <w:rsid w:val="002E4494"/>
    <w:rsid w:val="002E58CF"/>
    <w:rsid w:val="002E6FDE"/>
    <w:rsid w:val="002E7ACF"/>
    <w:rsid w:val="002F0CDA"/>
    <w:rsid w:val="002F1B2A"/>
    <w:rsid w:val="002F1B4B"/>
    <w:rsid w:val="002F1C7B"/>
    <w:rsid w:val="002F3682"/>
    <w:rsid w:val="002F3CE6"/>
    <w:rsid w:val="002F6282"/>
    <w:rsid w:val="002F63F8"/>
    <w:rsid w:val="003028B3"/>
    <w:rsid w:val="00304B4E"/>
    <w:rsid w:val="00307A87"/>
    <w:rsid w:val="0031179D"/>
    <w:rsid w:val="00314985"/>
    <w:rsid w:val="00316CBD"/>
    <w:rsid w:val="00316E8F"/>
    <w:rsid w:val="00317448"/>
    <w:rsid w:val="003175DC"/>
    <w:rsid w:val="00321AA2"/>
    <w:rsid w:val="00322C58"/>
    <w:rsid w:val="0033052C"/>
    <w:rsid w:val="003316E9"/>
    <w:rsid w:val="00332197"/>
    <w:rsid w:val="00334DE4"/>
    <w:rsid w:val="00336F2C"/>
    <w:rsid w:val="003376CD"/>
    <w:rsid w:val="00337BD8"/>
    <w:rsid w:val="00340B8A"/>
    <w:rsid w:val="003414E7"/>
    <w:rsid w:val="003477B7"/>
    <w:rsid w:val="003479C3"/>
    <w:rsid w:val="00354195"/>
    <w:rsid w:val="00360100"/>
    <w:rsid w:val="00362202"/>
    <w:rsid w:val="00363E78"/>
    <w:rsid w:val="003643F8"/>
    <w:rsid w:val="00371414"/>
    <w:rsid w:val="00372F3C"/>
    <w:rsid w:val="003802E7"/>
    <w:rsid w:val="003812D0"/>
    <w:rsid w:val="0038144F"/>
    <w:rsid w:val="00386023"/>
    <w:rsid w:val="00387C82"/>
    <w:rsid w:val="00392D01"/>
    <w:rsid w:val="00393B78"/>
    <w:rsid w:val="00394236"/>
    <w:rsid w:val="00395B3E"/>
    <w:rsid w:val="00396E51"/>
    <w:rsid w:val="0039736B"/>
    <w:rsid w:val="00397F57"/>
    <w:rsid w:val="003A0447"/>
    <w:rsid w:val="003A3D8A"/>
    <w:rsid w:val="003A4BCC"/>
    <w:rsid w:val="003A679B"/>
    <w:rsid w:val="003B0615"/>
    <w:rsid w:val="003B2BFB"/>
    <w:rsid w:val="003C1F24"/>
    <w:rsid w:val="003D112A"/>
    <w:rsid w:val="003D4159"/>
    <w:rsid w:val="003E282E"/>
    <w:rsid w:val="003E3E2D"/>
    <w:rsid w:val="003E4ACB"/>
    <w:rsid w:val="003E5CFB"/>
    <w:rsid w:val="003F2FE7"/>
    <w:rsid w:val="003F5061"/>
    <w:rsid w:val="00401A65"/>
    <w:rsid w:val="0040211C"/>
    <w:rsid w:val="00403355"/>
    <w:rsid w:val="0041138E"/>
    <w:rsid w:val="00411404"/>
    <w:rsid w:val="00411A4C"/>
    <w:rsid w:val="004134F4"/>
    <w:rsid w:val="00413EE3"/>
    <w:rsid w:val="00421F60"/>
    <w:rsid w:val="0042476E"/>
    <w:rsid w:val="00424E74"/>
    <w:rsid w:val="00427110"/>
    <w:rsid w:val="0043016A"/>
    <w:rsid w:val="00440FEB"/>
    <w:rsid w:val="00442163"/>
    <w:rsid w:val="00442BF6"/>
    <w:rsid w:val="00443A15"/>
    <w:rsid w:val="00446C08"/>
    <w:rsid w:val="004476DE"/>
    <w:rsid w:val="004506CC"/>
    <w:rsid w:val="0045095D"/>
    <w:rsid w:val="0045097E"/>
    <w:rsid w:val="004513EB"/>
    <w:rsid w:val="00451755"/>
    <w:rsid w:val="00453708"/>
    <w:rsid w:val="00454F4B"/>
    <w:rsid w:val="0045550A"/>
    <w:rsid w:val="00457E1D"/>
    <w:rsid w:val="00460436"/>
    <w:rsid w:val="00460DE2"/>
    <w:rsid w:val="00460E43"/>
    <w:rsid w:val="00463560"/>
    <w:rsid w:val="00466861"/>
    <w:rsid w:val="00467AB1"/>
    <w:rsid w:val="004709B0"/>
    <w:rsid w:val="004759DB"/>
    <w:rsid w:val="004778D8"/>
    <w:rsid w:val="00490AFD"/>
    <w:rsid w:val="00491B4B"/>
    <w:rsid w:val="00493CF1"/>
    <w:rsid w:val="004965CE"/>
    <w:rsid w:val="00496E13"/>
    <w:rsid w:val="004A0649"/>
    <w:rsid w:val="004A0ABB"/>
    <w:rsid w:val="004A4BD1"/>
    <w:rsid w:val="004B047B"/>
    <w:rsid w:val="004B0605"/>
    <w:rsid w:val="004B2BFB"/>
    <w:rsid w:val="004B3923"/>
    <w:rsid w:val="004B3B5E"/>
    <w:rsid w:val="004B7D92"/>
    <w:rsid w:val="004C587A"/>
    <w:rsid w:val="004C6B76"/>
    <w:rsid w:val="004D0515"/>
    <w:rsid w:val="004D099A"/>
    <w:rsid w:val="004D1C9D"/>
    <w:rsid w:val="004D1DA4"/>
    <w:rsid w:val="004E2AB3"/>
    <w:rsid w:val="004E2C09"/>
    <w:rsid w:val="004E3393"/>
    <w:rsid w:val="004E4A45"/>
    <w:rsid w:val="004E4B6F"/>
    <w:rsid w:val="004E5EC0"/>
    <w:rsid w:val="004E7265"/>
    <w:rsid w:val="004F1527"/>
    <w:rsid w:val="004F330B"/>
    <w:rsid w:val="004F3ADA"/>
    <w:rsid w:val="004F55C9"/>
    <w:rsid w:val="004F67A9"/>
    <w:rsid w:val="004F73C7"/>
    <w:rsid w:val="00504F45"/>
    <w:rsid w:val="0050577D"/>
    <w:rsid w:val="005117CA"/>
    <w:rsid w:val="005127D3"/>
    <w:rsid w:val="00515DB3"/>
    <w:rsid w:val="00515E9D"/>
    <w:rsid w:val="005200CA"/>
    <w:rsid w:val="0052077C"/>
    <w:rsid w:val="00525C1B"/>
    <w:rsid w:val="005261C1"/>
    <w:rsid w:val="00532A06"/>
    <w:rsid w:val="00536754"/>
    <w:rsid w:val="00536B00"/>
    <w:rsid w:val="005378C5"/>
    <w:rsid w:val="005425D7"/>
    <w:rsid w:val="00542F5A"/>
    <w:rsid w:val="005475F2"/>
    <w:rsid w:val="00551864"/>
    <w:rsid w:val="00554121"/>
    <w:rsid w:val="005554F5"/>
    <w:rsid w:val="00556EAD"/>
    <w:rsid w:val="00557239"/>
    <w:rsid w:val="00562B39"/>
    <w:rsid w:val="0056320C"/>
    <w:rsid w:val="005662B5"/>
    <w:rsid w:val="00570005"/>
    <w:rsid w:val="00570346"/>
    <w:rsid w:val="00571BD4"/>
    <w:rsid w:val="00575923"/>
    <w:rsid w:val="00576484"/>
    <w:rsid w:val="00576E9B"/>
    <w:rsid w:val="005779B7"/>
    <w:rsid w:val="00577C8E"/>
    <w:rsid w:val="005807C6"/>
    <w:rsid w:val="00580F92"/>
    <w:rsid w:val="00583BEE"/>
    <w:rsid w:val="00587C5A"/>
    <w:rsid w:val="00590322"/>
    <w:rsid w:val="005917C1"/>
    <w:rsid w:val="00594B4A"/>
    <w:rsid w:val="005954B1"/>
    <w:rsid w:val="005A693F"/>
    <w:rsid w:val="005B1168"/>
    <w:rsid w:val="005B1ACA"/>
    <w:rsid w:val="005B40E5"/>
    <w:rsid w:val="005C021F"/>
    <w:rsid w:val="005C0A6E"/>
    <w:rsid w:val="005C0D2D"/>
    <w:rsid w:val="005C493F"/>
    <w:rsid w:val="005C532B"/>
    <w:rsid w:val="005C6CD5"/>
    <w:rsid w:val="005D06C9"/>
    <w:rsid w:val="005D1E0A"/>
    <w:rsid w:val="005D3CEF"/>
    <w:rsid w:val="005D43B8"/>
    <w:rsid w:val="005D5553"/>
    <w:rsid w:val="005E19C2"/>
    <w:rsid w:val="005E306A"/>
    <w:rsid w:val="005E3622"/>
    <w:rsid w:val="005E56AE"/>
    <w:rsid w:val="005E67EF"/>
    <w:rsid w:val="005E7A94"/>
    <w:rsid w:val="005F07E9"/>
    <w:rsid w:val="005F1D7F"/>
    <w:rsid w:val="006055F4"/>
    <w:rsid w:val="006068F7"/>
    <w:rsid w:val="0061080D"/>
    <w:rsid w:val="00610894"/>
    <w:rsid w:val="0061200D"/>
    <w:rsid w:val="006130EE"/>
    <w:rsid w:val="00615B70"/>
    <w:rsid w:val="006167DB"/>
    <w:rsid w:val="00621173"/>
    <w:rsid w:val="0062162D"/>
    <w:rsid w:val="00623672"/>
    <w:rsid w:val="00624AEF"/>
    <w:rsid w:val="0062659E"/>
    <w:rsid w:val="00626DAC"/>
    <w:rsid w:val="00627C19"/>
    <w:rsid w:val="00627DE7"/>
    <w:rsid w:val="00631555"/>
    <w:rsid w:val="006342D9"/>
    <w:rsid w:val="00634787"/>
    <w:rsid w:val="00640C9C"/>
    <w:rsid w:val="00640DD5"/>
    <w:rsid w:val="00643797"/>
    <w:rsid w:val="006439EA"/>
    <w:rsid w:val="00643FBF"/>
    <w:rsid w:val="006451FA"/>
    <w:rsid w:val="0064538F"/>
    <w:rsid w:val="00650430"/>
    <w:rsid w:val="00650582"/>
    <w:rsid w:val="00651AC2"/>
    <w:rsid w:val="00654B02"/>
    <w:rsid w:val="006553D1"/>
    <w:rsid w:val="006575D2"/>
    <w:rsid w:val="00657642"/>
    <w:rsid w:val="00660A13"/>
    <w:rsid w:val="006646E8"/>
    <w:rsid w:val="00670FB1"/>
    <w:rsid w:val="0067215A"/>
    <w:rsid w:val="006748EE"/>
    <w:rsid w:val="00675F26"/>
    <w:rsid w:val="00682B7E"/>
    <w:rsid w:val="00690C93"/>
    <w:rsid w:val="00691D14"/>
    <w:rsid w:val="00694624"/>
    <w:rsid w:val="00695441"/>
    <w:rsid w:val="00695980"/>
    <w:rsid w:val="006970E9"/>
    <w:rsid w:val="006A0819"/>
    <w:rsid w:val="006A114D"/>
    <w:rsid w:val="006A6BFF"/>
    <w:rsid w:val="006B394A"/>
    <w:rsid w:val="006C28D8"/>
    <w:rsid w:val="006C7116"/>
    <w:rsid w:val="006D2660"/>
    <w:rsid w:val="006D4E8F"/>
    <w:rsid w:val="006D518C"/>
    <w:rsid w:val="006D579F"/>
    <w:rsid w:val="006E0830"/>
    <w:rsid w:val="006E4B4F"/>
    <w:rsid w:val="006E608A"/>
    <w:rsid w:val="006E69A7"/>
    <w:rsid w:val="006E6C82"/>
    <w:rsid w:val="006F060A"/>
    <w:rsid w:val="006F4DB7"/>
    <w:rsid w:val="006F6733"/>
    <w:rsid w:val="006F7FB2"/>
    <w:rsid w:val="00700166"/>
    <w:rsid w:val="00701D95"/>
    <w:rsid w:val="00703D80"/>
    <w:rsid w:val="00704E03"/>
    <w:rsid w:val="007062B8"/>
    <w:rsid w:val="007102D3"/>
    <w:rsid w:val="007110AF"/>
    <w:rsid w:val="0072697B"/>
    <w:rsid w:val="00730C3D"/>
    <w:rsid w:val="007329E1"/>
    <w:rsid w:val="0073598E"/>
    <w:rsid w:val="007361CC"/>
    <w:rsid w:val="00740863"/>
    <w:rsid w:val="00741DA8"/>
    <w:rsid w:val="00742E84"/>
    <w:rsid w:val="00743683"/>
    <w:rsid w:val="0075479C"/>
    <w:rsid w:val="00756248"/>
    <w:rsid w:val="00756A49"/>
    <w:rsid w:val="007602B9"/>
    <w:rsid w:val="00761D36"/>
    <w:rsid w:val="0076272C"/>
    <w:rsid w:val="007635CE"/>
    <w:rsid w:val="0076678E"/>
    <w:rsid w:val="0076717F"/>
    <w:rsid w:val="0077027E"/>
    <w:rsid w:val="00770759"/>
    <w:rsid w:val="007736DF"/>
    <w:rsid w:val="00773AC4"/>
    <w:rsid w:val="00773B5B"/>
    <w:rsid w:val="007807DE"/>
    <w:rsid w:val="00782F5F"/>
    <w:rsid w:val="0078488C"/>
    <w:rsid w:val="00791F5C"/>
    <w:rsid w:val="007929DB"/>
    <w:rsid w:val="00792E5D"/>
    <w:rsid w:val="00795569"/>
    <w:rsid w:val="0079609A"/>
    <w:rsid w:val="007A0574"/>
    <w:rsid w:val="007A0E93"/>
    <w:rsid w:val="007A5255"/>
    <w:rsid w:val="007A770A"/>
    <w:rsid w:val="007B0C0E"/>
    <w:rsid w:val="007B178B"/>
    <w:rsid w:val="007B3A9E"/>
    <w:rsid w:val="007B5780"/>
    <w:rsid w:val="007B7D73"/>
    <w:rsid w:val="007C1E79"/>
    <w:rsid w:val="007C4944"/>
    <w:rsid w:val="007C54CB"/>
    <w:rsid w:val="007D4FF9"/>
    <w:rsid w:val="007E3ED3"/>
    <w:rsid w:val="007E5B14"/>
    <w:rsid w:val="007E76B7"/>
    <w:rsid w:val="007F04AE"/>
    <w:rsid w:val="007F34A5"/>
    <w:rsid w:val="007F590E"/>
    <w:rsid w:val="007F5D12"/>
    <w:rsid w:val="007F67C3"/>
    <w:rsid w:val="0080028D"/>
    <w:rsid w:val="0080052B"/>
    <w:rsid w:val="00805C12"/>
    <w:rsid w:val="0080666E"/>
    <w:rsid w:val="00811606"/>
    <w:rsid w:val="00811FA7"/>
    <w:rsid w:val="008129B2"/>
    <w:rsid w:val="008162B7"/>
    <w:rsid w:val="00816313"/>
    <w:rsid w:val="00816C0F"/>
    <w:rsid w:val="00822897"/>
    <w:rsid w:val="00823A4E"/>
    <w:rsid w:val="00823E2B"/>
    <w:rsid w:val="00826AE7"/>
    <w:rsid w:val="008339F4"/>
    <w:rsid w:val="00833A07"/>
    <w:rsid w:val="00835434"/>
    <w:rsid w:val="00836176"/>
    <w:rsid w:val="00837DF2"/>
    <w:rsid w:val="0084463F"/>
    <w:rsid w:val="0084528D"/>
    <w:rsid w:val="00850A64"/>
    <w:rsid w:val="00855A46"/>
    <w:rsid w:val="008564EA"/>
    <w:rsid w:val="00857079"/>
    <w:rsid w:val="00860631"/>
    <w:rsid w:val="008636F9"/>
    <w:rsid w:val="00865CE8"/>
    <w:rsid w:val="008664EB"/>
    <w:rsid w:val="00870469"/>
    <w:rsid w:val="00873466"/>
    <w:rsid w:val="00874DE9"/>
    <w:rsid w:val="00875F25"/>
    <w:rsid w:val="0087715C"/>
    <w:rsid w:val="00877D3C"/>
    <w:rsid w:val="00882E60"/>
    <w:rsid w:val="008845A9"/>
    <w:rsid w:val="008860FC"/>
    <w:rsid w:val="00886D3A"/>
    <w:rsid w:val="008874C1"/>
    <w:rsid w:val="00890513"/>
    <w:rsid w:val="0089070C"/>
    <w:rsid w:val="00890B68"/>
    <w:rsid w:val="0089260E"/>
    <w:rsid w:val="00892D49"/>
    <w:rsid w:val="008932A3"/>
    <w:rsid w:val="00893CB8"/>
    <w:rsid w:val="00894FB2"/>
    <w:rsid w:val="00895BD8"/>
    <w:rsid w:val="0089655B"/>
    <w:rsid w:val="008972D1"/>
    <w:rsid w:val="00897BC8"/>
    <w:rsid w:val="008A0838"/>
    <w:rsid w:val="008A13E7"/>
    <w:rsid w:val="008A3F35"/>
    <w:rsid w:val="008A581A"/>
    <w:rsid w:val="008A5F7F"/>
    <w:rsid w:val="008A63E2"/>
    <w:rsid w:val="008A6630"/>
    <w:rsid w:val="008A6DB9"/>
    <w:rsid w:val="008A7D83"/>
    <w:rsid w:val="008B1963"/>
    <w:rsid w:val="008B20D0"/>
    <w:rsid w:val="008B24F2"/>
    <w:rsid w:val="008B37F0"/>
    <w:rsid w:val="008B3E4E"/>
    <w:rsid w:val="008B4702"/>
    <w:rsid w:val="008B65B4"/>
    <w:rsid w:val="008C1C56"/>
    <w:rsid w:val="008C5503"/>
    <w:rsid w:val="008C5726"/>
    <w:rsid w:val="008D1C86"/>
    <w:rsid w:val="008E270A"/>
    <w:rsid w:val="008E72E3"/>
    <w:rsid w:val="008F4B7D"/>
    <w:rsid w:val="008F4B82"/>
    <w:rsid w:val="009130AF"/>
    <w:rsid w:val="00913825"/>
    <w:rsid w:val="009141C1"/>
    <w:rsid w:val="009148CA"/>
    <w:rsid w:val="00914EA8"/>
    <w:rsid w:val="0091664E"/>
    <w:rsid w:val="009170B7"/>
    <w:rsid w:val="00920236"/>
    <w:rsid w:val="009219D9"/>
    <w:rsid w:val="0092472D"/>
    <w:rsid w:val="00925F58"/>
    <w:rsid w:val="009262AA"/>
    <w:rsid w:val="00926438"/>
    <w:rsid w:val="009323CA"/>
    <w:rsid w:val="00932DD8"/>
    <w:rsid w:val="00933213"/>
    <w:rsid w:val="00933E80"/>
    <w:rsid w:val="009343D3"/>
    <w:rsid w:val="00937D2C"/>
    <w:rsid w:val="009411C1"/>
    <w:rsid w:val="00942366"/>
    <w:rsid w:val="00943329"/>
    <w:rsid w:val="00943ED3"/>
    <w:rsid w:val="009445E7"/>
    <w:rsid w:val="0094654A"/>
    <w:rsid w:val="0094736B"/>
    <w:rsid w:val="0095004D"/>
    <w:rsid w:val="009515AA"/>
    <w:rsid w:val="00951DAA"/>
    <w:rsid w:val="009524D9"/>
    <w:rsid w:val="00953DDB"/>
    <w:rsid w:val="00960B49"/>
    <w:rsid w:val="009648C3"/>
    <w:rsid w:val="009669F1"/>
    <w:rsid w:val="0096732C"/>
    <w:rsid w:val="009675A9"/>
    <w:rsid w:val="009714E6"/>
    <w:rsid w:val="00971553"/>
    <w:rsid w:val="009717A1"/>
    <w:rsid w:val="009774D1"/>
    <w:rsid w:val="00977737"/>
    <w:rsid w:val="00981C70"/>
    <w:rsid w:val="00982B60"/>
    <w:rsid w:val="009878F0"/>
    <w:rsid w:val="00987FB6"/>
    <w:rsid w:val="00992467"/>
    <w:rsid w:val="009972A2"/>
    <w:rsid w:val="0099783F"/>
    <w:rsid w:val="009A0B29"/>
    <w:rsid w:val="009A106A"/>
    <w:rsid w:val="009A13D9"/>
    <w:rsid w:val="009A1711"/>
    <w:rsid w:val="009A181B"/>
    <w:rsid w:val="009B1B6B"/>
    <w:rsid w:val="009B2A0E"/>
    <w:rsid w:val="009B5606"/>
    <w:rsid w:val="009B603A"/>
    <w:rsid w:val="009B7956"/>
    <w:rsid w:val="009C0945"/>
    <w:rsid w:val="009C0F33"/>
    <w:rsid w:val="009C1E6B"/>
    <w:rsid w:val="009C4651"/>
    <w:rsid w:val="009C5CDE"/>
    <w:rsid w:val="009C74AB"/>
    <w:rsid w:val="009D26B5"/>
    <w:rsid w:val="009D5A7B"/>
    <w:rsid w:val="009E013E"/>
    <w:rsid w:val="009E4D8D"/>
    <w:rsid w:val="009E6453"/>
    <w:rsid w:val="009F1C9C"/>
    <w:rsid w:val="009F272A"/>
    <w:rsid w:val="009F3181"/>
    <w:rsid w:val="009F6EB6"/>
    <w:rsid w:val="009F790B"/>
    <w:rsid w:val="00A04AD3"/>
    <w:rsid w:val="00A073CB"/>
    <w:rsid w:val="00A07D5A"/>
    <w:rsid w:val="00A11CAC"/>
    <w:rsid w:val="00A223EC"/>
    <w:rsid w:val="00A2684A"/>
    <w:rsid w:val="00A27EB6"/>
    <w:rsid w:val="00A325AB"/>
    <w:rsid w:val="00A41316"/>
    <w:rsid w:val="00A45F59"/>
    <w:rsid w:val="00A5218C"/>
    <w:rsid w:val="00A52469"/>
    <w:rsid w:val="00A52E02"/>
    <w:rsid w:val="00A57EA4"/>
    <w:rsid w:val="00A60213"/>
    <w:rsid w:val="00A61C0E"/>
    <w:rsid w:val="00A645D8"/>
    <w:rsid w:val="00A72343"/>
    <w:rsid w:val="00A730DC"/>
    <w:rsid w:val="00A75687"/>
    <w:rsid w:val="00A76F02"/>
    <w:rsid w:val="00A77399"/>
    <w:rsid w:val="00A77981"/>
    <w:rsid w:val="00A82B9E"/>
    <w:rsid w:val="00A841DE"/>
    <w:rsid w:val="00A8559D"/>
    <w:rsid w:val="00A931A3"/>
    <w:rsid w:val="00A9408A"/>
    <w:rsid w:val="00A96795"/>
    <w:rsid w:val="00A96A6A"/>
    <w:rsid w:val="00A96E27"/>
    <w:rsid w:val="00AA1DAF"/>
    <w:rsid w:val="00AA2E90"/>
    <w:rsid w:val="00AA37BC"/>
    <w:rsid w:val="00AA651C"/>
    <w:rsid w:val="00AA7A1B"/>
    <w:rsid w:val="00AB498D"/>
    <w:rsid w:val="00AB4C96"/>
    <w:rsid w:val="00AB5122"/>
    <w:rsid w:val="00AB6E43"/>
    <w:rsid w:val="00AB6F46"/>
    <w:rsid w:val="00AB7603"/>
    <w:rsid w:val="00AC45F1"/>
    <w:rsid w:val="00AC6BB2"/>
    <w:rsid w:val="00AD0524"/>
    <w:rsid w:val="00AE306C"/>
    <w:rsid w:val="00AE3402"/>
    <w:rsid w:val="00AE3668"/>
    <w:rsid w:val="00AE64EF"/>
    <w:rsid w:val="00AE7215"/>
    <w:rsid w:val="00AF2763"/>
    <w:rsid w:val="00AF2BA7"/>
    <w:rsid w:val="00AF6040"/>
    <w:rsid w:val="00AF653C"/>
    <w:rsid w:val="00AF7938"/>
    <w:rsid w:val="00B0030B"/>
    <w:rsid w:val="00B00681"/>
    <w:rsid w:val="00B00E83"/>
    <w:rsid w:val="00B0395F"/>
    <w:rsid w:val="00B064A0"/>
    <w:rsid w:val="00B071DB"/>
    <w:rsid w:val="00B1388C"/>
    <w:rsid w:val="00B13FE9"/>
    <w:rsid w:val="00B162CD"/>
    <w:rsid w:val="00B23279"/>
    <w:rsid w:val="00B2585A"/>
    <w:rsid w:val="00B25898"/>
    <w:rsid w:val="00B25B77"/>
    <w:rsid w:val="00B31011"/>
    <w:rsid w:val="00B316F7"/>
    <w:rsid w:val="00B370B2"/>
    <w:rsid w:val="00B401C1"/>
    <w:rsid w:val="00B40456"/>
    <w:rsid w:val="00B40AF8"/>
    <w:rsid w:val="00B426C6"/>
    <w:rsid w:val="00B44219"/>
    <w:rsid w:val="00B45F40"/>
    <w:rsid w:val="00B53037"/>
    <w:rsid w:val="00B5315D"/>
    <w:rsid w:val="00B55DFF"/>
    <w:rsid w:val="00B60178"/>
    <w:rsid w:val="00B60EC4"/>
    <w:rsid w:val="00B650A2"/>
    <w:rsid w:val="00B66CC0"/>
    <w:rsid w:val="00B7053E"/>
    <w:rsid w:val="00B71FC4"/>
    <w:rsid w:val="00B767AE"/>
    <w:rsid w:val="00B76D6D"/>
    <w:rsid w:val="00B80D2B"/>
    <w:rsid w:val="00B82B8B"/>
    <w:rsid w:val="00B84330"/>
    <w:rsid w:val="00B875CA"/>
    <w:rsid w:val="00B87F2A"/>
    <w:rsid w:val="00B94E68"/>
    <w:rsid w:val="00B97C78"/>
    <w:rsid w:val="00BA05F4"/>
    <w:rsid w:val="00BA13A5"/>
    <w:rsid w:val="00BA5F96"/>
    <w:rsid w:val="00BA7A2C"/>
    <w:rsid w:val="00BB096A"/>
    <w:rsid w:val="00BB142E"/>
    <w:rsid w:val="00BB24FD"/>
    <w:rsid w:val="00BB34CA"/>
    <w:rsid w:val="00BB3B00"/>
    <w:rsid w:val="00BB3B04"/>
    <w:rsid w:val="00BB5FF4"/>
    <w:rsid w:val="00BC00A7"/>
    <w:rsid w:val="00BC4BE2"/>
    <w:rsid w:val="00BC6211"/>
    <w:rsid w:val="00BD0BA8"/>
    <w:rsid w:val="00BD1AF4"/>
    <w:rsid w:val="00BD32FB"/>
    <w:rsid w:val="00BD3693"/>
    <w:rsid w:val="00BD7CA7"/>
    <w:rsid w:val="00BE3AB7"/>
    <w:rsid w:val="00BE41AA"/>
    <w:rsid w:val="00BE4FA9"/>
    <w:rsid w:val="00BE7F85"/>
    <w:rsid w:val="00BF33EF"/>
    <w:rsid w:val="00BF363C"/>
    <w:rsid w:val="00BF5CE2"/>
    <w:rsid w:val="00C01B26"/>
    <w:rsid w:val="00C01B39"/>
    <w:rsid w:val="00C01ECD"/>
    <w:rsid w:val="00C02783"/>
    <w:rsid w:val="00C04D0B"/>
    <w:rsid w:val="00C05052"/>
    <w:rsid w:val="00C07579"/>
    <w:rsid w:val="00C14310"/>
    <w:rsid w:val="00C1528C"/>
    <w:rsid w:val="00C17C3A"/>
    <w:rsid w:val="00C228CA"/>
    <w:rsid w:val="00C22EE7"/>
    <w:rsid w:val="00C253A1"/>
    <w:rsid w:val="00C27776"/>
    <w:rsid w:val="00C27961"/>
    <w:rsid w:val="00C27E06"/>
    <w:rsid w:val="00C35B2B"/>
    <w:rsid w:val="00C36857"/>
    <w:rsid w:val="00C40E95"/>
    <w:rsid w:val="00C41006"/>
    <w:rsid w:val="00C45B53"/>
    <w:rsid w:val="00C4790A"/>
    <w:rsid w:val="00C47DFF"/>
    <w:rsid w:val="00C50538"/>
    <w:rsid w:val="00C56AE3"/>
    <w:rsid w:val="00C66CC9"/>
    <w:rsid w:val="00C70F5B"/>
    <w:rsid w:val="00C737DC"/>
    <w:rsid w:val="00C742C8"/>
    <w:rsid w:val="00C828B0"/>
    <w:rsid w:val="00C83561"/>
    <w:rsid w:val="00C84709"/>
    <w:rsid w:val="00C879D3"/>
    <w:rsid w:val="00C90043"/>
    <w:rsid w:val="00C90C6F"/>
    <w:rsid w:val="00C91D90"/>
    <w:rsid w:val="00C91F35"/>
    <w:rsid w:val="00C9379B"/>
    <w:rsid w:val="00C937ED"/>
    <w:rsid w:val="00C94CE9"/>
    <w:rsid w:val="00CA07E7"/>
    <w:rsid w:val="00CA0FCC"/>
    <w:rsid w:val="00CA112C"/>
    <w:rsid w:val="00CA2DA3"/>
    <w:rsid w:val="00CA2F0C"/>
    <w:rsid w:val="00CA4851"/>
    <w:rsid w:val="00CA74AC"/>
    <w:rsid w:val="00CB0612"/>
    <w:rsid w:val="00CB10F1"/>
    <w:rsid w:val="00CB1375"/>
    <w:rsid w:val="00CB2772"/>
    <w:rsid w:val="00CB60B6"/>
    <w:rsid w:val="00CB629F"/>
    <w:rsid w:val="00CB6A6E"/>
    <w:rsid w:val="00CB6EF4"/>
    <w:rsid w:val="00CC118C"/>
    <w:rsid w:val="00CC1A11"/>
    <w:rsid w:val="00CC1BC1"/>
    <w:rsid w:val="00CD0AEC"/>
    <w:rsid w:val="00CD10EB"/>
    <w:rsid w:val="00CD1E76"/>
    <w:rsid w:val="00CD2441"/>
    <w:rsid w:val="00CD3C44"/>
    <w:rsid w:val="00CD3F6E"/>
    <w:rsid w:val="00CD4B81"/>
    <w:rsid w:val="00CD643D"/>
    <w:rsid w:val="00CE2A21"/>
    <w:rsid w:val="00CE3F54"/>
    <w:rsid w:val="00CE3F8F"/>
    <w:rsid w:val="00CE4A3E"/>
    <w:rsid w:val="00CE6CB2"/>
    <w:rsid w:val="00CF06AE"/>
    <w:rsid w:val="00CF10AF"/>
    <w:rsid w:val="00CF4274"/>
    <w:rsid w:val="00CF5A27"/>
    <w:rsid w:val="00CF5CE8"/>
    <w:rsid w:val="00D01E9D"/>
    <w:rsid w:val="00D02679"/>
    <w:rsid w:val="00D0278F"/>
    <w:rsid w:val="00D038EC"/>
    <w:rsid w:val="00D03F0F"/>
    <w:rsid w:val="00D20BA9"/>
    <w:rsid w:val="00D24C85"/>
    <w:rsid w:val="00D325EC"/>
    <w:rsid w:val="00D3650D"/>
    <w:rsid w:val="00D36CBD"/>
    <w:rsid w:val="00D377A4"/>
    <w:rsid w:val="00D42A9D"/>
    <w:rsid w:val="00D44971"/>
    <w:rsid w:val="00D501BC"/>
    <w:rsid w:val="00D54945"/>
    <w:rsid w:val="00D55969"/>
    <w:rsid w:val="00D5786C"/>
    <w:rsid w:val="00D57C94"/>
    <w:rsid w:val="00D57F60"/>
    <w:rsid w:val="00D6175A"/>
    <w:rsid w:val="00D644B7"/>
    <w:rsid w:val="00D651FB"/>
    <w:rsid w:val="00D661D8"/>
    <w:rsid w:val="00D67485"/>
    <w:rsid w:val="00D7058E"/>
    <w:rsid w:val="00D70F48"/>
    <w:rsid w:val="00D74F6D"/>
    <w:rsid w:val="00D75AA6"/>
    <w:rsid w:val="00D76538"/>
    <w:rsid w:val="00D76D32"/>
    <w:rsid w:val="00D80300"/>
    <w:rsid w:val="00D848EE"/>
    <w:rsid w:val="00D851AB"/>
    <w:rsid w:val="00D92313"/>
    <w:rsid w:val="00D928C8"/>
    <w:rsid w:val="00D93550"/>
    <w:rsid w:val="00D9587F"/>
    <w:rsid w:val="00DA23B0"/>
    <w:rsid w:val="00DA394E"/>
    <w:rsid w:val="00DA5A96"/>
    <w:rsid w:val="00DB663A"/>
    <w:rsid w:val="00DC072B"/>
    <w:rsid w:val="00DC1920"/>
    <w:rsid w:val="00DC79F9"/>
    <w:rsid w:val="00DD257B"/>
    <w:rsid w:val="00DE2554"/>
    <w:rsid w:val="00DE61F3"/>
    <w:rsid w:val="00DE7623"/>
    <w:rsid w:val="00DF2FDF"/>
    <w:rsid w:val="00DF482B"/>
    <w:rsid w:val="00DF67C7"/>
    <w:rsid w:val="00E14E12"/>
    <w:rsid w:val="00E171BC"/>
    <w:rsid w:val="00E2212C"/>
    <w:rsid w:val="00E2306A"/>
    <w:rsid w:val="00E24F81"/>
    <w:rsid w:val="00E2557A"/>
    <w:rsid w:val="00E2559D"/>
    <w:rsid w:val="00E274D8"/>
    <w:rsid w:val="00E36C66"/>
    <w:rsid w:val="00E37A8F"/>
    <w:rsid w:val="00E4247E"/>
    <w:rsid w:val="00E42B68"/>
    <w:rsid w:val="00E43703"/>
    <w:rsid w:val="00E43FA8"/>
    <w:rsid w:val="00E44639"/>
    <w:rsid w:val="00E46AEC"/>
    <w:rsid w:val="00E46CEA"/>
    <w:rsid w:val="00E47A9A"/>
    <w:rsid w:val="00E50993"/>
    <w:rsid w:val="00E516F3"/>
    <w:rsid w:val="00E528F7"/>
    <w:rsid w:val="00E55684"/>
    <w:rsid w:val="00E602D0"/>
    <w:rsid w:val="00E603C8"/>
    <w:rsid w:val="00E643AB"/>
    <w:rsid w:val="00E64EB9"/>
    <w:rsid w:val="00E64F4D"/>
    <w:rsid w:val="00E6613F"/>
    <w:rsid w:val="00E6770F"/>
    <w:rsid w:val="00E71440"/>
    <w:rsid w:val="00E72196"/>
    <w:rsid w:val="00E72615"/>
    <w:rsid w:val="00E742C0"/>
    <w:rsid w:val="00E753C8"/>
    <w:rsid w:val="00E75858"/>
    <w:rsid w:val="00E75ECD"/>
    <w:rsid w:val="00E76F05"/>
    <w:rsid w:val="00E86A90"/>
    <w:rsid w:val="00E9112A"/>
    <w:rsid w:val="00E94C91"/>
    <w:rsid w:val="00E976A2"/>
    <w:rsid w:val="00E97CBF"/>
    <w:rsid w:val="00EA58FE"/>
    <w:rsid w:val="00EA6897"/>
    <w:rsid w:val="00EA6EF0"/>
    <w:rsid w:val="00EB0855"/>
    <w:rsid w:val="00EB3490"/>
    <w:rsid w:val="00EB4F0F"/>
    <w:rsid w:val="00EC41C3"/>
    <w:rsid w:val="00EC7DBC"/>
    <w:rsid w:val="00EC7F7D"/>
    <w:rsid w:val="00ED2780"/>
    <w:rsid w:val="00ED3258"/>
    <w:rsid w:val="00ED3491"/>
    <w:rsid w:val="00ED6446"/>
    <w:rsid w:val="00ED688E"/>
    <w:rsid w:val="00EE18B8"/>
    <w:rsid w:val="00EE2870"/>
    <w:rsid w:val="00EE48CC"/>
    <w:rsid w:val="00EE617F"/>
    <w:rsid w:val="00EF008E"/>
    <w:rsid w:val="00EF1834"/>
    <w:rsid w:val="00EF1A73"/>
    <w:rsid w:val="00EF589B"/>
    <w:rsid w:val="00EF66C8"/>
    <w:rsid w:val="00EF6CF6"/>
    <w:rsid w:val="00F02B3A"/>
    <w:rsid w:val="00F03716"/>
    <w:rsid w:val="00F048C4"/>
    <w:rsid w:val="00F11B2B"/>
    <w:rsid w:val="00F205E9"/>
    <w:rsid w:val="00F20F1B"/>
    <w:rsid w:val="00F24605"/>
    <w:rsid w:val="00F253B2"/>
    <w:rsid w:val="00F25470"/>
    <w:rsid w:val="00F27237"/>
    <w:rsid w:val="00F2792C"/>
    <w:rsid w:val="00F27E28"/>
    <w:rsid w:val="00F307A2"/>
    <w:rsid w:val="00F3248D"/>
    <w:rsid w:val="00F32C8E"/>
    <w:rsid w:val="00F333DD"/>
    <w:rsid w:val="00F34226"/>
    <w:rsid w:val="00F3628D"/>
    <w:rsid w:val="00F404DF"/>
    <w:rsid w:val="00F417FC"/>
    <w:rsid w:val="00F424B0"/>
    <w:rsid w:val="00F43F3B"/>
    <w:rsid w:val="00F44A8F"/>
    <w:rsid w:val="00F546BC"/>
    <w:rsid w:val="00F569E5"/>
    <w:rsid w:val="00F60507"/>
    <w:rsid w:val="00F60736"/>
    <w:rsid w:val="00F63839"/>
    <w:rsid w:val="00F6459B"/>
    <w:rsid w:val="00F66FF2"/>
    <w:rsid w:val="00F67FB8"/>
    <w:rsid w:val="00F7139A"/>
    <w:rsid w:val="00F71D53"/>
    <w:rsid w:val="00F72052"/>
    <w:rsid w:val="00F74174"/>
    <w:rsid w:val="00F75079"/>
    <w:rsid w:val="00F76A99"/>
    <w:rsid w:val="00F77FAF"/>
    <w:rsid w:val="00F80395"/>
    <w:rsid w:val="00F81F49"/>
    <w:rsid w:val="00F8456D"/>
    <w:rsid w:val="00F8763E"/>
    <w:rsid w:val="00F90D02"/>
    <w:rsid w:val="00F92FD1"/>
    <w:rsid w:val="00F93467"/>
    <w:rsid w:val="00F94484"/>
    <w:rsid w:val="00F96716"/>
    <w:rsid w:val="00F97AF0"/>
    <w:rsid w:val="00F97E01"/>
    <w:rsid w:val="00FA283E"/>
    <w:rsid w:val="00FB02AC"/>
    <w:rsid w:val="00FB0F9F"/>
    <w:rsid w:val="00FB4C93"/>
    <w:rsid w:val="00FB7EF9"/>
    <w:rsid w:val="00FC013E"/>
    <w:rsid w:val="00FC2844"/>
    <w:rsid w:val="00FC293A"/>
    <w:rsid w:val="00FC3BE2"/>
    <w:rsid w:val="00FD0160"/>
    <w:rsid w:val="00FD23DE"/>
    <w:rsid w:val="00FD2C77"/>
    <w:rsid w:val="00FD3700"/>
    <w:rsid w:val="00FD4516"/>
    <w:rsid w:val="00FD4C3E"/>
    <w:rsid w:val="00FD6E1A"/>
    <w:rsid w:val="00FE184D"/>
    <w:rsid w:val="00FE3845"/>
    <w:rsid w:val="00FE4D42"/>
    <w:rsid w:val="00FE5113"/>
    <w:rsid w:val="00FE5B60"/>
    <w:rsid w:val="00FE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5EEE"/>
  <w15:docId w15:val="{8EB978A9-F3ED-A64C-BAA9-B6ED640A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C1"/>
    <w:rPr>
      <w:sz w:val="24"/>
    </w:rPr>
  </w:style>
  <w:style w:type="paragraph" w:styleId="Heading1">
    <w:name w:val="heading 1"/>
    <w:basedOn w:val="Normal"/>
    <w:next w:val="Normal"/>
    <w:link w:val="Heading1Char"/>
    <w:uiPriority w:val="9"/>
    <w:qFormat/>
    <w:rsid w:val="005261C1"/>
    <w:pPr>
      <w:keepNext/>
      <w:keepLines/>
      <w:spacing w:before="240" w:after="0"/>
      <w:outlineLvl w:val="0"/>
    </w:pPr>
    <w:rPr>
      <w:rFonts w:asciiTheme="majorHAnsi" w:eastAsiaTheme="majorEastAsia" w:hAnsiTheme="majorHAnsi" w:cstheme="majorBidi"/>
      <w:color w:val="008FD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111"/>
    <w:pPr>
      <w:spacing w:after="0" w:line="240" w:lineRule="auto"/>
    </w:pPr>
    <w:rPr>
      <w:rFonts w:eastAsiaTheme="minorEastAsia"/>
    </w:rPr>
  </w:style>
  <w:style w:type="character" w:customStyle="1" w:styleId="NoSpacingChar">
    <w:name w:val="No Spacing Char"/>
    <w:basedOn w:val="DefaultParagraphFont"/>
    <w:link w:val="NoSpacing"/>
    <w:uiPriority w:val="1"/>
    <w:rsid w:val="00005111"/>
    <w:rPr>
      <w:rFonts w:eastAsiaTheme="minorEastAsia"/>
    </w:rPr>
  </w:style>
  <w:style w:type="character" w:customStyle="1" w:styleId="Heading1Char">
    <w:name w:val="Heading 1 Char"/>
    <w:basedOn w:val="DefaultParagraphFont"/>
    <w:link w:val="Heading1"/>
    <w:uiPriority w:val="9"/>
    <w:rsid w:val="005261C1"/>
    <w:rPr>
      <w:rFonts w:asciiTheme="majorHAnsi" w:eastAsiaTheme="majorEastAsia" w:hAnsiTheme="majorHAnsi" w:cstheme="majorBidi"/>
      <w:color w:val="008FD5"/>
      <w:sz w:val="36"/>
      <w:szCs w:val="32"/>
    </w:rPr>
  </w:style>
  <w:style w:type="paragraph" w:styleId="ListParagraph">
    <w:name w:val="List Paragraph"/>
    <w:basedOn w:val="Normal"/>
    <w:uiPriority w:val="34"/>
    <w:qFormat/>
    <w:rsid w:val="00005111"/>
    <w:pPr>
      <w:ind w:left="720"/>
      <w:contextualSpacing/>
    </w:pPr>
  </w:style>
  <w:style w:type="paragraph" w:styleId="Header">
    <w:name w:val="header"/>
    <w:basedOn w:val="Normal"/>
    <w:link w:val="HeaderChar"/>
    <w:uiPriority w:val="99"/>
    <w:unhideWhenUsed/>
    <w:rsid w:val="0017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8E"/>
    <w:rPr>
      <w:sz w:val="24"/>
    </w:rPr>
  </w:style>
  <w:style w:type="paragraph" w:styleId="Footer">
    <w:name w:val="footer"/>
    <w:basedOn w:val="Normal"/>
    <w:link w:val="FooterChar"/>
    <w:uiPriority w:val="99"/>
    <w:unhideWhenUsed/>
    <w:rsid w:val="0017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8E"/>
    <w:rPr>
      <w:sz w:val="24"/>
    </w:rPr>
  </w:style>
  <w:style w:type="character" w:styleId="IntenseEmphasis">
    <w:name w:val="Intense Emphasis"/>
    <w:basedOn w:val="DefaultParagraphFont"/>
    <w:uiPriority w:val="21"/>
    <w:qFormat/>
    <w:rsid w:val="00460436"/>
    <w:rPr>
      <w:i/>
      <w:iCs/>
      <w:color w:val="008FD5"/>
    </w:rPr>
  </w:style>
  <w:style w:type="character" w:styleId="Hyperlink">
    <w:name w:val="Hyperlink"/>
    <w:basedOn w:val="DefaultParagraphFont"/>
    <w:uiPriority w:val="99"/>
    <w:unhideWhenUsed/>
    <w:rsid w:val="00230D29"/>
    <w:rPr>
      <w:color w:val="0563C1" w:themeColor="hyperlink"/>
      <w:u w:val="single"/>
    </w:rPr>
  </w:style>
  <w:style w:type="paragraph" w:styleId="FootnoteText">
    <w:name w:val="footnote text"/>
    <w:basedOn w:val="Normal"/>
    <w:link w:val="FootnoteTextChar"/>
    <w:uiPriority w:val="99"/>
    <w:semiHidden/>
    <w:unhideWhenUsed/>
    <w:rsid w:val="00D64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B7"/>
    <w:rPr>
      <w:sz w:val="20"/>
      <w:szCs w:val="20"/>
    </w:rPr>
  </w:style>
  <w:style w:type="character" w:styleId="FootnoteReference">
    <w:name w:val="footnote reference"/>
    <w:basedOn w:val="DefaultParagraphFont"/>
    <w:uiPriority w:val="99"/>
    <w:semiHidden/>
    <w:unhideWhenUsed/>
    <w:rsid w:val="00D644B7"/>
    <w:rPr>
      <w:vertAlign w:val="superscript"/>
    </w:rPr>
  </w:style>
  <w:style w:type="paragraph" w:styleId="BalloonText">
    <w:name w:val="Balloon Text"/>
    <w:basedOn w:val="Normal"/>
    <w:link w:val="BalloonTextChar"/>
    <w:uiPriority w:val="99"/>
    <w:semiHidden/>
    <w:unhideWhenUsed/>
    <w:rsid w:val="0034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E7"/>
    <w:rPr>
      <w:rFonts w:ascii="Segoe UI" w:hAnsi="Segoe UI" w:cs="Segoe UI"/>
      <w:sz w:val="18"/>
      <w:szCs w:val="18"/>
    </w:rPr>
  </w:style>
  <w:style w:type="character" w:styleId="UnresolvedMention">
    <w:name w:val="Unresolved Mention"/>
    <w:basedOn w:val="DefaultParagraphFont"/>
    <w:uiPriority w:val="99"/>
    <w:semiHidden/>
    <w:unhideWhenUsed/>
    <w:rsid w:val="00E602D0"/>
    <w:rPr>
      <w:color w:val="605E5C"/>
      <w:shd w:val="clear" w:color="auto" w:fill="E1DFDD"/>
    </w:rPr>
  </w:style>
  <w:style w:type="character" w:styleId="CommentReference">
    <w:name w:val="annotation reference"/>
    <w:basedOn w:val="DefaultParagraphFont"/>
    <w:uiPriority w:val="99"/>
    <w:semiHidden/>
    <w:unhideWhenUsed/>
    <w:rsid w:val="004709B0"/>
    <w:rPr>
      <w:sz w:val="16"/>
      <w:szCs w:val="16"/>
    </w:rPr>
  </w:style>
  <w:style w:type="paragraph" w:styleId="CommentText">
    <w:name w:val="annotation text"/>
    <w:basedOn w:val="Normal"/>
    <w:link w:val="CommentTextChar"/>
    <w:uiPriority w:val="99"/>
    <w:semiHidden/>
    <w:unhideWhenUsed/>
    <w:rsid w:val="004709B0"/>
    <w:pPr>
      <w:spacing w:line="240" w:lineRule="auto"/>
    </w:pPr>
    <w:rPr>
      <w:sz w:val="20"/>
      <w:szCs w:val="20"/>
    </w:rPr>
  </w:style>
  <w:style w:type="character" w:customStyle="1" w:styleId="CommentTextChar">
    <w:name w:val="Comment Text Char"/>
    <w:basedOn w:val="DefaultParagraphFont"/>
    <w:link w:val="CommentText"/>
    <w:uiPriority w:val="99"/>
    <w:semiHidden/>
    <w:rsid w:val="004709B0"/>
    <w:rPr>
      <w:sz w:val="20"/>
      <w:szCs w:val="20"/>
    </w:rPr>
  </w:style>
  <w:style w:type="paragraph" w:styleId="CommentSubject">
    <w:name w:val="annotation subject"/>
    <w:basedOn w:val="CommentText"/>
    <w:next w:val="CommentText"/>
    <w:link w:val="CommentSubjectChar"/>
    <w:uiPriority w:val="99"/>
    <w:semiHidden/>
    <w:unhideWhenUsed/>
    <w:rsid w:val="004709B0"/>
    <w:rPr>
      <w:b/>
      <w:bCs/>
    </w:rPr>
  </w:style>
  <w:style w:type="character" w:customStyle="1" w:styleId="CommentSubjectChar">
    <w:name w:val="Comment Subject Char"/>
    <w:basedOn w:val="CommentTextChar"/>
    <w:link w:val="CommentSubject"/>
    <w:uiPriority w:val="99"/>
    <w:semiHidden/>
    <w:rsid w:val="004709B0"/>
    <w:rPr>
      <w:b/>
      <w:bCs/>
      <w:sz w:val="20"/>
      <w:szCs w:val="20"/>
    </w:rPr>
  </w:style>
  <w:style w:type="paragraph" w:styleId="Revision">
    <w:name w:val="Revision"/>
    <w:hidden/>
    <w:uiPriority w:val="99"/>
    <w:semiHidden/>
    <w:rsid w:val="00773B5B"/>
    <w:pPr>
      <w:spacing w:after="0" w:line="240" w:lineRule="auto"/>
    </w:pPr>
    <w:rPr>
      <w:sz w:val="24"/>
    </w:rPr>
  </w:style>
  <w:style w:type="paragraph" w:styleId="EndnoteText">
    <w:name w:val="endnote text"/>
    <w:basedOn w:val="Normal"/>
    <w:link w:val="EndnoteTextChar"/>
    <w:uiPriority w:val="99"/>
    <w:semiHidden/>
    <w:unhideWhenUsed/>
    <w:rsid w:val="00BC62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211"/>
    <w:rPr>
      <w:sz w:val="20"/>
      <w:szCs w:val="20"/>
    </w:rPr>
  </w:style>
  <w:style w:type="character" w:styleId="EndnoteReference">
    <w:name w:val="endnote reference"/>
    <w:basedOn w:val="DefaultParagraphFont"/>
    <w:uiPriority w:val="99"/>
    <w:semiHidden/>
    <w:unhideWhenUsed/>
    <w:rsid w:val="00BC6211"/>
    <w:rPr>
      <w:vertAlign w:val="superscript"/>
    </w:rPr>
  </w:style>
  <w:style w:type="character" w:styleId="FollowedHyperlink">
    <w:name w:val="FollowedHyperlink"/>
    <w:basedOn w:val="DefaultParagraphFont"/>
    <w:uiPriority w:val="99"/>
    <w:semiHidden/>
    <w:unhideWhenUsed/>
    <w:rsid w:val="00CE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830">
      <w:bodyDiv w:val="1"/>
      <w:marLeft w:val="0"/>
      <w:marRight w:val="0"/>
      <w:marTop w:val="0"/>
      <w:marBottom w:val="0"/>
      <w:divBdr>
        <w:top w:val="none" w:sz="0" w:space="0" w:color="auto"/>
        <w:left w:val="none" w:sz="0" w:space="0" w:color="auto"/>
        <w:bottom w:val="none" w:sz="0" w:space="0" w:color="auto"/>
        <w:right w:val="none" w:sz="0" w:space="0" w:color="auto"/>
      </w:divBdr>
    </w:div>
    <w:div w:id="137456972">
      <w:bodyDiv w:val="1"/>
      <w:marLeft w:val="0"/>
      <w:marRight w:val="0"/>
      <w:marTop w:val="0"/>
      <w:marBottom w:val="0"/>
      <w:divBdr>
        <w:top w:val="none" w:sz="0" w:space="0" w:color="auto"/>
        <w:left w:val="none" w:sz="0" w:space="0" w:color="auto"/>
        <w:bottom w:val="none" w:sz="0" w:space="0" w:color="auto"/>
        <w:right w:val="none" w:sz="0" w:space="0" w:color="auto"/>
      </w:divBdr>
    </w:div>
    <w:div w:id="154414549">
      <w:bodyDiv w:val="1"/>
      <w:marLeft w:val="0"/>
      <w:marRight w:val="0"/>
      <w:marTop w:val="0"/>
      <w:marBottom w:val="0"/>
      <w:divBdr>
        <w:top w:val="none" w:sz="0" w:space="0" w:color="auto"/>
        <w:left w:val="none" w:sz="0" w:space="0" w:color="auto"/>
        <w:bottom w:val="none" w:sz="0" w:space="0" w:color="auto"/>
        <w:right w:val="none" w:sz="0" w:space="0" w:color="auto"/>
      </w:divBdr>
    </w:div>
    <w:div w:id="220026142">
      <w:bodyDiv w:val="1"/>
      <w:marLeft w:val="0"/>
      <w:marRight w:val="0"/>
      <w:marTop w:val="0"/>
      <w:marBottom w:val="0"/>
      <w:divBdr>
        <w:top w:val="none" w:sz="0" w:space="0" w:color="auto"/>
        <w:left w:val="none" w:sz="0" w:space="0" w:color="auto"/>
        <w:bottom w:val="none" w:sz="0" w:space="0" w:color="auto"/>
        <w:right w:val="none" w:sz="0" w:space="0" w:color="auto"/>
      </w:divBdr>
    </w:div>
    <w:div w:id="360976092">
      <w:bodyDiv w:val="1"/>
      <w:marLeft w:val="0"/>
      <w:marRight w:val="0"/>
      <w:marTop w:val="0"/>
      <w:marBottom w:val="0"/>
      <w:divBdr>
        <w:top w:val="none" w:sz="0" w:space="0" w:color="auto"/>
        <w:left w:val="none" w:sz="0" w:space="0" w:color="auto"/>
        <w:bottom w:val="none" w:sz="0" w:space="0" w:color="auto"/>
        <w:right w:val="none" w:sz="0" w:space="0" w:color="auto"/>
      </w:divBdr>
    </w:div>
    <w:div w:id="416874909">
      <w:bodyDiv w:val="1"/>
      <w:marLeft w:val="0"/>
      <w:marRight w:val="0"/>
      <w:marTop w:val="0"/>
      <w:marBottom w:val="0"/>
      <w:divBdr>
        <w:top w:val="none" w:sz="0" w:space="0" w:color="auto"/>
        <w:left w:val="none" w:sz="0" w:space="0" w:color="auto"/>
        <w:bottom w:val="none" w:sz="0" w:space="0" w:color="auto"/>
        <w:right w:val="none" w:sz="0" w:space="0" w:color="auto"/>
      </w:divBdr>
    </w:div>
    <w:div w:id="438374378">
      <w:bodyDiv w:val="1"/>
      <w:marLeft w:val="0"/>
      <w:marRight w:val="0"/>
      <w:marTop w:val="0"/>
      <w:marBottom w:val="0"/>
      <w:divBdr>
        <w:top w:val="none" w:sz="0" w:space="0" w:color="auto"/>
        <w:left w:val="none" w:sz="0" w:space="0" w:color="auto"/>
        <w:bottom w:val="none" w:sz="0" w:space="0" w:color="auto"/>
        <w:right w:val="none" w:sz="0" w:space="0" w:color="auto"/>
      </w:divBdr>
    </w:div>
    <w:div w:id="443580113">
      <w:bodyDiv w:val="1"/>
      <w:marLeft w:val="0"/>
      <w:marRight w:val="0"/>
      <w:marTop w:val="0"/>
      <w:marBottom w:val="0"/>
      <w:divBdr>
        <w:top w:val="none" w:sz="0" w:space="0" w:color="auto"/>
        <w:left w:val="none" w:sz="0" w:space="0" w:color="auto"/>
        <w:bottom w:val="none" w:sz="0" w:space="0" w:color="auto"/>
        <w:right w:val="none" w:sz="0" w:space="0" w:color="auto"/>
      </w:divBdr>
    </w:div>
    <w:div w:id="456947011">
      <w:bodyDiv w:val="1"/>
      <w:marLeft w:val="0"/>
      <w:marRight w:val="0"/>
      <w:marTop w:val="0"/>
      <w:marBottom w:val="0"/>
      <w:divBdr>
        <w:top w:val="none" w:sz="0" w:space="0" w:color="auto"/>
        <w:left w:val="none" w:sz="0" w:space="0" w:color="auto"/>
        <w:bottom w:val="none" w:sz="0" w:space="0" w:color="auto"/>
        <w:right w:val="none" w:sz="0" w:space="0" w:color="auto"/>
      </w:divBdr>
    </w:div>
    <w:div w:id="546181748">
      <w:bodyDiv w:val="1"/>
      <w:marLeft w:val="0"/>
      <w:marRight w:val="0"/>
      <w:marTop w:val="0"/>
      <w:marBottom w:val="0"/>
      <w:divBdr>
        <w:top w:val="none" w:sz="0" w:space="0" w:color="auto"/>
        <w:left w:val="none" w:sz="0" w:space="0" w:color="auto"/>
        <w:bottom w:val="none" w:sz="0" w:space="0" w:color="auto"/>
        <w:right w:val="none" w:sz="0" w:space="0" w:color="auto"/>
      </w:divBdr>
    </w:div>
    <w:div w:id="548538255">
      <w:bodyDiv w:val="1"/>
      <w:marLeft w:val="0"/>
      <w:marRight w:val="0"/>
      <w:marTop w:val="0"/>
      <w:marBottom w:val="0"/>
      <w:divBdr>
        <w:top w:val="none" w:sz="0" w:space="0" w:color="auto"/>
        <w:left w:val="none" w:sz="0" w:space="0" w:color="auto"/>
        <w:bottom w:val="none" w:sz="0" w:space="0" w:color="auto"/>
        <w:right w:val="none" w:sz="0" w:space="0" w:color="auto"/>
      </w:divBdr>
    </w:div>
    <w:div w:id="675880962">
      <w:bodyDiv w:val="1"/>
      <w:marLeft w:val="0"/>
      <w:marRight w:val="0"/>
      <w:marTop w:val="0"/>
      <w:marBottom w:val="0"/>
      <w:divBdr>
        <w:top w:val="none" w:sz="0" w:space="0" w:color="auto"/>
        <w:left w:val="none" w:sz="0" w:space="0" w:color="auto"/>
        <w:bottom w:val="none" w:sz="0" w:space="0" w:color="auto"/>
        <w:right w:val="none" w:sz="0" w:space="0" w:color="auto"/>
      </w:divBdr>
    </w:div>
    <w:div w:id="696203426">
      <w:bodyDiv w:val="1"/>
      <w:marLeft w:val="0"/>
      <w:marRight w:val="0"/>
      <w:marTop w:val="0"/>
      <w:marBottom w:val="0"/>
      <w:divBdr>
        <w:top w:val="none" w:sz="0" w:space="0" w:color="auto"/>
        <w:left w:val="none" w:sz="0" w:space="0" w:color="auto"/>
        <w:bottom w:val="none" w:sz="0" w:space="0" w:color="auto"/>
        <w:right w:val="none" w:sz="0" w:space="0" w:color="auto"/>
      </w:divBdr>
    </w:div>
    <w:div w:id="773093842">
      <w:bodyDiv w:val="1"/>
      <w:marLeft w:val="0"/>
      <w:marRight w:val="0"/>
      <w:marTop w:val="0"/>
      <w:marBottom w:val="0"/>
      <w:divBdr>
        <w:top w:val="none" w:sz="0" w:space="0" w:color="auto"/>
        <w:left w:val="none" w:sz="0" w:space="0" w:color="auto"/>
        <w:bottom w:val="none" w:sz="0" w:space="0" w:color="auto"/>
        <w:right w:val="none" w:sz="0" w:space="0" w:color="auto"/>
      </w:divBdr>
    </w:div>
    <w:div w:id="786704902">
      <w:bodyDiv w:val="1"/>
      <w:marLeft w:val="0"/>
      <w:marRight w:val="0"/>
      <w:marTop w:val="0"/>
      <w:marBottom w:val="0"/>
      <w:divBdr>
        <w:top w:val="none" w:sz="0" w:space="0" w:color="auto"/>
        <w:left w:val="none" w:sz="0" w:space="0" w:color="auto"/>
        <w:bottom w:val="none" w:sz="0" w:space="0" w:color="auto"/>
        <w:right w:val="none" w:sz="0" w:space="0" w:color="auto"/>
      </w:divBdr>
    </w:div>
    <w:div w:id="843252920">
      <w:bodyDiv w:val="1"/>
      <w:marLeft w:val="0"/>
      <w:marRight w:val="0"/>
      <w:marTop w:val="0"/>
      <w:marBottom w:val="0"/>
      <w:divBdr>
        <w:top w:val="none" w:sz="0" w:space="0" w:color="auto"/>
        <w:left w:val="none" w:sz="0" w:space="0" w:color="auto"/>
        <w:bottom w:val="none" w:sz="0" w:space="0" w:color="auto"/>
        <w:right w:val="none" w:sz="0" w:space="0" w:color="auto"/>
      </w:divBdr>
    </w:div>
    <w:div w:id="895630664">
      <w:bodyDiv w:val="1"/>
      <w:marLeft w:val="0"/>
      <w:marRight w:val="0"/>
      <w:marTop w:val="0"/>
      <w:marBottom w:val="0"/>
      <w:divBdr>
        <w:top w:val="none" w:sz="0" w:space="0" w:color="auto"/>
        <w:left w:val="none" w:sz="0" w:space="0" w:color="auto"/>
        <w:bottom w:val="none" w:sz="0" w:space="0" w:color="auto"/>
        <w:right w:val="none" w:sz="0" w:space="0" w:color="auto"/>
      </w:divBdr>
    </w:div>
    <w:div w:id="898134511">
      <w:bodyDiv w:val="1"/>
      <w:marLeft w:val="0"/>
      <w:marRight w:val="0"/>
      <w:marTop w:val="0"/>
      <w:marBottom w:val="0"/>
      <w:divBdr>
        <w:top w:val="none" w:sz="0" w:space="0" w:color="auto"/>
        <w:left w:val="none" w:sz="0" w:space="0" w:color="auto"/>
        <w:bottom w:val="none" w:sz="0" w:space="0" w:color="auto"/>
        <w:right w:val="none" w:sz="0" w:space="0" w:color="auto"/>
      </w:divBdr>
    </w:div>
    <w:div w:id="977370349">
      <w:bodyDiv w:val="1"/>
      <w:marLeft w:val="0"/>
      <w:marRight w:val="0"/>
      <w:marTop w:val="0"/>
      <w:marBottom w:val="0"/>
      <w:divBdr>
        <w:top w:val="none" w:sz="0" w:space="0" w:color="auto"/>
        <w:left w:val="none" w:sz="0" w:space="0" w:color="auto"/>
        <w:bottom w:val="none" w:sz="0" w:space="0" w:color="auto"/>
        <w:right w:val="none" w:sz="0" w:space="0" w:color="auto"/>
      </w:divBdr>
    </w:div>
    <w:div w:id="992954216">
      <w:bodyDiv w:val="1"/>
      <w:marLeft w:val="0"/>
      <w:marRight w:val="0"/>
      <w:marTop w:val="0"/>
      <w:marBottom w:val="0"/>
      <w:divBdr>
        <w:top w:val="none" w:sz="0" w:space="0" w:color="auto"/>
        <w:left w:val="none" w:sz="0" w:space="0" w:color="auto"/>
        <w:bottom w:val="none" w:sz="0" w:space="0" w:color="auto"/>
        <w:right w:val="none" w:sz="0" w:space="0" w:color="auto"/>
      </w:divBdr>
    </w:div>
    <w:div w:id="1004865342">
      <w:bodyDiv w:val="1"/>
      <w:marLeft w:val="0"/>
      <w:marRight w:val="0"/>
      <w:marTop w:val="0"/>
      <w:marBottom w:val="0"/>
      <w:divBdr>
        <w:top w:val="none" w:sz="0" w:space="0" w:color="auto"/>
        <w:left w:val="none" w:sz="0" w:space="0" w:color="auto"/>
        <w:bottom w:val="none" w:sz="0" w:space="0" w:color="auto"/>
        <w:right w:val="none" w:sz="0" w:space="0" w:color="auto"/>
      </w:divBdr>
    </w:div>
    <w:div w:id="1053382858">
      <w:bodyDiv w:val="1"/>
      <w:marLeft w:val="0"/>
      <w:marRight w:val="0"/>
      <w:marTop w:val="0"/>
      <w:marBottom w:val="0"/>
      <w:divBdr>
        <w:top w:val="none" w:sz="0" w:space="0" w:color="auto"/>
        <w:left w:val="none" w:sz="0" w:space="0" w:color="auto"/>
        <w:bottom w:val="none" w:sz="0" w:space="0" w:color="auto"/>
        <w:right w:val="none" w:sz="0" w:space="0" w:color="auto"/>
      </w:divBdr>
    </w:div>
    <w:div w:id="1102990296">
      <w:bodyDiv w:val="1"/>
      <w:marLeft w:val="0"/>
      <w:marRight w:val="0"/>
      <w:marTop w:val="0"/>
      <w:marBottom w:val="0"/>
      <w:divBdr>
        <w:top w:val="none" w:sz="0" w:space="0" w:color="auto"/>
        <w:left w:val="none" w:sz="0" w:space="0" w:color="auto"/>
        <w:bottom w:val="none" w:sz="0" w:space="0" w:color="auto"/>
        <w:right w:val="none" w:sz="0" w:space="0" w:color="auto"/>
      </w:divBdr>
    </w:div>
    <w:div w:id="1105227601">
      <w:bodyDiv w:val="1"/>
      <w:marLeft w:val="0"/>
      <w:marRight w:val="0"/>
      <w:marTop w:val="0"/>
      <w:marBottom w:val="0"/>
      <w:divBdr>
        <w:top w:val="none" w:sz="0" w:space="0" w:color="auto"/>
        <w:left w:val="none" w:sz="0" w:space="0" w:color="auto"/>
        <w:bottom w:val="none" w:sz="0" w:space="0" w:color="auto"/>
        <w:right w:val="none" w:sz="0" w:space="0" w:color="auto"/>
      </w:divBdr>
    </w:div>
    <w:div w:id="1144080784">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206716471">
      <w:bodyDiv w:val="1"/>
      <w:marLeft w:val="0"/>
      <w:marRight w:val="0"/>
      <w:marTop w:val="0"/>
      <w:marBottom w:val="0"/>
      <w:divBdr>
        <w:top w:val="none" w:sz="0" w:space="0" w:color="auto"/>
        <w:left w:val="none" w:sz="0" w:space="0" w:color="auto"/>
        <w:bottom w:val="none" w:sz="0" w:space="0" w:color="auto"/>
        <w:right w:val="none" w:sz="0" w:space="0" w:color="auto"/>
      </w:divBdr>
    </w:div>
    <w:div w:id="1211264712">
      <w:bodyDiv w:val="1"/>
      <w:marLeft w:val="0"/>
      <w:marRight w:val="0"/>
      <w:marTop w:val="0"/>
      <w:marBottom w:val="0"/>
      <w:divBdr>
        <w:top w:val="none" w:sz="0" w:space="0" w:color="auto"/>
        <w:left w:val="none" w:sz="0" w:space="0" w:color="auto"/>
        <w:bottom w:val="none" w:sz="0" w:space="0" w:color="auto"/>
        <w:right w:val="none" w:sz="0" w:space="0" w:color="auto"/>
      </w:divBdr>
    </w:div>
    <w:div w:id="1219323280">
      <w:bodyDiv w:val="1"/>
      <w:marLeft w:val="0"/>
      <w:marRight w:val="0"/>
      <w:marTop w:val="0"/>
      <w:marBottom w:val="0"/>
      <w:divBdr>
        <w:top w:val="none" w:sz="0" w:space="0" w:color="auto"/>
        <w:left w:val="none" w:sz="0" w:space="0" w:color="auto"/>
        <w:bottom w:val="none" w:sz="0" w:space="0" w:color="auto"/>
        <w:right w:val="none" w:sz="0" w:space="0" w:color="auto"/>
      </w:divBdr>
    </w:div>
    <w:div w:id="1245720020">
      <w:bodyDiv w:val="1"/>
      <w:marLeft w:val="0"/>
      <w:marRight w:val="0"/>
      <w:marTop w:val="0"/>
      <w:marBottom w:val="0"/>
      <w:divBdr>
        <w:top w:val="none" w:sz="0" w:space="0" w:color="auto"/>
        <w:left w:val="none" w:sz="0" w:space="0" w:color="auto"/>
        <w:bottom w:val="none" w:sz="0" w:space="0" w:color="auto"/>
        <w:right w:val="none" w:sz="0" w:space="0" w:color="auto"/>
      </w:divBdr>
    </w:div>
    <w:div w:id="1258713464">
      <w:bodyDiv w:val="1"/>
      <w:marLeft w:val="0"/>
      <w:marRight w:val="0"/>
      <w:marTop w:val="0"/>
      <w:marBottom w:val="0"/>
      <w:divBdr>
        <w:top w:val="none" w:sz="0" w:space="0" w:color="auto"/>
        <w:left w:val="none" w:sz="0" w:space="0" w:color="auto"/>
        <w:bottom w:val="none" w:sz="0" w:space="0" w:color="auto"/>
        <w:right w:val="none" w:sz="0" w:space="0" w:color="auto"/>
      </w:divBdr>
    </w:div>
    <w:div w:id="1276207251">
      <w:bodyDiv w:val="1"/>
      <w:marLeft w:val="0"/>
      <w:marRight w:val="0"/>
      <w:marTop w:val="0"/>
      <w:marBottom w:val="0"/>
      <w:divBdr>
        <w:top w:val="none" w:sz="0" w:space="0" w:color="auto"/>
        <w:left w:val="none" w:sz="0" w:space="0" w:color="auto"/>
        <w:bottom w:val="none" w:sz="0" w:space="0" w:color="auto"/>
        <w:right w:val="none" w:sz="0" w:space="0" w:color="auto"/>
      </w:divBdr>
    </w:div>
    <w:div w:id="1279219945">
      <w:bodyDiv w:val="1"/>
      <w:marLeft w:val="0"/>
      <w:marRight w:val="0"/>
      <w:marTop w:val="0"/>
      <w:marBottom w:val="0"/>
      <w:divBdr>
        <w:top w:val="none" w:sz="0" w:space="0" w:color="auto"/>
        <w:left w:val="none" w:sz="0" w:space="0" w:color="auto"/>
        <w:bottom w:val="none" w:sz="0" w:space="0" w:color="auto"/>
        <w:right w:val="none" w:sz="0" w:space="0" w:color="auto"/>
      </w:divBdr>
    </w:div>
    <w:div w:id="1297376329">
      <w:bodyDiv w:val="1"/>
      <w:marLeft w:val="0"/>
      <w:marRight w:val="0"/>
      <w:marTop w:val="0"/>
      <w:marBottom w:val="0"/>
      <w:divBdr>
        <w:top w:val="none" w:sz="0" w:space="0" w:color="auto"/>
        <w:left w:val="none" w:sz="0" w:space="0" w:color="auto"/>
        <w:bottom w:val="none" w:sz="0" w:space="0" w:color="auto"/>
        <w:right w:val="none" w:sz="0" w:space="0" w:color="auto"/>
      </w:divBdr>
    </w:div>
    <w:div w:id="1320160521">
      <w:bodyDiv w:val="1"/>
      <w:marLeft w:val="0"/>
      <w:marRight w:val="0"/>
      <w:marTop w:val="0"/>
      <w:marBottom w:val="0"/>
      <w:divBdr>
        <w:top w:val="none" w:sz="0" w:space="0" w:color="auto"/>
        <w:left w:val="none" w:sz="0" w:space="0" w:color="auto"/>
        <w:bottom w:val="none" w:sz="0" w:space="0" w:color="auto"/>
        <w:right w:val="none" w:sz="0" w:space="0" w:color="auto"/>
      </w:divBdr>
    </w:div>
    <w:div w:id="1360623294">
      <w:bodyDiv w:val="1"/>
      <w:marLeft w:val="0"/>
      <w:marRight w:val="0"/>
      <w:marTop w:val="0"/>
      <w:marBottom w:val="0"/>
      <w:divBdr>
        <w:top w:val="none" w:sz="0" w:space="0" w:color="auto"/>
        <w:left w:val="none" w:sz="0" w:space="0" w:color="auto"/>
        <w:bottom w:val="none" w:sz="0" w:space="0" w:color="auto"/>
        <w:right w:val="none" w:sz="0" w:space="0" w:color="auto"/>
      </w:divBdr>
    </w:div>
    <w:div w:id="1392270615">
      <w:bodyDiv w:val="1"/>
      <w:marLeft w:val="0"/>
      <w:marRight w:val="0"/>
      <w:marTop w:val="0"/>
      <w:marBottom w:val="0"/>
      <w:divBdr>
        <w:top w:val="none" w:sz="0" w:space="0" w:color="auto"/>
        <w:left w:val="none" w:sz="0" w:space="0" w:color="auto"/>
        <w:bottom w:val="none" w:sz="0" w:space="0" w:color="auto"/>
        <w:right w:val="none" w:sz="0" w:space="0" w:color="auto"/>
      </w:divBdr>
    </w:div>
    <w:div w:id="1446774377">
      <w:bodyDiv w:val="1"/>
      <w:marLeft w:val="0"/>
      <w:marRight w:val="0"/>
      <w:marTop w:val="0"/>
      <w:marBottom w:val="0"/>
      <w:divBdr>
        <w:top w:val="none" w:sz="0" w:space="0" w:color="auto"/>
        <w:left w:val="none" w:sz="0" w:space="0" w:color="auto"/>
        <w:bottom w:val="none" w:sz="0" w:space="0" w:color="auto"/>
        <w:right w:val="none" w:sz="0" w:space="0" w:color="auto"/>
      </w:divBdr>
    </w:div>
    <w:div w:id="1498764091">
      <w:bodyDiv w:val="1"/>
      <w:marLeft w:val="0"/>
      <w:marRight w:val="0"/>
      <w:marTop w:val="0"/>
      <w:marBottom w:val="0"/>
      <w:divBdr>
        <w:top w:val="none" w:sz="0" w:space="0" w:color="auto"/>
        <w:left w:val="none" w:sz="0" w:space="0" w:color="auto"/>
        <w:bottom w:val="none" w:sz="0" w:space="0" w:color="auto"/>
        <w:right w:val="none" w:sz="0" w:space="0" w:color="auto"/>
      </w:divBdr>
    </w:div>
    <w:div w:id="1525825513">
      <w:bodyDiv w:val="1"/>
      <w:marLeft w:val="0"/>
      <w:marRight w:val="0"/>
      <w:marTop w:val="0"/>
      <w:marBottom w:val="0"/>
      <w:divBdr>
        <w:top w:val="none" w:sz="0" w:space="0" w:color="auto"/>
        <w:left w:val="none" w:sz="0" w:space="0" w:color="auto"/>
        <w:bottom w:val="none" w:sz="0" w:space="0" w:color="auto"/>
        <w:right w:val="none" w:sz="0" w:space="0" w:color="auto"/>
      </w:divBdr>
    </w:div>
    <w:div w:id="1581989953">
      <w:bodyDiv w:val="1"/>
      <w:marLeft w:val="0"/>
      <w:marRight w:val="0"/>
      <w:marTop w:val="0"/>
      <w:marBottom w:val="0"/>
      <w:divBdr>
        <w:top w:val="none" w:sz="0" w:space="0" w:color="auto"/>
        <w:left w:val="none" w:sz="0" w:space="0" w:color="auto"/>
        <w:bottom w:val="none" w:sz="0" w:space="0" w:color="auto"/>
        <w:right w:val="none" w:sz="0" w:space="0" w:color="auto"/>
      </w:divBdr>
    </w:div>
    <w:div w:id="1608846818">
      <w:bodyDiv w:val="1"/>
      <w:marLeft w:val="0"/>
      <w:marRight w:val="0"/>
      <w:marTop w:val="0"/>
      <w:marBottom w:val="0"/>
      <w:divBdr>
        <w:top w:val="none" w:sz="0" w:space="0" w:color="auto"/>
        <w:left w:val="none" w:sz="0" w:space="0" w:color="auto"/>
        <w:bottom w:val="none" w:sz="0" w:space="0" w:color="auto"/>
        <w:right w:val="none" w:sz="0" w:space="0" w:color="auto"/>
      </w:divBdr>
    </w:div>
    <w:div w:id="1638954024">
      <w:bodyDiv w:val="1"/>
      <w:marLeft w:val="0"/>
      <w:marRight w:val="0"/>
      <w:marTop w:val="0"/>
      <w:marBottom w:val="0"/>
      <w:divBdr>
        <w:top w:val="none" w:sz="0" w:space="0" w:color="auto"/>
        <w:left w:val="none" w:sz="0" w:space="0" w:color="auto"/>
        <w:bottom w:val="none" w:sz="0" w:space="0" w:color="auto"/>
        <w:right w:val="none" w:sz="0" w:space="0" w:color="auto"/>
      </w:divBdr>
    </w:div>
    <w:div w:id="1658532468">
      <w:bodyDiv w:val="1"/>
      <w:marLeft w:val="0"/>
      <w:marRight w:val="0"/>
      <w:marTop w:val="0"/>
      <w:marBottom w:val="0"/>
      <w:divBdr>
        <w:top w:val="none" w:sz="0" w:space="0" w:color="auto"/>
        <w:left w:val="none" w:sz="0" w:space="0" w:color="auto"/>
        <w:bottom w:val="none" w:sz="0" w:space="0" w:color="auto"/>
        <w:right w:val="none" w:sz="0" w:space="0" w:color="auto"/>
      </w:divBdr>
    </w:div>
    <w:div w:id="1696612264">
      <w:bodyDiv w:val="1"/>
      <w:marLeft w:val="0"/>
      <w:marRight w:val="0"/>
      <w:marTop w:val="0"/>
      <w:marBottom w:val="0"/>
      <w:divBdr>
        <w:top w:val="none" w:sz="0" w:space="0" w:color="auto"/>
        <w:left w:val="none" w:sz="0" w:space="0" w:color="auto"/>
        <w:bottom w:val="none" w:sz="0" w:space="0" w:color="auto"/>
        <w:right w:val="none" w:sz="0" w:space="0" w:color="auto"/>
      </w:divBdr>
    </w:div>
    <w:div w:id="1770463693">
      <w:bodyDiv w:val="1"/>
      <w:marLeft w:val="0"/>
      <w:marRight w:val="0"/>
      <w:marTop w:val="0"/>
      <w:marBottom w:val="0"/>
      <w:divBdr>
        <w:top w:val="none" w:sz="0" w:space="0" w:color="auto"/>
        <w:left w:val="none" w:sz="0" w:space="0" w:color="auto"/>
        <w:bottom w:val="none" w:sz="0" w:space="0" w:color="auto"/>
        <w:right w:val="none" w:sz="0" w:space="0" w:color="auto"/>
      </w:divBdr>
    </w:div>
    <w:div w:id="1771314446">
      <w:bodyDiv w:val="1"/>
      <w:marLeft w:val="0"/>
      <w:marRight w:val="0"/>
      <w:marTop w:val="0"/>
      <w:marBottom w:val="0"/>
      <w:divBdr>
        <w:top w:val="none" w:sz="0" w:space="0" w:color="auto"/>
        <w:left w:val="none" w:sz="0" w:space="0" w:color="auto"/>
        <w:bottom w:val="none" w:sz="0" w:space="0" w:color="auto"/>
        <w:right w:val="none" w:sz="0" w:space="0" w:color="auto"/>
      </w:divBdr>
    </w:div>
    <w:div w:id="1895577577">
      <w:bodyDiv w:val="1"/>
      <w:marLeft w:val="0"/>
      <w:marRight w:val="0"/>
      <w:marTop w:val="0"/>
      <w:marBottom w:val="0"/>
      <w:divBdr>
        <w:top w:val="none" w:sz="0" w:space="0" w:color="auto"/>
        <w:left w:val="none" w:sz="0" w:space="0" w:color="auto"/>
        <w:bottom w:val="none" w:sz="0" w:space="0" w:color="auto"/>
        <w:right w:val="none" w:sz="0" w:space="0" w:color="auto"/>
      </w:divBdr>
    </w:div>
    <w:div w:id="1901791470">
      <w:bodyDiv w:val="1"/>
      <w:marLeft w:val="0"/>
      <w:marRight w:val="0"/>
      <w:marTop w:val="0"/>
      <w:marBottom w:val="0"/>
      <w:divBdr>
        <w:top w:val="none" w:sz="0" w:space="0" w:color="auto"/>
        <w:left w:val="none" w:sz="0" w:space="0" w:color="auto"/>
        <w:bottom w:val="none" w:sz="0" w:space="0" w:color="auto"/>
        <w:right w:val="none" w:sz="0" w:space="0" w:color="auto"/>
      </w:divBdr>
    </w:div>
    <w:div w:id="2015066081">
      <w:bodyDiv w:val="1"/>
      <w:marLeft w:val="0"/>
      <w:marRight w:val="0"/>
      <w:marTop w:val="0"/>
      <w:marBottom w:val="0"/>
      <w:divBdr>
        <w:top w:val="none" w:sz="0" w:space="0" w:color="auto"/>
        <w:left w:val="none" w:sz="0" w:space="0" w:color="auto"/>
        <w:bottom w:val="none" w:sz="0" w:space="0" w:color="auto"/>
        <w:right w:val="none" w:sz="0" w:space="0" w:color="auto"/>
      </w:divBdr>
    </w:div>
    <w:div w:id="2033919263">
      <w:bodyDiv w:val="1"/>
      <w:marLeft w:val="0"/>
      <w:marRight w:val="0"/>
      <w:marTop w:val="0"/>
      <w:marBottom w:val="0"/>
      <w:divBdr>
        <w:top w:val="none" w:sz="0" w:space="0" w:color="auto"/>
        <w:left w:val="none" w:sz="0" w:space="0" w:color="auto"/>
        <w:bottom w:val="none" w:sz="0" w:space="0" w:color="auto"/>
        <w:right w:val="none" w:sz="0" w:space="0" w:color="auto"/>
      </w:divBdr>
    </w:div>
    <w:div w:id="2042700637">
      <w:bodyDiv w:val="1"/>
      <w:marLeft w:val="0"/>
      <w:marRight w:val="0"/>
      <w:marTop w:val="0"/>
      <w:marBottom w:val="0"/>
      <w:divBdr>
        <w:top w:val="none" w:sz="0" w:space="0" w:color="auto"/>
        <w:left w:val="none" w:sz="0" w:space="0" w:color="auto"/>
        <w:bottom w:val="none" w:sz="0" w:space="0" w:color="auto"/>
        <w:right w:val="none" w:sz="0" w:space="0" w:color="auto"/>
      </w:divBdr>
    </w:div>
    <w:div w:id="2049450560">
      <w:bodyDiv w:val="1"/>
      <w:marLeft w:val="0"/>
      <w:marRight w:val="0"/>
      <w:marTop w:val="0"/>
      <w:marBottom w:val="0"/>
      <w:divBdr>
        <w:top w:val="none" w:sz="0" w:space="0" w:color="auto"/>
        <w:left w:val="none" w:sz="0" w:space="0" w:color="auto"/>
        <w:bottom w:val="none" w:sz="0" w:space="0" w:color="auto"/>
        <w:right w:val="none" w:sz="0" w:space="0" w:color="auto"/>
      </w:divBdr>
    </w:div>
    <w:div w:id="2054109648">
      <w:bodyDiv w:val="1"/>
      <w:marLeft w:val="0"/>
      <w:marRight w:val="0"/>
      <w:marTop w:val="0"/>
      <w:marBottom w:val="0"/>
      <w:divBdr>
        <w:top w:val="none" w:sz="0" w:space="0" w:color="auto"/>
        <w:left w:val="none" w:sz="0" w:space="0" w:color="auto"/>
        <w:bottom w:val="none" w:sz="0" w:space="0" w:color="auto"/>
        <w:right w:val="none" w:sz="0" w:space="0" w:color="auto"/>
      </w:divBdr>
    </w:div>
    <w:div w:id="21075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gnifi.com"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fred.stlouisfed.org/series/VIXCLS" TargetMode="External"/><Relationship Id="rId1" Type="http://schemas.openxmlformats.org/officeDocument/2006/relationships/hyperlink" Target="https://fred.stlouisfed.org/series/DJ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Designed for business valuation professionals, TagniFi’s Quarterly Economic Update provides timely economic data to satisfy Revenue Ruling 59-60.  </Abstract>
  <CompanyAddress/>
  <CompanyPhone/>
  <CompanyFax/>
  <CompanyEmail>www.tagnifi.com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C0951-041A-4FA9-A453-7ECB1840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Quarterly Economic Update</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Economic Update</dc:title>
  <dc:subject>Interim Update: 1st Quarter of 2020</dc:subject>
  <dc:creator>Office 365</dc:creator>
  <cp:keywords/>
  <dc:description/>
  <cp:lastModifiedBy>Chad Sandstedt</cp:lastModifiedBy>
  <cp:revision>2</cp:revision>
  <cp:lastPrinted>2019-07-30T23:57:00Z</cp:lastPrinted>
  <dcterms:created xsi:type="dcterms:W3CDTF">2020-03-05T13:47:00Z</dcterms:created>
  <dcterms:modified xsi:type="dcterms:W3CDTF">2020-03-05T13:47:00Z</dcterms:modified>
</cp:coreProperties>
</file>