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25127297"/>
        <w:docPartObj>
          <w:docPartGallery w:val="Cover Pages"/>
          <w:docPartUnique/>
        </w:docPartObj>
      </w:sdtPr>
      <w:sdtEndPr/>
      <w:sdtContent>
        <w:p w14:paraId="2ABEC867" w14:textId="1B3017D2" w:rsidR="000F1648" w:rsidRDefault="008B2769" w:rsidP="002E6FDE">
          <w:pPr>
            <w:jc w:val="right"/>
          </w:pPr>
          <w:r>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77777777" w:rsidR="006663D0" w:rsidRDefault="006663D0" w:rsidP="002E6FDE">
          <w:pPr>
            <w:jc w:val="right"/>
          </w:pPr>
        </w:p>
        <w:p w14:paraId="61E7189B" w14:textId="134D415B" w:rsidR="006663D0" w:rsidRDefault="006663D0" w:rsidP="002E6FDE">
          <w:pPr>
            <w:jc w:val="right"/>
          </w:pPr>
          <w:r w:rsidRPr="006663D0">
            <w:rPr>
              <w:noProof/>
            </w:rPr>
            <w:drawing>
              <wp:inline distT="0" distB="0" distL="0" distR="0" wp14:anchorId="34B25528" wp14:editId="20A044F1">
                <wp:extent cx="5943600" cy="44570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065"/>
                        </a:xfrm>
                        <a:prstGeom prst="rect">
                          <a:avLst/>
                        </a:prstGeom>
                      </pic:spPr>
                    </pic:pic>
                  </a:graphicData>
                </a:graphic>
              </wp:inline>
            </w:drawing>
          </w:r>
          <w:r w:rsidR="00987AB7">
            <w:br/>
          </w:r>
        </w:p>
        <w:p w14:paraId="149D5EEE" w14:textId="3BE1B0C0" w:rsidR="00005111" w:rsidRDefault="006663D0" w:rsidP="002E6FDE">
          <w:pPr>
            <w:jc w:val="right"/>
            <w:rPr>
              <w:color w:val="008FD5"/>
              <w:sz w:val="64"/>
              <w:szCs w:val="64"/>
            </w:rPr>
          </w:pPr>
          <w:r w:rsidRPr="006663D0">
            <w:rPr>
              <w:color w:val="008FD5"/>
              <w:sz w:val="64"/>
              <w:szCs w:val="64"/>
            </w:rPr>
            <w:t>QUARTERLY ECONOMIC UPDATE</w:t>
          </w:r>
        </w:p>
        <w:p w14:paraId="7ADB2944" w14:textId="72B5DC1E" w:rsidR="006663D0" w:rsidRDefault="006663D0" w:rsidP="002E6FDE">
          <w:pPr>
            <w:jc w:val="right"/>
            <w:rPr>
              <w:sz w:val="36"/>
              <w:szCs w:val="36"/>
            </w:rPr>
          </w:pPr>
          <w:r w:rsidRPr="006663D0">
            <w:rPr>
              <w:sz w:val="36"/>
              <w:szCs w:val="36"/>
            </w:rPr>
            <w:t>For the 1</w:t>
          </w:r>
          <w:r w:rsidRPr="006663D0">
            <w:rPr>
              <w:sz w:val="36"/>
              <w:szCs w:val="36"/>
              <w:vertAlign w:val="superscript"/>
            </w:rPr>
            <w:t>st</w:t>
          </w:r>
          <w:r w:rsidRPr="006663D0">
            <w:rPr>
              <w:sz w:val="36"/>
              <w:szCs w:val="36"/>
            </w:rPr>
            <w:t xml:space="preserve"> Quarter of 2020</w:t>
          </w:r>
        </w:p>
        <w:p w14:paraId="45CA5FB6" w14:textId="7FC6A9D9" w:rsidR="006663D0" w:rsidRDefault="006663D0" w:rsidP="002E6FDE">
          <w:pPr>
            <w:jc w:val="right"/>
            <w:rPr>
              <w:sz w:val="36"/>
              <w:szCs w:val="36"/>
            </w:rPr>
          </w:pPr>
        </w:p>
        <w:p w14:paraId="036ED6C8" w14:textId="5EC9A59D" w:rsidR="006663D0" w:rsidRDefault="006663D0" w:rsidP="002E6FDE">
          <w:pPr>
            <w:jc w:val="right"/>
            <w:rPr>
              <w:color w:val="008FD5"/>
              <w:sz w:val="28"/>
              <w:szCs w:val="28"/>
            </w:rPr>
          </w:pPr>
          <w:r w:rsidRPr="006663D0">
            <w:rPr>
              <w:color w:val="008FD5"/>
              <w:sz w:val="28"/>
              <w:szCs w:val="28"/>
            </w:rPr>
            <w:t>Abstract</w:t>
          </w:r>
        </w:p>
        <w:p w14:paraId="78E365CD" w14:textId="1DCB5F6C" w:rsidR="006663D0" w:rsidRPr="006663D0" w:rsidRDefault="006663D0" w:rsidP="006663D0">
          <w:pPr>
            <w:jc w:val="right"/>
            <w:rPr>
              <w:sz w:val="20"/>
              <w:szCs w:val="20"/>
            </w:rPr>
          </w:pPr>
          <w:r w:rsidRPr="006663D0">
            <w:rPr>
              <w:sz w:val="20"/>
              <w:szCs w:val="20"/>
            </w:rPr>
            <w:t xml:space="preserve">Designed for business valuation professionals, </w:t>
          </w:r>
          <w:proofErr w:type="spellStart"/>
          <w:r w:rsidRPr="006663D0">
            <w:rPr>
              <w:sz w:val="20"/>
              <w:szCs w:val="20"/>
            </w:rPr>
            <w:t>TagniFi’s</w:t>
          </w:r>
          <w:proofErr w:type="spellEnd"/>
          <w:r w:rsidRPr="006663D0">
            <w:rPr>
              <w:sz w:val="20"/>
              <w:szCs w:val="20"/>
            </w:rPr>
            <w:t xml:space="preserve"> Quarterly Economic </w:t>
          </w:r>
          <w:r>
            <w:rPr>
              <w:sz w:val="20"/>
              <w:szCs w:val="20"/>
            </w:rPr>
            <w:br/>
          </w:r>
          <w:r w:rsidRPr="006663D0">
            <w:rPr>
              <w:sz w:val="20"/>
              <w:szCs w:val="20"/>
            </w:rPr>
            <w:t>Update provides timely economic data to satisfy Revenue Ruling 56-60.</w:t>
          </w:r>
        </w:p>
        <w:p w14:paraId="149D5EEF" w14:textId="0F932CBB" w:rsidR="00005111" w:rsidRDefault="00005111" w:rsidP="000F1648">
          <w:pPr>
            <w:ind w:hanging="900"/>
          </w:pPr>
          <w:r>
            <w:br w:type="page"/>
          </w:r>
        </w:p>
      </w:sdtContent>
    </w:sdt>
    <w:p w14:paraId="149D5EF0" w14:textId="77777777" w:rsidR="00217AD5" w:rsidRDefault="00005111" w:rsidP="00005111">
      <w:pPr>
        <w:pStyle w:val="Heading1"/>
      </w:pPr>
      <w:r>
        <w:lastRenderedPageBreak/>
        <w:t>Summary</w:t>
      </w:r>
    </w:p>
    <w:p w14:paraId="2075548B" w14:textId="7D910C26" w:rsidR="006748EE" w:rsidRDefault="003071CD" w:rsidP="00005111">
      <w:r w:rsidRPr="00A615E8">
        <w:t>In the 1</w:t>
      </w:r>
      <w:r w:rsidRPr="00A615E8">
        <w:rPr>
          <w:vertAlign w:val="superscript"/>
        </w:rPr>
        <w:t>st</w:t>
      </w:r>
      <w:r w:rsidRPr="00A615E8">
        <w:t xml:space="preserve"> quarter of 2020, the U.S. economy has suffered widespread ramifications of the global COVID-19 pandemic. Worldwide restrictions on in-person gathering</w:t>
      </w:r>
      <w:r w:rsidR="004A0947">
        <w:t xml:space="preserve"> </w:t>
      </w:r>
      <w:r w:rsidRPr="00A615E8">
        <w:t xml:space="preserve">and economic activity, </w:t>
      </w:r>
      <w:r w:rsidR="004A0947">
        <w:t>along with</w:t>
      </w:r>
      <w:r w:rsidR="004A0947" w:rsidRPr="00A615E8">
        <w:t xml:space="preserve"> </w:t>
      </w:r>
      <w:r w:rsidRPr="00A615E8">
        <w:t xml:space="preserve">the resultant job losses and disruptions to global supply chains, began to seriously impact the </w:t>
      </w:r>
      <w:r w:rsidR="004A0947">
        <w:t>world</w:t>
      </w:r>
      <w:r w:rsidRPr="00A615E8">
        <w:t xml:space="preserve"> economy </w:t>
      </w:r>
      <w:r w:rsidR="004A0947">
        <w:t xml:space="preserve">in February and the U.S. economy in March. </w:t>
      </w:r>
      <w:r w:rsidR="00F44A8F" w:rsidRPr="00A615E8">
        <w:t>GDP</w:t>
      </w:r>
      <w:r w:rsidR="006055F4" w:rsidRPr="00A615E8">
        <w:t xml:space="preserve"> </w:t>
      </w:r>
      <w:r w:rsidRPr="00A615E8">
        <w:t xml:space="preserve">and </w:t>
      </w:r>
      <w:r w:rsidR="00A14CD4">
        <w:t>employment</w:t>
      </w:r>
      <w:r w:rsidRPr="00A615E8">
        <w:t xml:space="preserve"> dropped suddenly during the last month of the quarter</w:t>
      </w:r>
      <w:r w:rsidR="006748EE" w:rsidRPr="00A615E8">
        <w:t xml:space="preserve">. </w:t>
      </w:r>
      <w:r w:rsidR="00A615E8" w:rsidRPr="00A615E8">
        <w:t xml:space="preserve">Capital markets reflected pervasive anxiety. </w:t>
      </w:r>
      <w:r w:rsidR="00A14CD4">
        <w:t xml:space="preserve">Federal and state governments, along with the central bank, passed measures to buffer the economy and citizens from the ensuing fallout. </w:t>
      </w:r>
      <w:r w:rsidR="00A52E02" w:rsidRPr="00A615E8">
        <w:t>T</w:t>
      </w:r>
      <w:r w:rsidR="00B66CC0" w:rsidRPr="00A615E8">
        <w:t xml:space="preserve">he Federal Reserve </w:t>
      </w:r>
      <w:r w:rsidR="000A79DC" w:rsidRPr="00A615E8">
        <w:t>cut</w:t>
      </w:r>
      <w:r w:rsidR="00551864" w:rsidRPr="00A615E8">
        <w:t xml:space="preserve"> </w:t>
      </w:r>
      <w:r w:rsidR="00B66CC0" w:rsidRPr="00A615E8">
        <w:t>target interest rate</w:t>
      </w:r>
      <w:r w:rsidR="000A79DC" w:rsidRPr="00A615E8">
        <w:t xml:space="preserve">s </w:t>
      </w:r>
      <w:r w:rsidR="00A615E8" w:rsidRPr="00A615E8">
        <w:t>to nearly zero and enacted large-scale quantitative easing measures</w:t>
      </w:r>
      <w:r w:rsidR="00B66CC0" w:rsidRPr="00A615E8">
        <w:t>.</w:t>
      </w:r>
      <w:r w:rsidR="00A615E8" w:rsidRPr="00A615E8">
        <w:t xml:space="preserve"> Congress passed a relief bill</w:t>
      </w:r>
      <w:r w:rsidR="00A14CD4">
        <w:t xml:space="preserve"> worth </w:t>
      </w:r>
      <w:r w:rsidR="00A14CD4" w:rsidRPr="00A615E8">
        <w:t>$2</w:t>
      </w:r>
      <w:r w:rsidR="00A14CD4">
        <w:t>.2</w:t>
      </w:r>
      <w:r w:rsidR="00A14CD4" w:rsidRPr="00A615E8">
        <w:t xml:space="preserve"> trillion</w:t>
      </w:r>
      <w:r w:rsidR="00A615E8" w:rsidRPr="00A615E8">
        <w:t xml:space="preserve"> to soften the impact on American businesses and citizens.</w:t>
      </w:r>
      <w:r w:rsidR="00A14CD4">
        <w:t xml:space="preserve"> The full impact of the pandemic remains to be seen.</w:t>
      </w:r>
    </w:p>
    <w:p w14:paraId="1DC53C15" w14:textId="3E056A0F" w:rsidR="001E26E8" w:rsidRDefault="001E26E8" w:rsidP="001E26E8">
      <w:r>
        <w:t>By the end of the 1</w:t>
      </w:r>
      <w:r w:rsidRPr="008C0F54">
        <w:rPr>
          <w:vertAlign w:val="superscript"/>
        </w:rPr>
        <w:t>st</w:t>
      </w:r>
      <w:r>
        <w:t xml:space="preserve"> quarter of 2020, 186,800 U.S. cases and 3,890 deaths had been reported from COVID-19</w:t>
      </w:r>
      <w:r>
        <w:rPr>
          <w:rStyle w:val="FootnoteReference"/>
        </w:rPr>
        <w:footnoteReference w:id="1"/>
      </w:r>
      <w:r>
        <w:t xml:space="preserve">. The viral disease has continued to spread exponentially, and as of May 1, 2020 there were 1,096,706 confirmed cases and 64,066 related deaths in the U.S., with 12 states reporting more than 25,000 cases. </w:t>
      </w:r>
      <w:r w:rsidRPr="005734C4">
        <w:t>In March, states began making emergency declarations and instituting protective measures to slow the spread of COVID-19, mitigating the impending overwhelm of the U.S. healthcare system.</w:t>
      </w:r>
    </w:p>
    <w:p w14:paraId="329EC1A7" w14:textId="77777777" w:rsidR="001E26E8" w:rsidRDefault="001E26E8" w:rsidP="001E26E8">
      <w:r>
        <w:t>Below is a summary timeline of COVID-19 events in the U.S.:</w:t>
      </w:r>
    </w:p>
    <w:tbl>
      <w:tblPr>
        <w:tblStyle w:val="PlainTable1"/>
        <w:tblW w:w="0" w:type="auto"/>
        <w:tblLook w:val="0400" w:firstRow="0" w:lastRow="0" w:firstColumn="0" w:lastColumn="0" w:noHBand="0" w:noVBand="1"/>
      </w:tblPr>
      <w:tblGrid>
        <w:gridCol w:w="2065"/>
        <w:gridCol w:w="7285"/>
      </w:tblGrid>
      <w:tr w:rsidR="001E26E8" w:rsidRPr="005D1E7F" w14:paraId="0617EA63"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0F77FD36" w14:textId="77777777" w:rsidR="001E26E8" w:rsidRPr="005D1E7F" w:rsidRDefault="001E26E8" w:rsidP="00B15A1B">
            <w:r w:rsidRPr="005D1E7F">
              <w:t>January 8-9</w:t>
            </w:r>
            <w:r>
              <w:t>, 2020</w:t>
            </w:r>
          </w:p>
        </w:tc>
        <w:tc>
          <w:tcPr>
            <w:tcW w:w="7285" w:type="dxa"/>
            <w:shd w:val="clear" w:color="auto" w:fill="DEEAF6" w:themeFill="accent1" w:themeFillTint="33"/>
          </w:tcPr>
          <w:p w14:paraId="0939B66B" w14:textId="77777777" w:rsidR="001E26E8" w:rsidRPr="005D1E7F" w:rsidRDefault="001E26E8" w:rsidP="00B15A1B">
            <w:r w:rsidRPr="005D1E7F">
              <w:t>CDC issues official health advisory and travel health notice for travelers to Wuhan City, Hubei Province, China</w:t>
            </w:r>
          </w:p>
        </w:tc>
      </w:tr>
      <w:tr w:rsidR="001E26E8" w:rsidRPr="005D1E7F" w14:paraId="7C6012BA" w14:textId="77777777" w:rsidTr="00B15A1B">
        <w:tc>
          <w:tcPr>
            <w:tcW w:w="2065" w:type="dxa"/>
          </w:tcPr>
          <w:p w14:paraId="5E877E54" w14:textId="77777777" w:rsidR="001E26E8" w:rsidRPr="005D1E7F" w:rsidRDefault="001E26E8" w:rsidP="00B15A1B">
            <w:r w:rsidRPr="005D1E7F">
              <w:t>January 17</w:t>
            </w:r>
            <w:r>
              <w:t>, 2020</w:t>
            </w:r>
          </w:p>
        </w:tc>
        <w:tc>
          <w:tcPr>
            <w:tcW w:w="7285" w:type="dxa"/>
          </w:tcPr>
          <w:p w14:paraId="0F06365C" w14:textId="77777777" w:rsidR="001E26E8" w:rsidRPr="005D1E7F" w:rsidRDefault="001E26E8" w:rsidP="00B15A1B">
            <w:r w:rsidRPr="005D1E7F">
              <w:t>CDC enacts enhanced health screening for individuals traveling into the U.S. from Wuhan City, Hubei Province, China</w:t>
            </w:r>
          </w:p>
        </w:tc>
      </w:tr>
      <w:tr w:rsidR="001E26E8" w:rsidRPr="005D1E7F" w14:paraId="65282BDC"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3E2BE260" w14:textId="77777777" w:rsidR="001E26E8" w:rsidRDefault="001E26E8" w:rsidP="00B15A1B">
            <w:r w:rsidRPr="005D1E7F">
              <w:t>January 21</w:t>
            </w:r>
            <w:r>
              <w:t>, 2020</w:t>
            </w:r>
          </w:p>
          <w:p w14:paraId="0CBB6954" w14:textId="0108803A" w:rsidR="00C9694F" w:rsidRPr="005D1E7F" w:rsidRDefault="00C9694F" w:rsidP="00B15A1B"/>
        </w:tc>
        <w:tc>
          <w:tcPr>
            <w:tcW w:w="7285" w:type="dxa"/>
            <w:shd w:val="clear" w:color="auto" w:fill="DEEAF6" w:themeFill="accent1" w:themeFillTint="33"/>
          </w:tcPr>
          <w:p w14:paraId="0CC46375" w14:textId="77777777" w:rsidR="001E26E8" w:rsidRPr="005D1E7F" w:rsidRDefault="001E26E8" w:rsidP="00B15A1B">
            <w:r w:rsidRPr="005D1E7F">
              <w:t>First confirmed case of COVID-19 in the US announced by Washington State Department of Health</w:t>
            </w:r>
          </w:p>
        </w:tc>
      </w:tr>
      <w:tr w:rsidR="001E26E8" w:rsidRPr="005D1E7F" w14:paraId="47598F3D" w14:textId="77777777" w:rsidTr="00B15A1B">
        <w:tc>
          <w:tcPr>
            <w:tcW w:w="2065" w:type="dxa"/>
          </w:tcPr>
          <w:p w14:paraId="51278524" w14:textId="77777777" w:rsidR="001E26E8" w:rsidRPr="005D1E7F" w:rsidRDefault="001E26E8" w:rsidP="00B15A1B">
            <w:r w:rsidRPr="005D1E7F">
              <w:t>January 30, 2020</w:t>
            </w:r>
          </w:p>
        </w:tc>
        <w:tc>
          <w:tcPr>
            <w:tcW w:w="7285" w:type="dxa"/>
          </w:tcPr>
          <w:p w14:paraId="742B9755" w14:textId="77777777" w:rsidR="001E26E8" w:rsidRPr="005D1E7F" w:rsidRDefault="001E26E8" w:rsidP="00B15A1B">
            <w:r w:rsidRPr="005D1E7F">
              <w:t>WHO declares “public health emergency of international concern”</w:t>
            </w:r>
          </w:p>
        </w:tc>
      </w:tr>
      <w:tr w:rsidR="001E26E8" w:rsidRPr="005D1E7F" w14:paraId="78260DF9"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51D8FEA3" w14:textId="77777777" w:rsidR="001E26E8" w:rsidRPr="005D1E7F" w:rsidRDefault="001E26E8" w:rsidP="00B15A1B">
            <w:r w:rsidRPr="005D1E7F">
              <w:t>January 31, 2020</w:t>
            </w:r>
          </w:p>
        </w:tc>
        <w:tc>
          <w:tcPr>
            <w:tcW w:w="7285" w:type="dxa"/>
            <w:shd w:val="clear" w:color="auto" w:fill="DEEAF6" w:themeFill="accent1" w:themeFillTint="33"/>
          </w:tcPr>
          <w:p w14:paraId="0CAD8723" w14:textId="77777777" w:rsidR="001E26E8" w:rsidRPr="005D1E7F" w:rsidRDefault="001E26E8" w:rsidP="00B15A1B">
            <w:r w:rsidRPr="005D1E7F">
              <w:t>Secretary Azar of Health and Human Services declares a public health emergency in the United States</w:t>
            </w:r>
          </w:p>
        </w:tc>
      </w:tr>
      <w:tr w:rsidR="001E26E8" w:rsidRPr="005D1E7F" w14:paraId="3AE862B8" w14:textId="77777777" w:rsidTr="00B15A1B">
        <w:tc>
          <w:tcPr>
            <w:tcW w:w="2065" w:type="dxa"/>
          </w:tcPr>
          <w:p w14:paraId="66F2F580" w14:textId="77777777" w:rsidR="001E26E8" w:rsidRPr="005D1E7F" w:rsidRDefault="001E26E8" w:rsidP="00B15A1B">
            <w:r w:rsidRPr="005D1E7F">
              <w:t>January 31, 2020</w:t>
            </w:r>
          </w:p>
        </w:tc>
        <w:tc>
          <w:tcPr>
            <w:tcW w:w="7285" w:type="dxa"/>
          </w:tcPr>
          <w:p w14:paraId="11C12D02" w14:textId="77777777" w:rsidR="001E26E8" w:rsidRPr="005D1E7F" w:rsidRDefault="001E26E8" w:rsidP="00B15A1B">
            <w:r w:rsidRPr="005D1E7F">
              <w:t>White House bans foreign nationals from entering the U.S. if they were in China in the previous 2 weeks</w:t>
            </w:r>
          </w:p>
        </w:tc>
      </w:tr>
      <w:tr w:rsidR="001E26E8" w:rsidRPr="005D1E7F" w14:paraId="1B1F635F"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00200124" w14:textId="77777777" w:rsidR="001E26E8" w:rsidRPr="005D1E7F" w:rsidRDefault="001E26E8" w:rsidP="00B15A1B">
            <w:r w:rsidRPr="005D1E7F">
              <w:t>February 2, 2020</w:t>
            </w:r>
          </w:p>
        </w:tc>
        <w:tc>
          <w:tcPr>
            <w:tcW w:w="7285" w:type="dxa"/>
            <w:shd w:val="clear" w:color="auto" w:fill="DEEAF6" w:themeFill="accent1" w:themeFillTint="33"/>
          </w:tcPr>
          <w:p w14:paraId="66D882D0" w14:textId="77777777" w:rsidR="001E26E8" w:rsidRPr="005D1E7F" w:rsidRDefault="001E26E8" w:rsidP="00B15A1B">
            <w:r w:rsidRPr="005D1E7F">
              <w:t>State Department issues an official warning against traveling to China</w:t>
            </w:r>
          </w:p>
        </w:tc>
      </w:tr>
      <w:tr w:rsidR="001E26E8" w:rsidRPr="005D1E7F" w14:paraId="411CBCF3" w14:textId="77777777" w:rsidTr="00B15A1B">
        <w:tc>
          <w:tcPr>
            <w:tcW w:w="2065" w:type="dxa"/>
          </w:tcPr>
          <w:p w14:paraId="1E33F467" w14:textId="77777777" w:rsidR="001E26E8" w:rsidRPr="005D1E7F" w:rsidRDefault="001E26E8" w:rsidP="00B15A1B">
            <w:r w:rsidRPr="005D1E7F">
              <w:t>February 8, 2020</w:t>
            </w:r>
          </w:p>
        </w:tc>
        <w:tc>
          <w:tcPr>
            <w:tcW w:w="7285" w:type="dxa"/>
          </w:tcPr>
          <w:p w14:paraId="4A33D26F" w14:textId="77777777" w:rsidR="001E26E8" w:rsidRPr="005D1E7F" w:rsidRDefault="001E26E8" w:rsidP="00B15A1B">
            <w:r w:rsidRPr="005D1E7F">
              <w:t>First recorded death of an American citizen from COVID-19 in Wuhan City, Hubei Province, China</w:t>
            </w:r>
          </w:p>
        </w:tc>
      </w:tr>
      <w:tr w:rsidR="001E26E8" w:rsidRPr="005D1E7F" w14:paraId="4D81617B"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06897AD7" w14:textId="77777777" w:rsidR="001E26E8" w:rsidRPr="005D1E7F" w:rsidRDefault="001E26E8" w:rsidP="00B15A1B">
            <w:r w:rsidRPr="005D1E7F">
              <w:t>February 28, 2020</w:t>
            </w:r>
          </w:p>
        </w:tc>
        <w:tc>
          <w:tcPr>
            <w:tcW w:w="7285" w:type="dxa"/>
            <w:shd w:val="clear" w:color="auto" w:fill="DEEAF6" w:themeFill="accent1" w:themeFillTint="33"/>
          </w:tcPr>
          <w:p w14:paraId="633A454C" w14:textId="77777777" w:rsidR="001E26E8" w:rsidRPr="005D1E7F" w:rsidRDefault="001E26E8" w:rsidP="00B15A1B">
            <w:r w:rsidRPr="005D1E7F">
              <w:t>World stock markets record largest 1-week decline since 2008 financial crisis</w:t>
            </w:r>
          </w:p>
        </w:tc>
      </w:tr>
      <w:tr w:rsidR="001E26E8" w:rsidRPr="005D1E7F" w14:paraId="317E2F6D" w14:textId="77777777" w:rsidTr="00B15A1B">
        <w:tc>
          <w:tcPr>
            <w:tcW w:w="2065" w:type="dxa"/>
          </w:tcPr>
          <w:p w14:paraId="77858299" w14:textId="77777777" w:rsidR="001E26E8" w:rsidRPr="005D1E7F" w:rsidRDefault="001E26E8" w:rsidP="00B15A1B">
            <w:r w:rsidRPr="005D1E7F">
              <w:t>February 29, 2020</w:t>
            </w:r>
          </w:p>
        </w:tc>
        <w:tc>
          <w:tcPr>
            <w:tcW w:w="7285" w:type="dxa"/>
          </w:tcPr>
          <w:p w14:paraId="57F01C65" w14:textId="77777777" w:rsidR="001E26E8" w:rsidRPr="005D1E7F" w:rsidRDefault="001E26E8" w:rsidP="00B15A1B">
            <w:r w:rsidRPr="005D1E7F">
              <w:t>Washington State announces first Declaration of Emergency and first announcement of confirmed COVID-19 death occurring in the U.S.</w:t>
            </w:r>
          </w:p>
        </w:tc>
      </w:tr>
      <w:tr w:rsidR="001E26E8" w:rsidRPr="005D1E7F" w14:paraId="54D318E9"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50EE2F2E" w14:textId="77777777" w:rsidR="001E26E8" w:rsidRPr="005D1E7F" w:rsidRDefault="001E26E8" w:rsidP="00B15A1B">
            <w:r w:rsidRPr="005D1E7F">
              <w:lastRenderedPageBreak/>
              <w:t>March 3, 2020</w:t>
            </w:r>
          </w:p>
        </w:tc>
        <w:tc>
          <w:tcPr>
            <w:tcW w:w="7285" w:type="dxa"/>
            <w:shd w:val="clear" w:color="auto" w:fill="DEEAF6" w:themeFill="accent1" w:themeFillTint="33"/>
          </w:tcPr>
          <w:p w14:paraId="5C94D598" w14:textId="77777777" w:rsidR="001E26E8" w:rsidRPr="005D1E7F" w:rsidRDefault="001E26E8" w:rsidP="00B15A1B">
            <w:r w:rsidRPr="005D1E7F">
              <w:t>FOMC announces unscheduled decision to lower Federal Funds Rate by 50 basis points to 1% to 1.25%</w:t>
            </w:r>
          </w:p>
        </w:tc>
      </w:tr>
      <w:tr w:rsidR="001E26E8" w:rsidRPr="005D1E7F" w14:paraId="2C308BBD" w14:textId="77777777" w:rsidTr="00B15A1B">
        <w:tc>
          <w:tcPr>
            <w:tcW w:w="2065" w:type="dxa"/>
          </w:tcPr>
          <w:p w14:paraId="416F83AD" w14:textId="77777777" w:rsidR="001E26E8" w:rsidRPr="005D1E7F" w:rsidRDefault="001E26E8" w:rsidP="00B15A1B">
            <w:r w:rsidRPr="005D1E7F">
              <w:t>March 9, 2020</w:t>
            </w:r>
          </w:p>
        </w:tc>
        <w:tc>
          <w:tcPr>
            <w:tcW w:w="7285" w:type="dxa"/>
          </w:tcPr>
          <w:p w14:paraId="6E1B664D" w14:textId="77777777" w:rsidR="001E26E8" w:rsidRPr="005D1E7F" w:rsidRDefault="001E26E8" w:rsidP="00B15A1B">
            <w:r w:rsidRPr="005D1E7F">
              <w:t>S&amp;P 500 declines trigger first of several 15-minute market-wide “circuit-breaker” trading halts</w:t>
            </w:r>
          </w:p>
        </w:tc>
      </w:tr>
      <w:tr w:rsidR="001E26E8" w:rsidRPr="005D1E7F" w14:paraId="7DE4C4B5"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5D6D9D90" w14:textId="77777777" w:rsidR="001E26E8" w:rsidRPr="005D1E7F" w:rsidRDefault="001E26E8" w:rsidP="00B15A1B">
            <w:r w:rsidRPr="005D1E7F">
              <w:t>March 11, 2020</w:t>
            </w:r>
          </w:p>
        </w:tc>
        <w:tc>
          <w:tcPr>
            <w:tcW w:w="7285" w:type="dxa"/>
            <w:shd w:val="clear" w:color="auto" w:fill="DEEAF6" w:themeFill="accent1" w:themeFillTint="33"/>
          </w:tcPr>
          <w:p w14:paraId="5142773A" w14:textId="77777777" w:rsidR="001E26E8" w:rsidRPr="005D1E7F" w:rsidRDefault="001E26E8" w:rsidP="00B15A1B">
            <w:r w:rsidRPr="005D1E7F">
              <w:t>WHO declares COVID-19 pandemic</w:t>
            </w:r>
          </w:p>
        </w:tc>
      </w:tr>
      <w:tr w:rsidR="001E26E8" w:rsidRPr="005D1E7F" w14:paraId="5C8EDDA6" w14:textId="77777777" w:rsidTr="00B15A1B">
        <w:tc>
          <w:tcPr>
            <w:tcW w:w="2065" w:type="dxa"/>
          </w:tcPr>
          <w:p w14:paraId="4C5B4F63" w14:textId="77777777" w:rsidR="001E26E8" w:rsidRPr="005D1E7F" w:rsidRDefault="001E26E8" w:rsidP="00B15A1B">
            <w:r w:rsidRPr="005D1E7F">
              <w:t>March 11, 2020</w:t>
            </w:r>
          </w:p>
        </w:tc>
        <w:tc>
          <w:tcPr>
            <w:tcW w:w="7285" w:type="dxa"/>
          </w:tcPr>
          <w:p w14:paraId="660157B6" w14:textId="77777777" w:rsidR="001E26E8" w:rsidRPr="005D1E7F" w:rsidRDefault="001E26E8" w:rsidP="00B15A1B">
            <w:r w:rsidRPr="005D1E7F">
              <w:t>White House bans travel from 26 European countries</w:t>
            </w:r>
          </w:p>
        </w:tc>
      </w:tr>
      <w:tr w:rsidR="001E26E8" w:rsidRPr="005D1E7F" w14:paraId="31FA5844"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6FD9FECC" w14:textId="77777777" w:rsidR="001E26E8" w:rsidRPr="005D1E7F" w:rsidRDefault="001E26E8" w:rsidP="00B15A1B">
            <w:r w:rsidRPr="005D1E7F">
              <w:t>March 13, 2020</w:t>
            </w:r>
          </w:p>
        </w:tc>
        <w:tc>
          <w:tcPr>
            <w:tcW w:w="7285" w:type="dxa"/>
            <w:shd w:val="clear" w:color="auto" w:fill="DEEAF6" w:themeFill="accent1" w:themeFillTint="33"/>
          </w:tcPr>
          <w:p w14:paraId="1910BB9E" w14:textId="77777777" w:rsidR="001E26E8" w:rsidRPr="005D1E7F" w:rsidRDefault="001E26E8" w:rsidP="00B15A1B">
            <w:r w:rsidRPr="005D1E7F">
              <w:t>U.S. declares National Emergency</w:t>
            </w:r>
          </w:p>
        </w:tc>
      </w:tr>
      <w:tr w:rsidR="001E26E8" w:rsidRPr="005D1E7F" w14:paraId="257AE1C3" w14:textId="77777777" w:rsidTr="00B15A1B">
        <w:tc>
          <w:tcPr>
            <w:tcW w:w="2065" w:type="dxa"/>
          </w:tcPr>
          <w:p w14:paraId="6C19078F" w14:textId="77777777" w:rsidR="001E26E8" w:rsidRPr="005D1E7F" w:rsidRDefault="001E26E8" w:rsidP="00B15A1B">
            <w:r w:rsidRPr="005D1E7F">
              <w:t>March 15, 2020</w:t>
            </w:r>
          </w:p>
        </w:tc>
        <w:tc>
          <w:tcPr>
            <w:tcW w:w="7285" w:type="dxa"/>
          </w:tcPr>
          <w:p w14:paraId="1743F782" w14:textId="77777777" w:rsidR="001E26E8" w:rsidRPr="005D1E7F" w:rsidRDefault="001E26E8" w:rsidP="00B15A1B">
            <w:r w:rsidRPr="005D1E7F">
              <w:t xml:space="preserve">FOMC holds a second unscheduled meeting, announces </w:t>
            </w:r>
            <w:r>
              <w:t>it will</w:t>
            </w:r>
            <w:r w:rsidRPr="005D1E7F">
              <w:t xml:space="preserve"> lowe</w:t>
            </w:r>
            <w:r>
              <w:t>r</w:t>
            </w:r>
            <w:r w:rsidRPr="005D1E7F">
              <w:t xml:space="preserve"> Federal Funds Rate by 100 basis points to 0% to 0.25%, </w:t>
            </w:r>
            <w:r>
              <w:t xml:space="preserve">expand </w:t>
            </w:r>
            <w:r w:rsidRPr="005D1E7F">
              <w:t>discount window credit and reduc</w:t>
            </w:r>
            <w:r>
              <w:t>e</w:t>
            </w:r>
            <w:r w:rsidRPr="005D1E7F">
              <w:t xml:space="preserve"> of reserve requirements to 0%, </w:t>
            </w:r>
            <w:r>
              <w:t xml:space="preserve">and coordinate with </w:t>
            </w:r>
            <w:r w:rsidRPr="005D1E7F">
              <w:t>Bank of Canada, Bank of England, Bank of Japan, the ECB, and the Swiss National Bank for U.S. dollar liquidity</w:t>
            </w:r>
          </w:p>
        </w:tc>
      </w:tr>
      <w:tr w:rsidR="001E26E8" w:rsidRPr="005D1E7F" w14:paraId="49EB36B2"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7633BDC5" w14:textId="77777777" w:rsidR="001E26E8" w:rsidRPr="005D1E7F" w:rsidRDefault="001E26E8" w:rsidP="00B15A1B">
            <w:r w:rsidRPr="005D1E7F">
              <w:t>March 16, 2020</w:t>
            </w:r>
          </w:p>
        </w:tc>
        <w:tc>
          <w:tcPr>
            <w:tcW w:w="7285" w:type="dxa"/>
            <w:shd w:val="clear" w:color="auto" w:fill="DEEAF6" w:themeFill="accent1" w:themeFillTint="33"/>
          </w:tcPr>
          <w:p w14:paraId="3A0416CB" w14:textId="77777777" w:rsidR="001E26E8" w:rsidRPr="005D1E7F" w:rsidRDefault="001E26E8" w:rsidP="00B15A1B">
            <w:r w:rsidRPr="005D1E7F">
              <w:t>White House issues guidelines for the public to limit gathering, discretionary travel, and eating or drinking out</w:t>
            </w:r>
          </w:p>
        </w:tc>
      </w:tr>
      <w:tr w:rsidR="001E26E8" w:rsidRPr="005D1E7F" w14:paraId="19EEDAA8" w14:textId="77777777" w:rsidTr="00B15A1B">
        <w:tc>
          <w:tcPr>
            <w:tcW w:w="2065" w:type="dxa"/>
          </w:tcPr>
          <w:p w14:paraId="5F9E3968" w14:textId="77777777" w:rsidR="001E26E8" w:rsidRPr="005D1E7F" w:rsidRDefault="001E26E8" w:rsidP="00B15A1B">
            <w:r w:rsidRPr="005D1E7F">
              <w:t>March 16, 2020</w:t>
            </w:r>
          </w:p>
        </w:tc>
        <w:tc>
          <w:tcPr>
            <w:tcW w:w="7285" w:type="dxa"/>
          </w:tcPr>
          <w:p w14:paraId="540D3674" w14:textId="77777777" w:rsidR="001E26E8" w:rsidRPr="005D1E7F" w:rsidRDefault="001E26E8" w:rsidP="00B15A1B">
            <w:r w:rsidRPr="005D1E7F">
              <w:t>Federal Reserve Board decreases discount rate to 0.25%</w:t>
            </w:r>
          </w:p>
        </w:tc>
      </w:tr>
      <w:tr w:rsidR="001E26E8" w:rsidRPr="005D1E7F" w14:paraId="7DB36779"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7B4722B0" w14:textId="77777777" w:rsidR="001E26E8" w:rsidRPr="005D1E7F" w:rsidRDefault="001E26E8" w:rsidP="00B15A1B">
            <w:r w:rsidRPr="005D1E7F">
              <w:t>March 17, 2020</w:t>
            </w:r>
          </w:p>
        </w:tc>
        <w:tc>
          <w:tcPr>
            <w:tcW w:w="7285" w:type="dxa"/>
            <w:shd w:val="clear" w:color="auto" w:fill="DEEAF6" w:themeFill="accent1" w:themeFillTint="33"/>
          </w:tcPr>
          <w:p w14:paraId="730ABAF6" w14:textId="77777777" w:rsidR="001E26E8" w:rsidRPr="005D1E7F" w:rsidRDefault="001E26E8" w:rsidP="00B15A1B">
            <w:r w:rsidRPr="005D1E7F">
              <w:t>White House invokes the Defense Production Act for ventilators and personal protective equipment (PPE)</w:t>
            </w:r>
          </w:p>
        </w:tc>
      </w:tr>
      <w:tr w:rsidR="001E26E8" w:rsidRPr="005D1E7F" w14:paraId="5145ED50" w14:textId="77777777" w:rsidTr="00B15A1B">
        <w:tc>
          <w:tcPr>
            <w:tcW w:w="2065" w:type="dxa"/>
          </w:tcPr>
          <w:p w14:paraId="669593C0" w14:textId="77777777" w:rsidR="001E26E8" w:rsidRPr="005D1E7F" w:rsidRDefault="001E26E8" w:rsidP="00B15A1B">
            <w:r w:rsidRPr="005D1E7F">
              <w:t>March 18, 2020</w:t>
            </w:r>
          </w:p>
        </w:tc>
        <w:tc>
          <w:tcPr>
            <w:tcW w:w="7285" w:type="dxa"/>
          </w:tcPr>
          <w:p w14:paraId="13522444" w14:textId="77777777" w:rsidR="001E26E8" w:rsidRPr="005D1E7F" w:rsidRDefault="001E26E8" w:rsidP="00B15A1B">
            <w:r w:rsidRPr="005D1E7F">
              <w:t>Families First Coronavirus Response Act signed with provisions for nationwide paid sick leave, tax credits, free COVID-19 testing, expansion of food assistance and unemployment benefits, and increase in Medicaid funding</w:t>
            </w:r>
          </w:p>
        </w:tc>
      </w:tr>
      <w:tr w:rsidR="001E26E8" w:rsidRPr="005D1E7F" w14:paraId="6E1F9719"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02AE0124" w14:textId="77777777" w:rsidR="001E26E8" w:rsidRPr="005D1E7F" w:rsidRDefault="001E26E8" w:rsidP="00B15A1B">
            <w:r w:rsidRPr="005D1E7F">
              <w:t>March 19, 2020</w:t>
            </w:r>
          </w:p>
        </w:tc>
        <w:tc>
          <w:tcPr>
            <w:tcW w:w="7285" w:type="dxa"/>
            <w:shd w:val="clear" w:color="auto" w:fill="DEEAF6" w:themeFill="accent1" w:themeFillTint="33"/>
          </w:tcPr>
          <w:p w14:paraId="686E64D8" w14:textId="77777777" w:rsidR="001E26E8" w:rsidRPr="005D1E7F" w:rsidRDefault="001E26E8" w:rsidP="00B15A1B">
            <w:r w:rsidRPr="005D1E7F">
              <w:t>California issues first “Stay at Home” order</w:t>
            </w:r>
          </w:p>
        </w:tc>
      </w:tr>
      <w:tr w:rsidR="001E26E8" w:rsidRPr="005D1E7F" w14:paraId="14E6AAA6" w14:textId="77777777" w:rsidTr="00B15A1B">
        <w:tc>
          <w:tcPr>
            <w:tcW w:w="2065" w:type="dxa"/>
          </w:tcPr>
          <w:p w14:paraId="4CF488C0" w14:textId="77777777" w:rsidR="001E26E8" w:rsidRPr="005D1E7F" w:rsidRDefault="001E26E8" w:rsidP="00B15A1B">
            <w:r w:rsidRPr="005D1E7F">
              <w:t>March 20, 2020</w:t>
            </w:r>
          </w:p>
        </w:tc>
        <w:tc>
          <w:tcPr>
            <w:tcW w:w="7285" w:type="dxa"/>
          </w:tcPr>
          <w:p w14:paraId="5C2F1287" w14:textId="77777777" w:rsidR="001E26E8" w:rsidRPr="005D1E7F" w:rsidRDefault="001E26E8" w:rsidP="00B15A1B">
            <w:r w:rsidRPr="005D1E7F">
              <w:t>U.S. Treasury and IRS officially move Tax Day to July 15,2020</w:t>
            </w:r>
          </w:p>
        </w:tc>
      </w:tr>
      <w:tr w:rsidR="001E26E8" w:rsidRPr="005D1E7F" w14:paraId="7CE215FF"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702D6177" w14:textId="77777777" w:rsidR="001E26E8" w:rsidRPr="005D1E7F" w:rsidRDefault="001E26E8" w:rsidP="00B15A1B">
            <w:r w:rsidRPr="005D1E7F">
              <w:t>March 23, 2020</w:t>
            </w:r>
          </w:p>
        </w:tc>
        <w:tc>
          <w:tcPr>
            <w:tcW w:w="7285" w:type="dxa"/>
            <w:shd w:val="clear" w:color="auto" w:fill="DEEAF6" w:themeFill="accent1" w:themeFillTint="33"/>
          </w:tcPr>
          <w:p w14:paraId="18011728" w14:textId="77777777" w:rsidR="001E26E8" w:rsidRPr="005D1E7F" w:rsidRDefault="001E26E8" w:rsidP="00B15A1B">
            <w:r w:rsidRPr="005D1E7F">
              <w:t>Federal Reserve enacts quantitative easing measures and announces $300 billion in new credit programs</w:t>
            </w:r>
          </w:p>
        </w:tc>
      </w:tr>
      <w:tr w:rsidR="001E26E8" w:rsidRPr="005D1E7F" w14:paraId="3D3264B7" w14:textId="77777777" w:rsidTr="00B15A1B">
        <w:tc>
          <w:tcPr>
            <w:tcW w:w="2065" w:type="dxa"/>
          </w:tcPr>
          <w:p w14:paraId="0872C7E2" w14:textId="77777777" w:rsidR="001E26E8" w:rsidRPr="005D1E7F" w:rsidRDefault="001E26E8" w:rsidP="00B15A1B">
            <w:r w:rsidRPr="005D1E7F">
              <w:t>March 27, 2020</w:t>
            </w:r>
          </w:p>
        </w:tc>
        <w:tc>
          <w:tcPr>
            <w:tcW w:w="7285" w:type="dxa"/>
          </w:tcPr>
          <w:p w14:paraId="366AE079" w14:textId="77777777" w:rsidR="001E26E8" w:rsidRPr="005D1E7F" w:rsidRDefault="001E26E8" w:rsidP="00B15A1B">
            <w:r w:rsidRPr="005D1E7F">
              <w:t>Coronavirus Aid, Relief, and Economic Security (CARES) Act signed, the largest single spending bill in the history of the United States at $2.</w:t>
            </w:r>
            <w:r>
              <w:t>2</w:t>
            </w:r>
            <w:r w:rsidRPr="005D1E7F">
              <w:t xml:space="preserve"> trillion</w:t>
            </w:r>
          </w:p>
        </w:tc>
      </w:tr>
      <w:tr w:rsidR="001E26E8" w:rsidRPr="005D1E7F" w14:paraId="217DAEB7"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514E8364" w14:textId="77777777" w:rsidR="001E26E8" w:rsidRPr="005D1E7F" w:rsidRDefault="001E26E8" w:rsidP="00B15A1B">
            <w:r w:rsidRPr="005D1E7F">
              <w:t>April 2, 2020</w:t>
            </w:r>
          </w:p>
        </w:tc>
        <w:tc>
          <w:tcPr>
            <w:tcW w:w="7285" w:type="dxa"/>
            <w:shd w:val="clear" w:color="auto" w:fill="DEEAF6" w:themeFill="accent1" w:themeFillTint="33"/>
          </w:tcPr>
          <w:p w14:paraId="4C137509" w14:textId="77777777" w:rsidR="001E26E8" w:rsidRPr="005D1E7F" w:rsidRDefault="001E26E8" w:rsidP="00B15A1B">
            <w:r w:rsidRPr="005D1E7F">
              <w:t>Confirmed COVID-19 cases total more than 1 million worldwide</w:t>
            </w:r>
          </w:p>
        </w:tc>
      </w:tr>
      <w:tr w:rsidR="001E26E8" w:rsidRPr="005D1E7F" w14:paraId="07F511A0" w14:textId="77777777" w:rsidTr="00B15A1B">
        <w:tc>
          <w:tcPr>
            <w:tcW w:w="2065" w:type="dxa"/>
          </w:tcPr>
          <w:p w14:paraId="6DA47127" w14:textId="77777777" w:rsidR="001E26E8" w:rsidRPr="005D1E7F" w:rsidRDefault="001E26E8" w:rsidP="00B15A1B">
            <w:r w:rsidRPr="005D1E7F">
              <w:t>April 3, 2020</w:t>
            </w:r>
          </w:p>
        </w:tc>
        <w:tc>
          <w:tcPr>
            <w:tcW w:w="7285" w:type="dxa"/>
          </w:tcPr>
          <w:p w14:paraId="5895DABB" w14:textId="77777777" w:rsidR="001E26E8" w:rsidRPr="005D1E7F" w:rsidRDefault="001E26E8" w:rsidP="00B15A1B">
            <w:r w:rsidRPr="005D1E7F">
              <w:t>SBA Announces Paycheck Protection Program” loans</w:t>
            </w:r>
          </w:p>
        </w:tc>
      </w:tr>
      <w:tr w:rsidR="001E26E8" w:rsidRPr="005D1E7F" w14:paraId="5B72A40F"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5FB1EADC" w14:textId="77777777" w:rsidR="001E26E8" w:rsidRPr="005D1E7F" w:rsidRDefault="001E26E8" w:rsidP="00B15A1B">
            <w:r w:rsidRPr="005D1E7F">
              <w:t>April 9, 2020</w:t>
            </w:r>
          </w:p>
        </w:tc>
        <w:tc>
          <w:tcPr>
            <w:tcW w:w="7285" w:type="dxa"/>
            <w:shd w:val="clear" w:color="auto" w:fill="DEEAF6" w:themeFill="accent1" w:themeFillTint="33"/>
          </w:tcPr>
          <w:p w14:paraId="478BDB8E" w14:textId="77777777" w:rsidR="001E26E8" w:rsidRPr="005D1E7F" w:rsidRDefault="001E26E8" w:rsidP="00B15A1B">
            <w:r w:rsidRPr="005D1E7F">
              <w:t>Federal Reserve Announces $2.3 trillion in additional loans to support the economy</w:t>
            </w:r>
          </w:p>
        </w:tc>
      </w:tr>
      <w:tr w:rsidR="001E26E8" w:rsidRPr="005D1E7F" w14:paraId="1EE72446" w14:textId="77777777" w:rsidTr="00B15A1B">
        <w:tc>
          <w:tcPr>
            <w:tcW w:w="2065" w:type="dxa"/>
          </w:tcPr>
          <w:p w14:paraId="580CCC9B" w14:textId="77777777" w:rsidR="001E26E8" w:rsidRPr="005D1E7F" w:rsidRDefault="001E26E8" w:rsidP="00B15A1B">
            <w:r w:rsidRPr="005D1E7F">
              <w:t>April 10, 2020</w:t>
            </w:r>
          </w:p>
        </w:tc>
        <w:tc>
          <w:tcPr>
            <w:tcW w:w="7285" w:type="dxa"/>
          </w:tcPr>
          <w:p w14:paraId="7E124B7E" w14:textId="77777777" w:rsidR="001E26E8" w:rsidRPr="005D1E7F" w:rsidRDefault="001E26E8" w:rsidP="00B15A1B">
            <w:r w:rsidRPr="005D1E7F">
              <w:t>Global deaths from COVID-19 passes 100,000</w:t>
            </w:r>
          </w:p>
        </w:tc>
      </w:tr>
      <w:tr w:rsidR="001E26E8" w:rsidRPr="005D1E7F" w14:paraId="67E6634B"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246762E1" w14:textId="77777777" w:rsidR="001E26E8" w:rsidRPr="005D1E7F" w:rsidRDefault="001E26E8" w:rsidP="00B15A1B">
            <w:r w:rsidRPr="005D1E7F">
              <w:t>April 15, 2020</w:t>
            </w:r>
          </w:p>
        </w:tc>
        <w:tc>
          <w:tcPr>
            <w:tcW w:w="7285" w:type="dxa"/>
            <w:shd w:val="clear" w:color="auto" w:fill="DEEAF6" w:themeFill="accent1" w:themeFillTint="33"/>
          </w:tcPr>
          <w:p w14:paraId="2D491639" w14:textId="77777777" w:rsidR="001E26E8" w:rsidRPr="005D1E7F" w:rsidRDefault="001E26E8" w:rsidP="00B15A1B">
            <w:r w:rsidRPr="005D1E7F">
              <w:t>Paycheck Protection Program funding exhausted</w:t>
            </w:r>
          </w:p>
        </w:tc>
      </w:tr>
      <w:tr w:rsidR="001E26E8" w:rsidRPr="005D1E7F" w14:paraId="4509AA5D" w14:textId="77777777" w:rsidTr="00B15A1B">
        <w:tc>
          <w:tcPr>
            <w:tcW w:w="2065" w:type="dxa"/>
          </w:tcPr>
          <w:p w14:paraId="0C7C253E" w14:textId="77777777" w:rsidR="001E26E8" w:rsidRPr="005D1E7F" w:rsidRDefault="001E26E8" w:rsidP="00B15A1B">
            <w:r w:rsidRPr="005D1E7F">
              <w:t>April 15, 2020</w:t>
            </w:r>
          </w:p>
        </w:tc>
        <w:tc>
          <w:tcPr>
            <w:tcW w:w="7285" w:type="dxa"/>
          </w:tcPr>
          <w:p w14:paraId="11AD6BB5" w14:textId="77777777" w:rsidR="001E26E8" w:rsidRPr="005D1E7F" w:rsidRDefault="001E26E8" w:rsidP="00B15A1B">
            <w:r w:rsidRPr="005D1E7F">
              <w:t xml:space="preserve">Confirmed COVID-19 cases total more than 2 million worldwide </w:t>
            </w:r>
          </w:p>
        </w:tc>
      </w:tr>
      <w:tr w:rsidR="001E26E8" w:rsidRPr="005D1E7F" w14:paraId="12EFE977"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1ED980B0" w14:textId="77777777" w:rsidR="001E26E8" w:rsidRPr="005D1E7F" w:rsidRDefault="001E26E8" w:rsidP="00B15A1B">
            <w:r w:rsidRPr="005D1E7F">
              <w:t>April 16, 2020</w:t>
            </w:r>
          </w:p>
        </w:tc>
        <w:tc>
          <w:tcPr>
            <w:tcW w:w="7285" w:type="dxa"/>
            <w:shd w:val="clear" w:color="auto" w:fill="DEEAF6" w:themeFill="accent1" w:themeFillTint="33"/>
          </w:tcPr>
          <w:p w14:paraId="192A9DAE" w14:textId="77777777" w:rsidR="001E26E8" w:rsidRPr="005D1E7F" w:rsidRDefault="001E26E8" w:rsidP="00B15A1B">
            <w:r w:rsidRPr="005D1E7F">
              <w:t>Federal Reserve opens Paycheck Protection Program Liquidity Facility</w:t>
            </w:r>
          </w:p>
        </w:tc>
      </w:tr>
      <w:tr w:rsidR="001E26E8" w:rsidRPr="005D1E7F" w14:paraId="6BB98FC9" w14:textId="77777777" w:rsidTr="00B15A1B">
        <w:tc>
          <w:tcPr>
            <w:tcW w:w="2065" w:type="dxa"/>
          </w:tcPr>
          <w:p w14:paraId="18DC3820" w14:textId="77777777" w:rsidR="001E26E8" w:rsidRPr="005D1E7F" w:rsidRDefault="001E26E8" w:rsidP="00B15A1B">
            <w:r w:rsidRPr="005D1E7F">
              <w:t>April 16, 2020</w:t>
            </w:r>
          </w:p>
        </w:tc>
        <w:tc>
          <w:tcPr>
            <w:tcW w:w="7285" w:type="dxa"/>
          </w:tcPr>
          <w:p w14:paraId="5361D873" w14:textId="77777777" w:rsidR="001E26E8" w:rsidRPr="005D1E7F" w:rsidRDefault="001E26E8" w:rsidP="00B15A1B">
            <w:r w:rsidRPr="005D1E7F">
              <w:t>White House releases guidelines for easing social distancing restrictions</w:t>
            </w:r>
          </w:p>
        </w:tc>
      </w:tr>
      <w:tr w:rsidR="001E26E8" w:rsidRPr="005D1E7F" w14:paraId="6852656F"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48CE1452" w14:textId="77777777" w:rsidR="001E26E8" w:rsidRPr="005D1E7F" w:rsidRDefault="001E26E8" w:rsidP="00B15A1B">
            <w:r w:rsidRPr="005D1E7F">
              <w:t>April 21, 2020</w:t>
            </w:r>
          </w:p>
        </w:tc>
        <w:tc>
          <w:tcPr>
            <w:tcW w:w="7285" w:type="dxa"/>
            <w:shd w:val="clear" w:color="auto" w:fill="DEEAF6" w:themeFill="accent1" w:themeFillTint="33"/>
          </w:tcPr>
          <w:p w14:paraId="24EE62D6" w14:textId="3CD04017" w:rsidR="001E26E8" w:rsidRPr="005D1E7F" w:rsidRDefault="001E26E8" w:rsidP="00B15A1B">
            <w:r w:rsidRPr="005D1E7F">
              <w:t>First confirmed COVID-19 death in the U.S. revised to February 6, in Califo</w:t>
            </w:r>
            <w:r w:rsidR="00E04D6B">
              <w:t>r</w:t>
            </w:r>
            <w:r w:rsidRPr="005D1E7F">
              <w:t>nia</w:t>
            </w:r>
          </w:p>
        </w:tc>
      </w:tr>
      <w:tr w:rsidR="001E26E8" w:rsidRPr="005D1E7F" w14:paraId="6712D885" w14:textId="77777777" w:rsidTr="00B15A1B">
        <w:tc>
          <w:tcPr>
            <w:tcW w:w="2065" w:type="dxa"/>
          </w:tcPr>
          <w:p w14:paraId="3C0A4E48" w14:textId="77777777" w:rsidR="001E26E8" w:rsidRPr="005D1E7F" w:rsidRDefault="001E26E8" w:rsidP="00B15A1B">
            <w:r w:rsidRPr="005D1E7F">
              <w:t>April 24, 2020</w:t>
            </w:r>
          </w:p>
        </w:tc>
        <w:tc>
          <w:tcPr>
            <w:tcW w:w="7285" w:type="dxa"/>
          </w:tcPr>
          <w:p w14:paraId="7269FCC4" w14:textId="77777777" w:rsidR="001E26E8" w:rsidRPr="005D1E7F" w:rsidRDefault="001E26E8" w:rsidP="00B15A1B">
            <w:r w:rsidRPr="005D1E7F">
              <w:t>Paycheck Protection Program and Health Care Enhancement Act signed with additional funding</w:t>
            </w:r>
          </w:p>
        </w:tc>
      </w:tr>
      <w:tr w:rsidR="001E26E8" w:rsidRPr="005D1E7F" w14:paraId="37548B6D"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5909671E" w14:textId="77777777" w:rsidR="001E26E8" w:rsidRPr="005D1E7F" w:rsidRDefault="001E26E8" w:rsidP="00B15A1B">
            <w:r w:rsidRPr="005D1E7F">
              <w:t>April 28, 2020</w:t>
            </w:r>
          </w:p>
        </w:tc>
        <w:tc>
          <w:tcPr>
            <w:tcW w:w="7285" w:type="dxa"/>
            <w:shd w:val="clear" w:color="auto" w:fill="DEEAF6" w:themeFill="accent1" w:themeFillTint="33"/>
          </w:tcPr>
          <w:p w14:paraId="58C5CCF4" w14:textId="77777777" w:rsidR="001E26E8" w:rsidRPr="005D1E7F" w:rsidRDefault="001E26E8" w:rsidP="00B15A1B">
            <w:r w:rsidRPr="005D1E7F">
              <w:t>U.S. becomes first country with 1 million confirmed cases of COVID-19</w:t>
            </w:r>
          </w:p>
        </w:tc>
      </w:tr>
      <w:tr w:rsidR="001E26E8" w:rsidRPr="005D1E7F" w14:paraId="68F1A162" w14:textId="77777777" w:rsidTr="00B15A1B">
        <w:tc>
          <w:tcPr>
            <w:tcW w:w="2065" w:type="dxa"/>
          </w:tcPr>
          <w:p w14:paraId="4175A5D2" w14:textId="77777777" w:rsidR="001E26E8" w:rsidRPr="005D1E7F" w:rsidRDefault="001E26E8" w:rsidP="00B15A1B">
            <w:r w:rsidRPr="005D1E7F">
              <w:lastRenderedPageBreak/>
              <w:t>April 28, 2020</w:t>
            </w:r>
          </w:p>
        </w:tc>
        <w:tc>
          <w:tcPr>
            <w:tcW w:w="7285" w:type="dxa"/>
          </w:tcPr>
          <w:p w14:paraId="59673F3B" w14:textId="77777777" w:rsidR="001E26E8" w:rsidRPr="005D1E7F" w:rsidRDefault="001E26E8" w:rsidP="00B15A1B">
            <w:r w:rsidRPr="005D1E7F">
              <w:t>White House invokes Defense Production Act to require continued operation of meat and poultry processors following outbreaks of COVID-19 at some facilities</w:t>
            </w:r>
          </w:p>
        </w:tc>
      </w:tr>
      <w:tr w:rsidR="001E26E8" w:rsidRPr="005D1E7F" w14:paraId="5D98A473" w14:textId="77777777" w:rsidTr="00C9694F">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EEAF6" w:themeFill="accent1" w:themeFillTint="33"/>
          </w:tcPr>
          <w:p w14:paraId="18C91C79" w14:textId="77777777" w:rsidR="001E26E8" w:rsidRPr="005D1E7F" w:rsidRDefault="001E26E8" w:rsidP="00B15A1B">
            <w:r w:rsidRPr="005D1E7F">
              <w:t>April 30, 2020</w:t>
            </w:r>
          </w:p>
        </w:tc>
        <w:tc>
          <w:tcPr>
            <w:tcW w:w="7285" w:type="dxa"/>
            <w:shd w:val="clear" w:color="auto" w:fill="DEEAF6" w:themeFill="accent1" w:themeFillTint="33"/>
          </w:tcPr>
          <w:p w14:paraId="765608B3" w14:textId="77777777" w:rsidR="001E26E8" w:rsidRPr="005D1E7F" w:rsidRDefault="001E26E8" w:rsidP="00B15A1B">
            <w:r w:rsidRPr="005D1E7F">
              <w:t>Federal Reserve Expands Access to Paycheck Protection Program Liquidity Facility</w:t>
            </w:r>
          </w:p>
        </w:tc>
      </w:tr>
    </w:tbl>
    <w:p w14:paraId="380DE2B2" w14:textId="28B78E5D" w:rsidR="00F03302" w:rsidRDefault="00A615E8" w:rsidP="001E26E8">
      <w:pPr>
        <w:spacing w:before="160"/>
      </w:pPr>
      <w:r>
        <w:t>The Philadelphia Fed’s coincident index of economic activity in the U.S. fell 0.2% in the 1</w:t>
      </w:r>
      <w:r w:rsidRPr="00A615E8">
        <w:rPr>
          <w:vertAlign w:val="superscript"/>
        </w:rPr>
        <w:t>st</w:t>
      </w:r>
      <w:r>
        <w:t xml:space="preserve"> quarter and 0.5% in March 2020. </w:t>
      </w:r>
      <w:r w:rsidRPr="00A615E8">
        <w:t xml:space="preserve">Over the </w:t>
      </w:r>
      <w:r>
        <w:t>quarter</w:t>
      </w:r>
      <w:r w:rsidRPr="00A615E8">
        <w:t xml:space="preserve">, </w:t>
      </w:r>
      <w:r w:rsidR="00714B74">
        <w:t xml:space="preserve">state </w:t>
      </w:r>
      <w:r>
        <w:t>coincident</w:t>
      </w:r>
      <w:r w:rsidRPr="00A615E8">
        <w:t xml:space="preserve"> indexes</w:t>
      </w:r>
      <w:r w:rsidR="00714B74">
        <w:rPr>
          <w:rStyle w:val="FootnoteReference"/>
        </w:rPr>
        <w:footnoteReference w:id="2"/>
      </w:r>
      <w:r w:rsidRPr="00A615E8">
        <w:t xml:space="preserve"> </w:t>
      </w:r>
      <w:r>
        <w:t>showed increased economic activity</w:t>
      </w:r>
      <w:r w:rsidRPr="00A615E8">
        <w:t xml:space="preserve"> in 18 states, decreased </w:t>
      </w:r>
      <w:r>
        <w:t xml:space="preserve">activity </w:t>
      </w:r>
      <w:r w:rsidRPr="00A615E8">
        <w:t>in 29, and stable</w:t>
      </w:r>
      <w:r>
        <w:t xml:space="preserve"> </w:t>
      </w:r>
      <w:r w:rsidR="00714B74">
        <w:t>levels</w:t>
      </w:r>
      <w:r w:rsidRPr="00A615E8">
        <w:t xml:space="preserve"> in </w:t>
      </w:r>
      <w:r>
        <w:t>3</w:t>
      </w:r>
      <w:r w:rsidRPr="00A615E8">
        <w:t xml:space="preserve">. In </w:t>
      </w:r>
      <w:r>
        <w:t>March</w:t>
      </w:r>
      <w:r w:rsidRPr="00A615E8">
        <w:t xml:space="preserve">, </w:t>
      </w:r>
      <w:r>
        <w:t>coincident</w:t>
      </w:r>
      <w:r w:rsidRPr="00A615E8">
        <w:t xml:space="preserve"> indexes increased in 12 states, decreased in 34 states, and remained stable in </w:t>
      </w:r>
      <w:r>
        <w:t>4</w:t>
      </w:r>
      <w:r w:rsidRPr="00A615E8">
        <w:t>.</w:t>
      </w:r>
      <w:r>
        <w:t xml:space="preserve"> Coincident indexes reflect </w:t>
      </w:r>
      <w:r w:rsidR="00714B74">
        <w:t>unemployment, payroll employment, manufacturing hours, and wages and salaries</w:t>
      </w:r>
      <w:r w:rsidR="00A14CD4">
        <w:t>.</w:t>
      </w:r>
      <w:r w:rsidR="00714B74">
        <w:t xml:space="preserve"> </w:t>
      </w:r>
      <w:r w:rsidR="00A14CD4">
        <w:t>T</w:t>
      </w:r>
      <w:r w:rsidR="00714B74">
        <w:t xml:space="preserve">he strong influence of unemployment estimates suggests that the calculations for March could skew higher than reality, as unemployment data referenced the week ending March 12, prior to </w:t>
      </w:r>
      <w:r w:rsidR="001E26E8">
        <w:t>“Stay at Home” orders taking effect in U.S. states</w:t>
      </w:r>
      <w:r w:rsidR="00714B74">
        <w:t xml:space="preserve">. </w:t>
      </w:r>
    </w:p>
    <w:p w14:paraId="7739DC43" w14:textId="3F04CB39" w:rsidR="00A96A6A" w:rsidRDefault="008B2769" w:rsidP="006D4E8F">
      <w:pPr>
        <w:jc w:val="center"/>
      </w:pPr>
      <w:r w:rsidRPr="008B2769">
        <w:rPr>
          <w:noProof/>
        </w:rPr>
        <w:drawing>
          <wp:inline distT="0" distB="0" distL="0" distR="0" wp14:anchorId="3940F20A" wp14:editId="5A78738F">
            <wp:extent cx="5943600" cy="34245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p>
    <w:p w14:paraId="022CFF26" w14:textId="538503CB" w:rsidR="003477B7" w:rsidRDefault="00CA4851" w:rsidP="008C0F54">
      <w:pPr>
        <w:spacing w:before="160"/>
      </w:pPr>
      <w:r>
        <w:t>T</w:t>
      </w:r>
      <w:r w:rsidR="009E4D8D" w:rsidRPr="00CA74AC">
        <w:t>he U.S. dollar index</w:t>
      </w:r>
      <w:r w:rsidR="00DA3959">
        <w:t xml:space="preserve"> for goods and services</w:t>
      </w:r>
      <w:r w:rsidR="00053E46">
        <w:rPr>
          <w:rStyle w:val="FootnoteReference"/>
        </w:rPr>
        <w:footnoteReference w:id="3"/>
      </w:r>
      <w:r w:rsidR="009E4D8D" w:rsidRPr="00CA74AC">
        <w:t xml:space="preserve"> </w:t>
      </w:r>
      <w:r w:rsidR="00DA3959">
        <w:t>rose throughout the 1</w:t>
      </w:r>
      <w:r w:rsidR="00DA3959" w:rsidRPr="00DA3959">
        <w:rPr>
          <w:vertAlign w:val="superscript"/>
        </w:rPr>
        <w:t>st</w:t>
      </w:r>
      <w:r w:rsidR="00DA3959">
        <w:t xml:space="preserve"> quarter of 2020</w:t>
      </w:r>
      <w:r>
        <w:t xml:space="preserve">, </w:t>
      </w:r>
      <w:r w:rsidR="00DA3959">
        <w:t>up 7.07</w:t>
      </w:r>
      <w:r w:rsidR="009E4D8D" w:rsidRPr="00CA74AC">
        <w:t xml:space="preserve">% from the </w:t>
      </w:r>
      <w:r w:rsidR="00DA3959">
        <w:t>end of last year and</w:t>
      </w:r>
      <w:r w:rsidR="001C7617">
        <w:t xml:space="preserve"> </w:t>
      </w:r>
      <w:r w:rsidR="00DA3959">
        <w:t>6</w:t>
      </w:r>
      <w:r w:rsidR="001C7617">
        <w:t>.</w:t>
      </w:r>
      <w:r w:rsidR="00DA3959">
        <w:t>75</w:t>
      </w:r>
      <w:r w:rsidR="009E4D8D" w:rsidRPr="00CA74AC">
        <w:t xml:space="preserve">% </w:t>
      </w:r>
      <w:r w:rsidR="007F5A38">
        <w:t>compared with</w:t>
      </w:r>
      <w:r w:rsidR="009E4D8D" w:rsidRPr="00CA74AC">
        <w:t xml:space="preserve"> the </w:t>
      </w:r>
      <w:r w:rsidR="00DA3959">
        <w:t>1</w:t>
      </w:r>
      <w:r w:rsidR="00DA3959" w:rsidRPr="00DA3959">
        <w:rPr>
          <w:vertAlign w:val="superscript"/>
        </w:rPr>
        <w:t>st</w:t>
      </w:r>
      <w:r w:rsidR="00DA3959">
        <w:t xml:space="preserve"> </w:t>
      </w:r>
      <w:r w:rsidR="00D01E9D">
        <w:t>quarter</w:t>
      </w:r>
      <w:r w:rsidR="00DA3959">
        <w:t xml:space="preserve"> a year ago</w:t>
      </w:r>
      <w:r w:rsidR="009E4D8D" w:rsidRPr="00CA74AC">
        <w:t>.</w:t>
      </w:r>
      <w:r w:rsidR="00E24F81" w:rsidRPr="00CA74AC">
        <w:t xml:space="preserve"> </w:t>
      </w:r>
      <w:r w:rsidR="00813396">
        <w:t>Demand for the</w:t>
      </w:r>
      <w:r w:rsidR="00AA37BC">
        <w:t xml:space="preserve"> dollar </w:t>
      </w:r>
      <w:r w:rsidR="00813396">
        <w:t>ballooned during March</w:t>
      </w:r>
      <w:r w:rsidR="001C7617">
        <w:t xml:space="preserve"> as </w:t>
      </w:r>
      <w:r w:rsidR="00813396">
        <w:t>tumbling equity markets led investors to diversify portfolios</w:t>
      </w:r>
      <w:r w:rsidR="00E37A8F">
        <w:t>.</w:t>
      </w:r>
      <w:r w:rsidR="001C7617">
        <w:t xml:space="preserve"> </w:t>
      </w:r>
      <w:r w:rsidR="00813396">
        <w:t xml:space="preserve">The growth tempered in late March as the Federal Reserve expanded access to dollar loans for </w:t>
      </w:r>
      <w:r w:rsidR="00813396">
        <w:lastRenderedPageBreak/>
        <w:t>foreign central banks in its efforts to mitigate the most immediate economic consequences of the COVID-19 pandemic.</w:t>
      </w:r>
    </w:p>
    <w:p w14:paraId="5FD9C9E3" w14:textId="7CB6C329" w:rsidR="004D1C9D" w:rsidRDefault="005C771E" w:rsidP="006D4E8F">
      <w:pPr>
        <w:jc w:val="center"/>
      </w:pPr>
      <w:r>
        <w:rPr>
          <w:noProof/>
        </w:rPr>
        <w:drawing>
          <wp:inline distT="0" distB="0" distL="0" distR="0" wp14:anchorId="04AC12DF" wp14:editId="7B04A83A">
            <wp:extent cx="4097020" cy="274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EF9" w14:textId="77777777" w:rsidR="002731EF" w:rsidRDefault="002731EF" w:rsidP="001475FF">
      <w:pPr>
        <w:pStyle w:val="Heading1"/>
      </w:pPr>
      <w:r>
        <w:t>Economic Highlights</w:t>
      </w:r>
    </w:p>
    <w:p w14:paraId="149D5EFA" w14:textId="65C2ABD2" w:rsidR="002608F3" w:rsidRPr="00E736EF" w:rsidRDefault="002608F3" w:rsidP="00E528F7">
      <w:pPr>
        <w:pStyle w:val="ListParagraph"/>
        <w:numPr>
          <w:ilvl w:val="0"/>
          <w:numId w:val="3"/>
        </w:numPr>
      </w:pPr>
      <w:r w:rsidRPr="00E736EF">
        <w:t xml:space="preserve">Real GDP </w:t>
      </w:r>
      <w:r w:rsidR="001E26E8" w:rsidRPr="00E736EF">
        <w:t>fell</w:t>
      </w:r>
      <w:r w:rsidR="00AA37BC" w:rsidRPr="00E736EF">
        <w:t xml:space="preserve"> at</w:t>
      </w:r>
      <w:r w:rsidR="00F44A8F" w:rsidRPr="00E736EF">
        <w:t xml:space="preserve"> </w:t>
      </w:r>
      <w:r w:rsidRPr="00E736EF">
        <w:t xml:space="preserve">an annual rate of </w:t>
      </w:r>
      <w:r w:rsidR="001E26E8" w:rsidRPr="00E736EF">
        <w:t>4.8</w:t>
      </w:r>
      <w:r w:rsidRPr="00E736EF">
        <w:t>%</w:t>
      </w:r>
      <w:r w:rsidR="00F44A8F" w:rsidRPr="00E736EF">
        <w:t xml:space="preserve"> in the </w:t>
      </w:r>
      <w:r w:rsidR="001E26E8" w:rsidRPr="00E736EF">
        <w:t>1</w:t>
      </w:r>
      <w:r w:rsidR="001E26E8" w:rsidRPr="00E736EF">
        <w:rPr>
          <w:vertAlign w:val="superscript"/>
        </w:rPr>
        <w:t>st</w:t>
      </w:r>
      <w:r w:rsidR="001E26E8" w:rsidRPr="00E736EF">
        <w:t xml:space="preserve"> </w:t>
      </w:r>
      <w:r w:rsidR="00F44A8F" w:rsidRPr="00E736EF">
        <w:t>quarter</w:t>
      </w:r>
      <w:r w:rsidR="001E26E8" w:rsidRPr="00E736EF">
        <w:t>, down from 2.1% growth in the previous quarter</w:t>
      </w:r>
      <w:r w:rsidRPr="00E736EF">
        <w:t>.</w:t>
      </w:r>
    </w:p>
    <w:p w14:paraId="149D5EFB" w14:textId="0B9C2BE2" w:rsidR="002731EF" w:rsidRPr="00E736EF" w:rsidRDefault="003E4ACB" w:rsidP="00E528F7">
      <w:pPr>
        <w:pStyle w:val="ListParagraph"/>
        <w:numPr>
          <w:ilvl w:val="0"/>
          <w:numId w:val="3"/>
        </w:numPr>
      </w:pPr>
      <w:r w:rsidRPr="00E736EF">
        <w:t xml:space="preserve">Oil prices </w:t>
      </w:r>
      <w:r w:rsidR="001E26E8" w:rsidRPr="00E736EF">
        <w:t>dropped by more than half</w:t>
      </w:r>
      <w:r w:rsidRPr="00E736EF">
        <w:t xml:space="preserve">, with WTI crude </w:t>
      </w:r>
      <w:r w:rsidR="001E26E8" w:rsidRPr="00E736EF">
        <w:t>down</w:t>
      </w:r>
      <w:r w:rsidR="00E37A8F" w:rsidRPr="00E736EF">
        <w:t xml:space="preserve"> to</w:t>
      </w:r>
      <w:r w:rsidRPr="00E736EF">
        <w:t xml:space="preserve"> </w:t>
      </w:r>
      <w:r w:rsidR="006575D2" w:rsidRPr="00E736EF">
        <w:t>$</w:t>
      </w:r>
      <w:r w:rsidR="001E26E8" w:rsidRPr="00E736EF">
        <w:t>29</w:t>
      </w:r>
      <w:r w:rsidR="00FE67AA" w:rsidRPr="00E736EF">
        <w:t>.</w:t>
      </w:r>
      <w:r w:rsidR="001E26E8" w:rsidRPr="00E736EF">
        <w:t>21</w:t>
      </w:r>
      <w:r w:rsidR="00FE67AA" w:rsidRPr="00E736EF">
        <w:t xml:space="preserve"> </w:t>
      </w:r>
      <w:r w:rsidR="00D851AB" w:rsidRPr="00E736EF">
        <w:t xml:space="preserve">per barrel in </w:t>
      </w:r>
      <w:r w:rsidR="001E26E8" w:rsidRPr="00E736EF">
        <w:t>March</w:t>
      </w:r>
      <w:r w:rsidRPr="00E736EF">
        <w:t>.</w:t>
      </w:r>
    </w:p>
    <w:p w14:paraId="149D5EFC" w14:textId="28650117" w:rsidR="00E24F81" w:rsidRPr="00E736EF" w:rsidRDefault="00E24F81" w:rsidP="00E528F7">
      <w:pPr>
        <w:pStyle w:val="ListParagraph"/>
        <w:numPr>
          <w:ilvl w:val="0"/>
          <w:numId w:val="3"/>
        </w:numPr>
      </w:pPr>
      <w:r w:rsidRPr="00E736EF">
        <w:t xml:space="preserve">The U.S. dollar index </w:t>
      </w:r>
      <w:r w:rsidR="001E26E8" w:rsidRPr="00E736EF">
        <w:t>rose 6.75</w:t>
      </w:r>
      <w:r w:rsidRPr="00E736EF">
        <w:t xml:space="preserve">% in the </w:t>
      </w:r>
      <w:r w:rsidR="001E26E8" w:rsidRPr="00E736EF">
        <w:t>1</w:t>
      </w:r>
      <w:r w:rsidR="001E26E8" w:rsidRPr="00E736EF">
        <w:rPr>
          <w:vertAlign w:val="superscript"/>
        </w:rPr>
        <w:t>st</w:t>
      </w:r>
      <w:r w:rsidR="001E26E8" w:rsidRPr="00E736EF">
        <w:t xml:space="preserve"> </w:t>
      </w:r>
      <w:r w:rsidRPr="00E736EF">
        <w:t xml:space="preserve">quarter </w:t>
      </w:r>
      <w:r w:rsidR="001E26E8" w:rsidRPr="00E736EF">
        <w:t>and 7.07</w:t>
      </w:r>
      <w:r w:rsidRPr="00E736EF">
        <w:t xml:space="preserve">% </w:t>
      </w:r>
      <w:r w:rsidR="00311E77" w:rsidRPr="00E736EF">
        <w:t>compared with</w:t>
      </w:r>
      <w:r w:rsidRPr="00E736EF">
        <w:t xml:space="preserve"> the same period last year.</w:t>
      </w:r>
    </w:p>
    <w:p w14:paraId="149D5EFD" w14:textId="26BBC8FD" w:rsidR="0076717F" w:rsidRPr="00E736EF" w:rsidRDefault="00E50993" w:rsidP="00E528F7">
      <w:pPr>
        <w:pStyle w:val="ListParagraph"/>
        <w:numPr>
          <w:ilvl w:val="0"/>
          <w:numId w:val="3"/>
        </w:numPr>
      </w:pPr>
      <w:r w:rsidRPr="00E736EF">
        <w:t xml:space="preserve">In </w:t>
      </w:r>
      <w:r w:rsidR="001E26E8" w:rsidRPr="00E736EF">
        <w:t>March</w:t>
      </w:r>
      <w:r w:rsidR="00E37A8F" w:rsidRPr="00E736EF">
        <w:t>,</w:t>
      </w:r>
      <w:r w:rsidRPr="00E736EF">
        <w:t xml:space="preserve"> the Federal Reserve </w:t>
      </w:r>
      <w:r w:rsidR="001E26E8" w:rsidRPr="00E736EF">
        <w:t>lowered</w:t>
      </w:r>
      <w:r w:rsidR="00E37A8F" w:rsidRPr="00E736EF">
        <w:t xml:space="preserve"> the federal funds target rate </w:t>
      </w:r>
      <w:r w:rsidR="001E26E8" w:rsidRPr="00E736EF">
        <w:t>to</w:t>
      </w:r>
      <w:r w:rsidR="00E37A8F" w:rsidRPr="00E736EF">
        <w:t xml:space="preserve"> a range of </w:t>
      </w:r>
      <w:r w:rsidR="001E26E8" w:rsidRPr="00E736EF">
        <w:t>0</w:t>
      </w:r>
      <w:r w:rsidR="005117CA" w:rsidRPr="00E736EF">
        <w:t>.</w:t>
      </w:r>
      <w:r w:rsidR="001E26E8" w:rsidRPr="00E736EF">
        <w:t>0</w:t>
      </w:r>
      <w:r w:rsidR="00FE67AA" w:rsidRPr="00E736EF">
        <w:t>0</w:t>
      </w:r>
      <w:r w:rsidR="00E37A8F" w:rsidRPr="00E736EF">
        <w:t xml:space="preserve"> to </w:t>
      </w:r>
      <w:r w:rsidR="001E26E8" w:rsidRPr="00E736EF">
        <w:t>0</w:t>
      </w:r>
      <w:r w:rsidR="00FE67AA" w:rsidRPr="00E736EF">
        <w:t>.</w:t>
      </w:r>
      <w:r w:rsidR="001E26E8" w:rsidRPr="00E736EF">
        <w:t>2</w:t>
      </w:r>
      <w:r w:rsidR="00FE67AA" w:rsidRPr="00E736EF">
        <w:t>5</w:t>
      </w:r>
      <w:r w:rsidR="00E37A8F" w:rsidRPr="00E736EF">
        <w:t xml:space="preserve"> percent</w:t>
      </w:r>
      <w:r w:rsidR="001E26E8" w:rsidRPr="00E736EF">
        <w:t xml:space="preserve"> in two unscheduled decisions</w:t>
      </w:r>
      <w:r w:rsidR="0035542E">
        <w:t>.</w:t>
      </w:r>
    </w:p>
    <w:p w14:paraId="149D5EFE" w14:textId="234C0A5F" w:rsidR="003E4ACB" w:rsidRPr="00E736EF" w:rsidRDefault="00FE67AA" w:rsidP="00E528F7">
      <w:pPr>
        <w:pStyle w:val="ListParagraph"/>
        <w:numPr>
          <w:ilvl w:val="0"/>
          <w:numId w:val="3"/>
        </w:numPr>
      </w:pPr>
      <w:r w:rsidRPr="00E736EF">
        <w:t xml:space="preserve">Bond </w:t>
      </w:r>
      <w:r w:rsidR="001E26E8" w:rsidRPr="00E736EF">
        <w:t>yields</w:t>
      </w:r>
      <w:r w:rsidR="003E4ACB" w:rsidRPr="00E736EF">
        <w:t xml:space="preserve"> </w:t>
      </w:r>
      <w:r w:rsidR="001E26E8" w:rsidRPr="00E736EF">
        <w:t>fell</w:t>
      </w:r>
      <w:r w:rsidR="00E37A8F" w:rsidRPr="00E736EF">
        <w:t xml:space="preserve"> </w:t>
      </w:r>
      <w:r w:rsidR="003E4ACB" w:rsidRPr="00E736EF">
        <w:t>during the quarter</w:t>
      </w:r>
      <w:r w:rsidR="001E26E8" w:rsidRPr="00E736EF">
        <w:t>,</w:t>
      </w:r>
      <w:r w:rsidR="003E4ACB" w:rsidRPr="00E736EF">
        <w:t xml:space="preserve"> with the 10-y</w:t>
      </w:r>
      <w:r w:rsidR="002F1C7B" w:rsidRPr="00E736EF">
        <w:t xml:space="preserve">ear U.S. treasury </w:t>
      </w:r>
      <w:r w:rsidR="00BD0BA8" w:rsidRPr="00E736EF">
        <w:t>yielding</w:t>
      </w:r>
      <w:r w:rsidR="002F1C7B" w:rsidRPr="00E736EF">
        <w:t xml:space="preserve"> </w:t>
      </w:r>
      <w:r w:rsidR="001E26E8" w:rsidRPr="00E736EF">
        <w:t>0</w:t>
      </w:r>
      <w:r w:rsidR="005117CA" w:rsidRPr="00E736EF">
        <w:t>.</w:t>
      </w:r>
      <w:r w:rsidR="001E26E8" w:rsidRPr="00E736EF">
        <w:t>70</w:t>
      </w:r>
      <w:r w:rsidR="003E4ACB" w:rsidRPr="00E736EF">
        <w:t xml:space="preserve">% </w:t>
      </w:r>
      <w:r w:rsidR="004D0515" w:rsidRPr="00E736EF">
        <w:t>and the 30-y</w:t>
      </w:r>
      <w:r w:rsidR="002F1C7B" w:rsidRPr="00E736EF">
        <w:t>ear U.S. treasury yielding</w:t>
      </w:r>
      <w:r w:rsidR="004D0515" w:rsidRPr="00E736EF">
        <w:t xml:space="preserve"> </w:t>
      </w:r>
      <w:r w:rsidR="001E26E8" w:rsidRPr="00E736EF">
        <w:t>1.35</w:t>
      </w:r>
      <w:r w:rsidR="002F1C7B" w:rsidRPr="00E736EF">
        <w:t>%</w:t>
      </w:r>
      <w:r w:rsidR="004D0515" w:rsidRPr="00E736EF">
        <w:t>.</w:t>
      </w:r>
    </w:p>
    <w:p w14:paraId="149D5EFF" w14:textId="2C9B6953" w:rsidR="003E4ACB" w:rsidRPr="00E736EF" w:rsidRDefault="00CD3F6E" w:rsidP="00E528F7">
      <w:pPr>
        <w:pStyle w:val="ListParagraph"/>
        <w:numPr>
          <w:ilvl w:val="0"/>
          <w:numId w:val="3"/>
        </w:numPr>
      </w:pPr>
      <w:r w:rsidRPr="00E736EF">
        <w:t>Consumer i</w:t>
      </w:r>
      <w:r w:rsidR="006E4B4F" w:rsidRPr="00E736EF">
        <w:t xml:space="preserve">nflation </w:t>
      </w:r>
      <w:r w:rsidR="001E26E8" w:rsidRPr="00E736EF">
        <w:t>de</w:t>
      </w:r>
      <w:r w:rsidR="00E736EF" w:rsidRPr="00E736EF">
        <w:t>celerated</w:t>
      </w:r>
      <w:r w:rsidR="00FE67AA" w:rsidRPr="00E736EF">
        <w:t xml:space="preserve"> to </w:t>
      </w:r>
      <w:r w:rsidR="00E736EF" w:rsidRPr="00E736EF">
        <w:t>1.5</w:t>
      </w:r>
      <w:r w:rsidR="00364347">
        <w:t>2</w:t>
      </w:r>
      <w:r w:rsidR="00CC118C" w:rsidRPr="00E736EF">
        <w:t>% during the quarter</w:t>
      </w:r>
      <w:r w:rsidR="003E4ACB" w:rsidRPr="00E736EF">
        <w:t>.</w:t>
      </w:r>
    </w:p>
    <w:p w14:paraId="149D5F00" w14:textId="0D1A65D5" w:rsidR="003E4ACB" w:rsidRPr="00E736EF" w:rsidRDefault="00E736EF" w:rsidP="00E528F7">
      <w:pPr>
        <w:pStyle w:val="ListParagraph"/>
        <w:numPr>
          <w:ilvl w:val="0"/>
          <w:numId w:val="3"/>
        </w:numPr>
      </w:pPr>
      <w:r w:rsidRPr="00E736EF">
        <w:t>New housing starts</w:t>
      </w:r>
      <w:r w:rsidR="003E4ACB" w:rsidRPr="00E736EF">
        <w:t xml:space="preserve"> </w:t>
      </w:r>
      <w:r w:rsidRPr="00E736EF">
        <w:t>fell 24.0% over the quarter</w:t>
      </w:r>
      <w:r w:rsidR="00140FEE" w:rsidRPr="00E736EF">
        <w:t>, to 1.</w:t>
      </w:r>
      <w:r w:rsidRPr="00E736EF">
        <w:t>22</w:t>
      </w:r>
      <w:r w:rsidR="00140FEE" w:rsidRPr="00E736EF">
        <w:t xml:space="preserve"> million in </w:t>
      </w:r>
      <w:r w:rsidRPr="00E736EF">
        <w:t>March</w:t>
      </w:r>
      <w:r w:rsidR="0035542E">
        <w:t>.</w:t>
      </w:r>
    </w:p>
    <w:p w14:paraId="72D69FBD" w14:textId="4402E475" w:rsidR="00F94484" w:rsidRPr="00E736EF" w:rsidRDefault="00E736EF" w:rsidP="00F94484">
      <w:pPr>
        <w:pStyle w:val="ListParagraph"/>
        <w:numPr>
          <w:ilvl w:val="0"/>
          <w:numId w:val="3"/>
        </w:numPr>
      </w:pPr>
      <w:r w:rsidRPr="00E736EF">
        <w:t>Unemployment rose to a 3-year high of 4.4%, and payroll employment dropped 701,000 in March</w:t>
      </w:r>
      <w:r w:rsidR="005917C1" w:rsidRPr="00E736EF">
        <w:t>.</w:t>
      </w:r>
    </w:p>
    <w:p w14:paraId="149D5F03" w14:textId="1F36A045" w:rsidR="0076717F" w:rsidRPr="00F94484" w:rsidRDefault="00FC013E" w:rsidP="00F94484">
      <w:pPr>
        <w:pStyle w:val="ListParagraph"/>
        <w:numPr>
          <w:ilvl w:val="0"/>
          <w:numId w:val="3"/>
        </w:numPr>
      </w:pPr>
      <w:r w:rsidRPr="00E736EF">
        <w:t>U</w:t>
      </w:r>
      <w:r w:rsidR="00F74174" w:rsidRPr="00E736EF">
        <w:t>.</w:t>
      </w:r>
      <w:r w:rsidRPr="00E736EF">
        <w:t>S</w:t>
      </w:r>
      <w:r w:rsidR="00F74174" w:rsidRPr="00E736EF">
        <w:t>.</w:t>
      </w:r>
      <w:r w:rsidRPr="00E736EF">
        <w:t xml:space="preserve"> </w:t>
      </w:r>
      <w:r w:rsidR="00F94484" w:rsidRPr="00E736EF">
        <w:t xml:space="preserve">capital </w:t>
      </w:r>
      <w:r w:rsidRPr="00E736EF">
        <w:t>markets</w:t>
      </w:r>
      <w:r w:rsidR="00D928C8" w:rsidRPr="00E736EF">
        <w:t xml:space="preserve"> </w:t>
      </w:r>
      <w:r w:rsidR="00E736EF" w:rsidRPr="00E736EF">
        <w:t>suffered a tumultuous March, ending the 1</w:t>
      </w:r>
      <w:r w:rsidR="00E736EF" w:rsidRPr="00E736EF">
        <w:rPr>
          <w:vertAlign w:val="superscript"/>
        </w:rPr>
        <w:t>st</w:t>
      </w:r>
      <w:r w:rsidR="00E736EF" w:rsidRPr="00E736EF">
        <w:t xml:space="preserve"> quarter</w:t>
      </w:r>
      <w:r w:rsidR="00FE67AA" w:rsidRPr="00E736EF">
        <w:t xml:space="preserve"> </w:t>
      </w:r>
      <w:r w:rsidR="006D518C" w:rsidRPr="00E736EF">
        <w:t>with</w:t>
      </w:r>
      <w:r w:rsidR="00D928C8" w:rsidRPr="00E736EF">
        <w:t xml:space="preserve"> the S&amp;P 500 </w:t>
      </w:r>
      <w:r w:rsidR="00E736EF" w:rsidRPr="00E736EF">
        <w:t>down 20.0</w:t>
      </w:r>
      <w:r w:rsidR="00FE67AA" w:rsidRPr="00E736EF">
        <w:t xml:space="preserve">% </w:t>
      </w:r>
      <w:r w:rsidR="00454F4B" w:rsidRPr="00E736EF">
        <w:t xml:space="preserve">and the Dow Jones Industrial Average </w:t>
      </w:r>
      <w:r w:rsidR="00E736EF" w:rsidRPr="00E736EF">
        <w:t>down 23.2</w:t>
      </w:r>
      <w:r w:rsidR="00454F4B" w:rsidRPr="00E736EF">
        <w:t>%</w:t>
      </w:r>
      <w:r w:rsidR="002608F3" w:rsidRPr="00E736EF">
        <w:t>.</w:t>
      </w:r>
      <w:r w:rsidR="0076717F">
        <w:br w:type="page"/>
      </w:r>
    </w:p>
    <w:p w14:paraId="149D5F04" w14:textId="77777777" w:rsidR="00057711" w:rsidRDefault="00057711" w:rsidP="00057711">
      <w:pPr>
        <w:pStyle w:val="Heading1"/>
      </w:pPr>
      <w:r>
        <w:lastRenderedPageBreak/>
        <w:t>Business Activity</w:t>
      </w:r>
    </w:p>
    <w:p w14:paraId="25413EE4" w14:textId="08335D73" w:rsidR="00A96A6A" w:rsidRPr="00F27E28" w:rsidRDefault="0080028D" w:rsidP="00057711">
      <w:r w:rsidRPr="00F27E28">
        <w:t>According to the Bureau of Economic Analysis</w:t>
      </w:r>
      <w:r w:rsidR="002608F3" w:rsidRPr="00F27E28">
        <w:t xml:space="preserve"> (BEA)</w:t>
      </w:r>
      <w:r w:rsidRPr="00F27E28">
        <w:t>, real gross domestic product (GDP)</w:t>
      </w:r>
      <w:r w:rsidR="00A8559D" w:rsidRPr="00F27E28">
        <w:rPr>
          <w:rStyle w:val="FootnoteReference"/>
        </w:rPr>
        <w:footnoteReference w:id="4"/>
      </w:r>
      <w:r w:rsidRPr="00F27E28">
        <w:t xml:space="preserve"> </w:t>
      </w:r>
      <w:r w:rsidR="00BD0BA8" w:rsidRPr="00F27E28">
        <w:t xml:space="preserve">for the </w:t>
      </w:r>
      <w:r w:rsidR="00813396">
        <w:t>1</w:t>
      </w:r>
      <w:r w:rsidR="00813396" w:rsidRPr="00813396">
        <w:rPr>
          <w:vertAlign w:val="superscript"/>
        </w:rPr>
        <w:t>st</w:t>
      </w:r>
      <w:r w:rsidR="00813396">
        <w:t xml:space="preserve"> </w:t>
      </w:r>
      <w:r w:rsidR="00BD0BA8" w:rsidRPr="00F27E28">
        <w:t xml:space="preserve">quarter of </w:t>
      </w:r>
      <w:r w:rsidR="00813396">
        <w:t>2020</w:t>
      </w:r>
      <w:r w:rsidR="00700166" w:rsidRPr="00F27E28">
        <w:t xml:space="preserve"> </w:t>
      </w:r>
      <w:r w:rsidR="002F1660">
        <w:t>fell</w:t>
      </w:r>
      <w:r w:rsidR="00BD0BA8" w:rsidRPr="00F27E28">
        <w:t xml:space="preserve"> </w:t>
      </w:r>
      <w:r w:rsidRPr="00F27E28">
        <w:t xml:space="preserve">at an annual rate of </w:t>
      </w:r>
      <w:r w:rsidR="002F1660">
        <w:t>4.8</w:t>
      </w:r>
      <w:r w:rsidR="00321AA2" w:rsidRPr="00F27E28">
        <w:t>%</w:t>
      </w:r>
      <w:r w:rsidR="001756EC" w:rsidRPr="00F27E28">
        <w:t>,</w:t>
      </w:r>
      <w:r w:rsidRPr="00F27E28">
        <w:t xml:space="preserve"> </w:t>
      </w:r>
      <w:r w:rsidR="002F1660">
        <w:t xml:space="preserve">down from last quarter’s growth of 2.1% and well </w:t>
      </w:r>
      <w:r w:rsidR="000F4AC6">
        <w:t>below</w:t>
      </w:r>
      <w:r w:rsidR="00700166" w:rsidRPr="00F27E28">
        <w:t xml:space="preserve"> </w:t>
      </w:r>
      <w:r w:rsidR="00B40AF8" w:rsidRPr="00F27E28">
        <w:t xml:space="preserve">the 30-year average rate of </w:t>
      </w:r>
      <w:r w:rsidR="00B40AF8" w:rsidRPr="004F67A9">
        <w:t>2.</w:t>
      </w:r>
      <w:r w:rsidR="002F1660">
        <w:t>4</w:t>
      </w:r>
      <w:r w:rsidRPr="004F67A9">
        <w:t>%.</w:t>
      </w:r>
      <w:r w:rsidR="001756EC" w:rsidRPr="00F27E28">
        <w:t xml:space="preserve"> </w:t>
      </w:r>
      <w:r w:rsidR="002F1660" w:rsidRPr="002F1660">
        <w:t xml:space="preserve">The </w:t>
      </w:r>
      <w:r w:rsidR="00A670FB">
        <w:t>1</w:t>
      </w:r>
      <w:r w:rsidR="00A670FB" w:rsidRPr="00A670FB">
        <w:rPr>
          <w:vertAlign w:val="superscript"/>
        </w:rPr>
        <w:t>st</w:t>
      </w:r>
      <w:r w:rsidR="002F1660">
        <w:t>-</w:t>
      </w:r>
      <w:r w:rsidR="002F1660" w:rsidRPr="002F1660">
        <w:t xml:space="preserve">quarter </w:t>
      </w:r>
      <w:r w:rsidR="002F1660">
        <w:t xml:space="preserve">drop in </w:t>
      </w:r>
      <w:r w:rsidR="002F1660" w:rsidRPr="002F1660">
        <w:t xml:space="preserve">GDP </w:t>
      </w:r>
      <w:r w:rsidR="009E4A2E">
        <w:t xml:space="preserve">partly </w:t>
      </w:r>
      <w:r w:rsidR="002F1660">
        <w:t>reflected</w:t>
      </w:r>
      <w:r w:rsidR="002F1660" w:rsidRPr="002F1660">
        <w:t xml:space="preserve"> </w:t>
      </w:r>
      <w:r w:rsidR="002F1660">
        <w:t xml:space="preserve">drastic changes in economic activity resulting from </w:t>
      </w:r>
      <w:r w:rsidR="002F1660" w:rsidRPr="002F1660">
        <w:t>the COVID-19</w:t>
      </w:r>
      <w:r w:rsidR="00620094">
        <w:t xml:space="preserve"> pandemic</w:t>
      </w:r>
      <w:r w:rsidR="002F1660" w:rsidRPr="002F1660">
        <w:t xml:space="preserve">, as </w:t>
      </w:r>
      <w:r w:rsidR="00620094">
        <w:t xml:space="preserve">most state </w:t>
      </w:r>
      <w:r w:rsidR="002F1660" w:rsidRPr="002F1660">
        <w:t xml:space="preserve">governments </w:t>
      </w:r>
      <w:r w:rsidR="00E736EF">
        <w:t xml:space="preserve">restricted </w:t>
      </w:r>
      <w:r w:rsidR="0055555A">
        <w:t>in-person</w:t>
      </w:r>
      <w:r w:rsidR="00E736EF">
        <w:t xml:space="preserve"> activities in the second half of March</w:t>
      </w:r>
      <w:r w:rsidR="002F1660" w:rsidRPr="002F1660">
        <w:t xml:space="preserve">. </w:t>
      </w:r>
      <w:r w:rsidR="002F1660">
        <w:t>Since the 1</w:t>
      </w:r>
      <w:r w:rsidR="002F1660" w:rsidRPr="002F1660">
        <w:rPr>
          <w:vertAlign w:val="superscript"/>
        </w:rPr>
        <w:t>st</w:t>
      </w:r>
      <w:r w:rsidR="002F1660">
        <w:t xml:space="preserve"> quarter last year</w:t>
      </w:r>
      <w:r w:rsidR="00A52E02">
        <w:t xml:space="preserve">, real GDP rose </w:t>
      </w:r>
      <w:r w:rsidR="002F1660">
        <w:t>0</w:t>
      </w:r>
      <w:r w:rsidR="00A52E02">
        <w:t xml:space="preserve">.3%, </w:t>
      </w:r>
      <w:r w:rsidR="00E736EF">
        <w:t>a ten-year low</w:t>
      </w:r>
      <w:r w:rsidR="00F27E28" w:rsidRPr="00F27E28">
        <w:t>.</w:t>
      </w:r>
    </w:p>
    <w:p w14:paraId="7810A9C6" w14:textId="4F7815B9" w:rsidR="00A96A6A" w:rsidRDefault="005C771E" w:rsidP="005117CA">
      <w:pPr>
        <w:jc w:val="center"/>
      </w:pPr>
      <w:r>
        <w:rPr>
          <w:noProof/>
        </w:rPr>
        <w:drawing>
          <wp:inline distT="0" distB="0" distL="0" distR="0" wp14:anchorId="24D22E7F" wp14:editId="0E4385FE">
            <wp:extent cx="4097020" cy="274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6E9155B" w14:textId="0AE41026" w:rsidR="00D55969" w:rsidRDefault="00E4702E" w:rsidP="00CD643D">
      <w:r>
        <w:t>D</w:t>
      </w:r>
      <w:r w:rsidR="007A7FCF">
        <w:t>eclines in personal consumption and nonresidential investment led the drop</w:t>
      </w:r>
      <w:r w:rsidRPr="00E4702E">
        <w:t xml:space="preserve"> </w:t>
      </w:r>
      <w:r>
        <w:t>in real GDP in the 1</w:t>
      </w:r>
      <w:r w:rsidRPr="007A7FCF">
        <w:rPr>
          <w:vertAlign w:val="superscript"/>
        </w:rPr>
        <w:t>st</w:t>
      </w:r>
      <w:r>
        <w:t xml:space="preserve"> quarter</w:t>
      </w:r>
      <w:r w:rsidR="00CD643D">
        <w:t xml:space="preserve">, </w:t>
      </w:r>
      <w:r w:rsidR="00237901">
        <w:t xml:space="preserve">particularly </w:t>
      </w:r>
      <w:r w:rsidR="000A79DC">
        <w:t xml:space="preserve">personal spending on </w:t>
      </w:r>
      <w:r w:rsidR="008845A9">
        <w:t>services</w:t>
      </w:r>
      <w:r w:rsidR="0039196F">
        <w:t xml:space="preserve"> such as health care</w:t>
      </w:r>
      <w:r w:rsidR="0035542E">
        <w:t>,</w:t>
      </w:r>
      <w:r w:rsidR="0039196F">
        <w:t xml:space="preserve"> food services and accommodations</w:t>
      </w:r>
      <w:r w:rsidR="008845A9">
        <w:t xml:space="preserve">. </w:t>
      </w:r>
      <w:r w:rsidR="007A7FCF">
        <w:t>Moderating the</w:t>
      </w:r>
      <w:r w:rsidR="008845A9">
        <w:t xml:space="preserve"> </w:t>
      </w:r>
      <w:r w:rsidR="007A7FCF">
        <w:t xml:space="preserve">contraction </w:t>
      </w:r>
      <w:r w:rsidR="009E4A2E">
        <w:t xml:space="preserve">in </w:t>
      </w:r>
      <w:r w:rsidR="008845A9">
        <w:t xml:space="preserve">GDP were </w:t>
      </w:r>
      <w:r w:rsidR="007A7FCF">
        <w:t>sharply lower imports, which more than offset a concurrent decrease in exports</w:t>
      </w:r>
      <w:r w:rsidR="0055555A">
        <w:t>;</w:t>
      </w:r>
      <w:r w:rsidR="007A7FCF">
        <w:t xml:space="preserve"> </w:t>
      </w:r>
      <w:r w:rsidR="009E4A2E">
        <w:t>personal spending on nondurable goods, particularly food and beverages</w:t>
      </w:r>
      <w:r w:rsidR="0055555A">
        <w:t>;</w:t>
      </w:r>
      <w:r w:rsidR="009E4A2E">
        <w:t xml:space="preserve"> and government consumption</w:t>
      </w:r>
      <w:r w:rsidR="00CD643D">
        <w:t>.</w:t>
      </w:r>
    </w:p>
    <w:p w14:paraId="74EC7CAF" w14:textId="38E70601" w:rsidR="004D1C9D" w:rsidRDefault="005C771E" w:rsidP="005117CA">
      <w:pPr>
        <w:jc w:val="center"/>
      </w:pPr>
      <w:r>
        <w:rPr>
          <w:noProof/>
        </w:rPr>
        <w:lastRenderedPageBreak/>
        <w:drawing>
          <wp:inline distT="0" distB="0" distL="0" distR="0" wp14:anchorId="78DBB5FC" wp14:editId="519AC0E6">
            <wp:extent cx="4231005" cy="3487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005" cy="3487420"/>
                    </a:xfrm>
                    <a:prstGeom prst="rect">
                      <a:avLst/>
                    </a:prstGeom>
                    <a:noFill/>
                  </pic:spPr>
                </pic:pic>
              </a:graphicData>
            </a:graphic>
          </wp:inline>
        </w:drawing>
      </w:r>
    </w:p>
    <w:p w14:paraId="31033888" w14:textId="215E3913" w:rsidR="004D1C9D" w:rsidRDefault="00EF008E" w:rsidP="00174BCD">
      <w:r w:rsidRPr="00F20F1B">
        <w:t xml:space="preserve">As of </w:t>
      </w:r>
      <w:r w:rsidR="009E4A2E">
        <w:t>March</w:t>
      </w:r>
      <w:r w:rsidRPr="00F20F1B">
        <w:t>, the Industrial Production Index</w:t>
      </w:r>
      <w:r w:rsidR="006A114D">
        <w:rPr>
          <w:rStyle w:val="FootnoteReference"/>
        </w:rPr>
        <w:footnoteReference w:id="5"/>
      </w:r>
      <w:r w:rsidRPr="00F20F1B">
        <w:t xml:space="preserve"> </w:t>
      </w:r>
      <w:r w:rsidR="00B00E83">
        <w:t>stood</w:t>
      </w:r>
      <w:r w:rsidR="00DA5A96">
        <w:t xml:space="preserve"> at</w:t>
      </w:r>
      <w:r w:rsidR="008636F9">
        <w:t xml:space="preserve"> </w:t>
      </w:r>
      <w:r w:rsidR="00DA5A96">
        <w:t>10</w:t>
      </w:r>
      <w:r w:rsidR="009E4A2E">
        <w:t>3</w:t>
      </w:r>
      <w:r w:rsidR="00DA5A96">
        <w:t>.</w:t>
      </w:r>
      <w:r w:rsidR="009E4A2E">
        <w:t>66</w:t>
      </w:r>
      <w:r w:rsidR="00AA651C">
        <w:t xml:space="preserve">, </w:t>
      </w:r>
      <w:r w:rsidR="009E4A2E">
        <w:t>down 5.4% over the first quarter of 2020</w:t>
      </w:r>
      <w:r w:rsidR="001C1070">
        <w:t>.</w:t>
      </w:r>
      <w:r w:rsidR="008636F9">
        <w:t xml:space="preserve"> </w:t>
      </w:r>
      <w:r w:rsidR="00FA283E">
        <w:t>M</w:t>
      </w:r>
      <w:r w:rsidR="00DA5A96">
        <w:t>anufacturing</w:t>
      </w:r>
      <w:r w:rsidR="00FA283E">
        <w:t xml:space="preserve"> </w:t>
      </w:r>
      <w:r w:rsidR="008E1296">
        <w:t xml:space="preserve">shutdowns in March due to the COVID-19 pandemic propelled the decline, particularly motor </w:t>
      </w:r>
      <w:proofErr w:type="gramStart"/>
      <w:r w:rsidR="008E1296">
        <w:t>vehicle</w:t>
      </w:r>
      <w:proofErr w:type="gramEnd"/>
      <w:r w:rsidR="008E1296">
        <w:t xml:space="preserve"> and parts manufacturing. Utilities and mining production also decreased.</w:t>
      </w:r>
      <w:r w:rsidR="0041138E">
        <w:t xml:space="preserve"> </w:t>
      </w:r>
      <w:r w:rsidR="00FA283E">
        <w:t>T</w:t>
      </w:r>
      <w:r w:rsidR="001A6C86">
        <w:t>he</w:t>
      </w:r>
      <w:r w:rsidR="00332197">
        <w:t xml:space="preserve"> Industrial Production Index </w:t>
      </w:r>
      <w:r w:rsidR="00FA283E">
        <w:t xml:space="preserve">was </w:t>
      </w:r>
      <w:r w:rsidR="008E1296">
        <w:t>5.5</w:t>
      </w:r>
      <w:r w:rsidR="00FA283E">
        <w:t>% lower</w:t>
      </w:r>
      <w:r w:rsidR="00332197">
        <w:t xml:space="preserve"> </w:t>
      </w:r>
      <w:r w:rsidR="008E1296">
        <w:t>in March 2020</w:t>
      </w:r>
      <w:r w:rsidR="00046A04">
        <w:t xml:space="preserve"> than one year prior</w:t>
      </w:r>
      <w:r w:rsidR="00332197">
        <w:t>.</w:t>
      </w:r>
    </w:p>
    <w:p w14:paraId="149D5F1F" w14:textId="01556057" w:rsidR="00172307" w:rsidRDefault="005C771E" w:rsidP="00BA7A2C">
      <w:pPr>
        <w:jc w:val="center"/>
      </w:pPr>
      <w:r>
        <w:rPr>
          <w:noProof/>
        </w:rPr>
        <w:drawing>
          <wp:inline distT="0" distB="0" distL="0" distR="0" wp14:anchorId="1536DBC1" wp14:editId="1053FE74">
            <wp:extent cx="3816350" cy="27374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49D5F20" w14:textId="72147876" w:rsidR="00005111" w:rsidRPr="005261C1" w:rsidRDefault="00005111" w:rsidP="005261C1">
      <w:pPr>
        <w:pStyle w:val="Heading1"/>
      </w:pPr>
      <w:r w:rsidRPr="005261C1">
        <w:lastRenderedPageBreak/>
        <w:t>Interest Rates</w:t>
      </w:r>
    </w:p>
    <w:p w14:paraId="472CBB47" w14:textId="053DEF6B" w:rsidR="00A96A6A" w:rsidRPr="00AE64EF" w:rsidRDefault="008E1296" w:rsidP="00005111">
      <w:pPr>
        <w:rPr>
          <w:color w:val="000000" w:themeColor="text1"/>
        </w:rPr>
      </w:pPr>
      <w:r>
        <w:t>Short- and l</w:t>
      </w:r>
      <w:r w:rsidR="00022BB4">
        <w:t>ong-term treasury bond yields</w:t>
      </w:r>
      <w:r w:rsidR="00B65667">
        <w:rPr>
          <w:rStyle w:val="FootnoteReference"/>
        </w:rPr>
        <w:footnoteReference w:id="6"/>
      </w:r>
      <w:r w:rsidR="00022BB4">
        <w:t xml:space="preserve"> </w:t>
      </w:r>
      <w:r>
        <w:t>fell sharply in the 1</w:t>
      </w:r>
      <w:r w:rsidRPr="008E1296">
        <w:rPr>
          <w:vertAlign w:val="superscript"/>
        </w:rPr>
        <w:t>st</w:t>
      </w:r>
      <w:r>
        <w:t xml:space="preserve"> quarter of 2020</w:t>
      </w:r>
      <w:r w:rsidR="0009699C">
        <w:t>,</w:t>
      </w:r>
      <w:r w:rsidR="005E7A94">
        <w:t xml:space="preserve"> </w:t>
      </w:r>
      <w:r w:rsidR="00B524BD">
        <w:t>ending the quarter at historic lows as U.S. debt overtook riskier investments in the wake of</w:t>
      </w:r>
      <w:r w:rsidR="00B65667">
        <w:t xml:space="preserve"> </w:t>
      </w:r>
      <w:r w:rsidR="0039196F">
        <w:t xml:space="preserve">the </w:t>
      </w:r>
      <w:r w:rsidR="00B65667">
        <w:t xml:space="preserve">economic fallout wrought by the COVID-19 </w:t>
      </w:r>
      <w:r w:rsidR="0039196F">
        <w:t>crisis</w:t>
      </w:r>
      <w:r w:rsidR="00022BB4">
        <w:t xml:space="preserve">. </w:t>
      </w:r>
      <w:r w:rsidR="005E7A94">
        <w:t xml:space="preserve">The 1-year and 2-year annual treasury yields </w:t>
      </w:r>
      <w:r w:rsidR="00B65667">
        <w:t>ended the quarter</w:t>
      </w:r>
      <w:r w:rsidR="005E7A94">
        <w:t xml:space="preserve"> at </w:t>
      </w:r>
      <w:r w:rsidR="00B65667">
        <w:t>0.17</w:t>
      </w:r>
      <w:r w:rsidR="005E7A94">
        <w:t xml:space="preserve">% and </w:t>
      </w:r>
      <w:r w:rsidR="00B65667">
        <w:t>0.23</w:t>
      </w:r>
      <w:r w:rsidR="005E7A94">
        <w:t>%, respectively. T</w:t>
      </w:r>
      <w:r w:rsidR="0061080D" w:rsidRPr="0005726F">
        <w:t xml:space="preserve">he </w:t>
      </w:r>
      <w:r w:rsidR="005E7A94">
        <w:t xml:space="preserve">benchmark </w:t>
      </w:r>
      <w:r w:rsidR="00022BB4">
        <w:t>1</w:t>
      </w:r>
      <w:r w:rsidR="0061080D" w:rsidRPr="0005726F">
        <w:t xml:space="preserve">0-year treasury </w:t>
      </w:r>
      <w:r w:rsidR="005E7A94">
        <w:t>yielded</w:t>
      </w:r>
      <w:r w:rsidR="0061080D" w:rsidRPr="0005726F">
        <w:t xml:space="preserve"> </w:t>
      </w:r>
      <w:r w:rsidR="00B65667">
        <w:t>0.70</w:t>
      </w:r>
      <w:r w:rsidR="0061080D" w:rsidRPr="0005726F">
        <w:t>%</w:t>
      </w:r>
      <w:r w:rsidR="005E7A94">
        <w:t xml:space="preserve"> annually at the</w:t>
      </w:r>
      <w:r w:rsidR="00B65667">
        <w:t xml:space="preserve"> end of March 2020</w:t>
      </w:r>
      <w:r w:rsidR="005E7A94">
        <w:t xml:space="preserve">, while </w:t>
      </w:r>
      <w:r w:rsidR="00D851AB" w:rsidRPr="0005726F">
        <w:t xml:space="preserve">the </w:t>
      </w:r>
      <w:r w:rsidR="00022BB4">
        <w:t>3</w:t>
      </w:r>
      <w:r w:rsidR="00D851AB" w:rsidRPr="0005726F">
        <w:t xml:space="preserve">0-year treasury </w:t>
      </w:r>
      <w:r w:rsidR="00B65667">
        <w:t>yielded</w:t>
      </w:r>
      <w:r w:rsidR="00D851AB" w:rsidRPr="0005726F">
        <w:t xml:space="preserve"> </w:t>
      </w:r>
      <w:r w:rsidR="00B65667">
        <w:t>1.35</w:t>
      </w:r>
      <w:r w:rsidR="00D851AB" w:rsidRPr="0005726F">
        <w:t>%</w:t>
      </w:r>
      <w:r w:rsidR="00AE64EF" w:rsidRPr="007807DE">
        <w:rPr>
          <w:color w:val="000000" w:themeColor="text1"/>
        </w:rPr>
        <w:t>.</w:t>
      </w:r>
    </w:p>
    <w:p w14:paraId="0614E8BB" w14:textId="14940BA8" w:rsidR="004D1C9D" w:rsidRDefault="008E1296" w:rsidP="005117CA">
      <w:pPr>
        <w:jc w:val="center"/>
      </w:pPr>
      <w:r>
        <w:rPr>
          <w:noProof/>
        </w:rPr>
        <w:t xml:space="preserve"> </w:t>
      </w:r>
      <w:r w:rsidR="005C771E">
        <w:rPr>
          <w:noProof/>
        </w:rPr>
        <w:drawing>
          <wp:inline distT="0" distB="0" distL="0" distR="0" wp14:anchorId="27F1F690" wp14:editId="4D1AB4B9">
            <wp:extent cx="3493135" cy="27559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5" cy="2755900"/>
                    </a:xfrm>
                    <a:prstGeom prst="rect">
                      <a:avLst/>
                    </a:prstGeom>
                    <a:noFill/>
                  </pic:spPr>
                </pic:pic>
              </a:graphicData>
            </a:graphic>
          </wp:inline>
        </w:drawing>
      </w:r>
    </w:p>
    <w:p w14:paraId="031CA932" w14:textId="193CF490" w:rsidR="00B00681" w:rsidRDefault="00171C8E" w:rsidP="00005111">
      <w:r w:rsidRPr="004709B0">
        <w:t xml:space="preserve">In </w:t>
      </w:r>
      <w:r w:rsidR="00B65667">
        <w:t>March</w:t>
      </w:r>
      <w:r w:rsidR="00FE4D42">
        <w:t>,</w:t>
      </w:r>
      <w:r w:rsidRPr="004709B0">
        <w:t xml:space="preserve"> the Federal Reserve </w:t>
      </w:r>
      <w:r w:rsidR="00B65667">
        <w:t>dropped</w:t>
      </w:r>
      <w:r w:rsidR="003376CD" w:rsidRPr="004709B0">
        <w:t xml:space="preserve"> </w:t>
      </w:r>
      <w:r w:rsidR="00D851AB" w:rsidRPr="004709B0">
        <w:t>the federal funds target rate</w:t>
      </w:r>
      <w:r w:rsidR="00740863">
        <w:t xml:space="preserve"> </w:t>
      </w:r>
      <w:r w:rsidR="00B65667">
        <w:t>to</w:t>
      </w:r>
      <w:r w:rsidR="004709B0" w:rsidRPr="004709B0">
        <w:t xml:space="preserve"> </w:t>
      </w:r>
      <w:r w:rsidR="00624AEF">
        <w:t xml:space="preserve">a range of </w:t>
      </w:r>
      <w:r w:rsidR="00B65667">
        <w:t>0.0</w:t>
      </w:r>
      <w:r w:rsidR="005E7A94">
        <w:t>0</w:t>
      </w:r>
      <w:r w:rsidR="00624AEF">
        <w:t xml:space="preserve"> to </w:t>
      </w:r>
      <w:r w:rsidR="00B65667">
        <w:t>0.2</w:t>
      </w:r>
      <w:r w:rsidR="005E7A94">
        <w:t>5</w:t>
      </w:r>
      <w:r w:rsidR="004709B0" w:rsidRPr="004709B0">
        <w:t xml:space="preserve"> percent</w:t>
      </w:r>
      <w:r w:rsidR="00955094">
        <w:t xml:space="preserve"> in two unscheduled decisions</w:t>
      </w:r>
      <w:r w:rsidR="00AE64EF">
        <w:t xml:space="preserve">. </w:t>
      </w:r>
      <w:r w:rsidR="00955094">
        <w:t>The Fed also unveiled a $700</w:t>
      </w:r>
      <w:r w:rsidR="00237E71">
        <w:t xml:space="preserve"> billion</w:t>
      </w:r>
      <w:r w:rsidR="00955094">
        <w:t xml:space="preserve"> quantitative easing program to bolster the US economy against the effects of the global pandemic</w:t>
      </w:r>
      <w:r w:rsidR="000B0583">
        <w:t xml:space="preserve">. </w:t>
      </w:r>
      <w:r w:rsidR="003F5061">
        <w:t>The effective federal funds rate</w:t>
      </w:r>
      <w:r w:rsidR="003F5061">
        <w:rPr>
          <w:rStyle w:val="FootnoteReference"/>
        </w:rPr>
        <w:footnoteReference w:id="7"/>
      </w:r>
      <w:r w:rsidR="003F5061">
        <w:t xml:space="preserve"> as of </w:t>
      </w:r>
      <w:r w:rsidR="00955094">
        <w:t>March</w:t>
      </w:r>
      <w:r w:rsidR="00D55969">
        <w:t xml:space="preserve"> 3</w:t>
      </w:r>
      <w:r w:rsidR="00A45F59">
        <w:t>1</w:t>
      </w:r>
      <w:r w:rsidR="00A45F59" w:rsidRPr="00A45F59">
        <w:rPr>
          <w:vertAlign w:val="superscript"/>
        </w:rPr>
        <w:t>st</w:t>
      </w:r>
      <w:r w:rsidR="00A45F59">
        <w:t xml:space="preserve"> </w:t>
      </w:r>
      <w:r w:rsidR="00B00E83">
        <w:t>wa</w:t>
      </w:r>
      <w:r w:rsidR="003F5061">
        <w:t xml:space="preserve">s </w:t>
      </w:r>
      <w:r w:rsidR="00955094">
        <w:t xml:space="preserve">0.65 </w:t>
      </w:r>
      <w:r w:rsidR="003F5061">
        <w:t>%.</w:t>
      </w:r>
    </w:p>
    <w:p w14:paraId="515AD2F7" w14:textId="514BE68D" w:rsidR="004D1C9D" w:rsidRDefault="005C771E" w:rsidP="00166C08">
      <w:pPr>
        <w:jc w:val="center"/>
      </w:pPr>
      <w:r>
        <w:rPr>
          <w:noProof/>
        </w:rPr>
        <w:lastRenderedPageBreak/>
        <w:drawing>
          <wp:inline distT="0" distB="0" distL="0" distR="0" wp14:anchorId="1BCE2DF9" wp14:editId="06179215">
            <wp:extent cx="3493135"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7D026DBE" w14:textId="77BCD993" w:rsidR="004D1C9D" w:rsidRDefault="005117CA" w:rsidP="005261C1">
      <w:r>
        <w:t>T</w:t>
      </w:r>
      <w:r w:rsidR="002978F9" w:rsidRPr="003376CD">
        <w:t xml:space="preserve">he yield on the </w:t>
      </w:r>
      <w:r w:rsidR="0039196F">
        <w:t xml:space="preserve">benchmark </w:t>
      </w:r>
      <w:r w:rsidR="002978F9" w:rsidRPr="003376CD">
        <w:t>10-year U.S. treasury</w:t>
      </w:r>
      <w:r w:rsidR="004759DB">
        <w:rPr>
          <w:rStyle w:val="FootnoteReference"/>
        </w:rPr>
        <w:footnoteReference w:id="8"/>
      </w:r>
      <w:r w:rsidR="002978F9" w:rsidRPr="003376CD">
        <w:t xml:space="preserve"> </w:t>
      </w:r>
      <w:r w:rsidR="00955094">
        <w:t>dropped</w:t>
      </w:r>
      <w:r>
        <w:t xml:space="preserve"> </w:t>
      </w:r>
      <w:r w:rsidR="00955094">
        <w:t>1</w:t>
      </w:r>
      <w:r>
        <w:t>.2</w:t>
      </w:r>
      <w:r w:rsidR="00955094">
        <w:t>2</w:t>
      </w:r>
      <w:r>
        <w:t xml:space="preserve"> percentage points throughout the </w:t>
      </w:r>
      <w:r w:rsidR="00955094">
        <w:t>1</w:t>
      </w:r>
      <w:r w:rsidR="00955094" w:rsidRPr="00955094">
        <w:rPr>
          <w:vertAlign w:val="superscript"/>
        </w:rPr>
        <w:t>st</w:t>
      </w:r>
      <w:r w:rsidR="00955094">
        <w:t xml:space="preserve"> </w:t>
      </w:r>
      <w:r>
        <w:t>quarter</w:t>
      </w:r>
      <w:r w:rsidR="00B00E83">
        <w:t xml:space="preserve"> </w:t>
      </w:r>
      <w:r w:rsidR="000B0583">
        <w:t xml:space="preserve">to end </w:t>
      </w:r>
      <w:r w:rsidR="00955094">
        <w:t>March</w:t>
      </w:r>
      <w:r w:rsidR="00CA112C">
        <w:t xml:space="preserve"> at </w:t>
      </w:r>
      <w:r w:rsidR="00955094">
        <w:t>0.70</w:t>
      </w:r>
      <w:r w:rsidR="00CA112C">
        <w:t>%</w:t>
      </w:r>
      <w:r w:rsidR="002978F9" w:rsidRPr="003376CD">
        <w:t>.</w:t>
      </w:r>
      <w:r w:rsidR="004965CE" w:rsidRPr="003376CD">
        <w:t xml:space="preserve"> This is </w:t>
      </w:r>
      <w:r w:rsidR="00071875" w:rsidRPr="003376CD">
        <w:t xml:space="preserve">below the average yield of </w:t>
      </w:r>
      <w:r w:rsidR="003376CD" w:rsidRPr="003376CD">
        <w:t>4.</w:t>
      </w:r>
      <w:r w:rsidR="00D708F8">
        <w:t>45</w:t>
      </w:r>
      <w:r w:rsidR="004965CE" w:rsidRPr="003376CD">
        <w:t>% over the last 30 years</w:t>
      </w:r>
      <w:r w:rsidR="00CA112C">
        <w:t xml:space="preserve"> and</w:t>
      </w:r>
      <w:r w:rsidR="000874E3" w:rsidRPr="003376CD">
        <w:t xml:space="preserve"> the </w:t>
      </w:r>
      <w:r w:rsidR="006553D1">
        <w:t>2.</w:t>
      </w:r>
      <w:r w:rsidR="00D708F8">
        <w:t>41</w:t>
      </w:r>
      <w:r w:rsidR="000874E3" w:rsidRPr="003376CD">
        <w:t xml:space="preserve">% </w:t>
      </w:r>
      <w:r w:rsidR="0016688A" w:rsidRPr="003376CD">
        <w:t xml:space="preserve">yield </w:t>
      </w:r>
      <w:r w:rsidR="00C9379B">
        <w:t xml:space="preserve">from </w:t>
      </w:r>
      <w:r w:rsidR="00F3628D">
        <w:t>the same period last year</w:t>
      </w:r>
      <w:r w:rsidR="00CB629F" w:rsidRPr="003376CD">
        <w:t>.</w:t>
      </w:r>
    </w:p>
    <w:p w14:paraId="67433862" w14:textId="15316C13" w:rsidR="004D1C9D" w:rsidRDefault="005C771E" w:rsidP="005117CA">
      <w:pPr>
        <w:jc w:val="center"/>
      </w:pPr>
      <w:r>
        <w:rPr>
          <w:noProof/>
        </w:rPr>
        <w:drawing>
          <wp:inline distT="0" distB="0" distL="0" distR="0" wp14:anchorId="410D2C74" wp14:editId="0BA6B319">
            <wp:extent cx="3499485" cy="27495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9485" cy="2749550"/>
                    </a:xfrm>
                    <a:prstGeom prst="rect">
                      <a:avLst/>
                    </a:prstGeom>
                    <a:noFill/>
                  </pic:spPr>
                </pic:pic>
              </a:graphicData>
            </a:graphic>
          </wp:inline>
        </w:drawing>
      </w:r>
    </w:p>
    <w:p w14:paraId="62B8B6AA" w14:textId="41C63940" w:rsidR="00A96A6A" w:rsidRDefault="00F02B3A" w:rsidP="00460436">
      <w:r w:rsidRPr="007E5B14">
        <w:t xml:space="preserve">Corporate bond yields </w:t>
      </w:r>
      <w:r w:rsidR="00D708F8">
        <w:t>increased</w:t>
      </w:r>
      <w:r w:rsidRPr="007E5B14">
        <w:t xml:space="preserve"> this quarter, with the Moody’s Baa Corpor</w:t>
      </w:r>
      <w:r w:rsidR="00102080" w:rsidRPr="007E5B14">
        <w:t xml:space="preserve">ate Bond Yield </w:t>
      </w:r>
      <w:r w:rsidR="004E3393" w:rsidRPr="007E5B14">
        <w:t>Index</w:t>
      </w:r>
      <w:r w:rsidR="004E5EC0">
        <w:rPr>
          <w:rStyle w:val="FootnoteReference"/>
        </w:rPr>
        <w:footnoteReference w:id="9"/>
      </w:r>
      <w:r w:rsidR="004E3393" w:rsidRPr="007E5B14">
        <w:t xml:space="preserve"> </w:t>
      </w:r>
      <w:r w:rsidR="00102080" w:rsidRPr="007E5B14">
        <w:t xml:space="preserve">ending the </w:t>
      </w:r>
      <w:r w:rsidR="00D708F8">
        <w:t>1</w:t>
      </w:r>
      <w:r w:rsidR="00D708F8" w:rsidRPr="00D708F8">
        <w:rPr>
          <w:vertAlign w:val="superscript"/>
        </w:rPr>
        <w:t>st</w:t>
      </w:r>
      <w:r w:rsidR="00D708F8">
        <w:t xml:space="preserve"> </w:t>
      </w:r>
      <w:r w:rsidR="00102080" w:rsidRPr="007E5B14">
        <w:t>quarter</w:t>
      </w:r>
      <w:r w:rsidRPr="007E5B14">
        <w:t xml:space="preserve"> at </w:t>
      </w:r>
      <w:r w:rsidR="00D708F8">
        <w:t>4.29</w:t>
      </w:r>
      <w:r w:rsidR="004965CE" w:rsidRPr="007E5B14">
        <w:t xml:space="preserve">% compared to </w:t>
      </w:r>
      <w:r w:rsidR="006553D1">
        <w:t>3.</w:t>
      </w:r>
      <w:r w:rsidR="00D708F8">
        <w:t>88</w:t>
      </w:r>
      <w:r w:rsidRPr="007E5B14">
        <w:t xml:space="preserve">% for the </w:t>
      </w:r>
      <w:r w:rsidR="00D708F8">
        <w:t>4</w:t>
      </w:r>
      <w:r w:rsidR="00D708F8" w:rsidRPr="00D708F8">
        <w:rPr>
          <w:vertAlign w:val="superscript"/>
        </w:rPr>
        <w:t>th</w:t>
      </w:r>
      <w:r w:rsidR="00D708F8">
        <w:t xml:space="preserve"> </w:t>
      </w:r>
      <w:r w:rsidRPr="007E5B14">
        <w:t>quarter</w:t>
      </w:r>
      <w:r w:rsidR="00823E2B">
        <w:t xml:space="preserve">. Rates </w:t>
      </w:r>
      <w:r w:rsidR="00285F67">
        <w:t>were below both</w:t>
      </w:r>
      <w:r w:rsidR="004965CE" w:rsidRPr="007E5B14">
        <w:t xml:space="preserve"> the </w:t>
      </w:r>
      <w:r w:rsidR="00D708F8">
        <w:t>4.84</w:t>
      </w:r>
      <w:r w:rsidR="00823E2B">
        <w:t xml:space="preserve">% yield from the </w:t>
      </w:r>
      <w:r w:rsidR="004965CE" w:rsidRPr="007E5B14">
        <w:t>same period last year</w:t>
      </w:r>
      <w:r w:rsidR="00102080" w:rsidRPr="00AF6040">
        <w:t xml:space="preserve"> </w:t>
      </w:r>
      <w:r w:rsidR="00285F67">
        <w:t xml:space="preserve">and </w:t>
      </w:r>
      <w:r w:rsidR="00855A46" w:rsidRPr="00AF6040">
        <w:t>the index’s</w:t>
      </w:r>
      <w:r w:rsidRPr="00AF6040">
        <w:t xml:space="preserve"> </w:t>
      </w:r>
      <w:r w:rsidR="008A5F7F" w:rsidRPr="00AF6040">
        <w:t xml:space="preserve">average </w:t>
      </w:r>
      <w:r w:rsidR="00174B44" w:rsidRPr="00AF6040">
        <w:t xml:space="preserve">yield </w:t>
      </w:r>
      <w:r w:rsidR="006A0819">
        <w:t xml:space="preserve">of </w:t>
      </w:r>
      <w:r w:rsidR="00285F67">
        <w:t>6.</w:t>
      </w:r>
      <w:r w:rsidR="006553D1">
        <w:t>8</w:t>
      </w:r>
      <w:r w:rsidR="00D708F8">
        <w:t>2</w:t>
      </w:r>
      <w:r w:rsidR="008A5F7F" w:rsidRPr="00AF6040">
        <w:t>%</w:t>
      </w:r>
      <w:r w:rsidR="004965CE" w:rsidRPr="00AF6040">
        <w:t xml:space="preserve"> for the last 30 years</w:t>
      </w:r>
      <w:r w:rsidRPr="00AF6040">
        <w:t>.</w:t>
      </w:r>
    </w:p>
    <w:p w14:paraId="7CE57D35" w14:textId="11D84C82" w:rsidR="005117CA" w:rsidRDefault="005C771E" w:rsidP="005117CA">
      <w:pPr>
        <w:jc w:val="center"/>
      </w:pPr>
      <w:r>
        <w:rPr>
          <w:noProof/>
        </w:rPr>
        <w:lastRenderedPageBreak/>
        <w:drawing>
          <wp:inline distT="0" distB="0" distL="0" distR="0" wp14:anchorId="37C27FE7" wp14:editId="6ABA8DA1">
            <wp:extent cx="3493135"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2F" w14:textId="479C442E" w:rsidR="00005111" w:rsidRDefault="00005111" w:rsidP="005261C1">
      <w:pPr>
        <w:pStyle w:val="Heading1"/>
      </w:pPr>
      <w:r>
        <w:t>Employment</w:t>
      </w:r>
    </w:p>
    <w:p w14:paraId="149D5F31" w14:textId="4B9E60E6" w:rsidR="00C05052" w:rsidRPr="00D74F6D" w:rsidRDefault="00D839AA" w:rsidP="00B84330">
      <w:pPr>
        <w:rPr>
          <w:color w:val="000000" w:themeColor="text1"/>
        </w:rPr>
      </w:pPr>
      <w:r>
        <w:t>T</w:t>
      </w:r>
      <w:r w:rsidR="00D03F0F">
        <w:t xml:space="preserve">he </w:t>
      </w:r>
      <w:r w:rsidR="00F24605">
        <w:t>U</w:t>
      </w:r>
      <w:r w:rsidR="00BC00A7">
        <w:t>.</w:t>
      </w:r>
      <w:r w:rsidR="00F24605">
        <w:t>S</w:t>
      </w:r>
      <w:r w:rsidR="00BC00A7">
        <w:t>.</w:t>
      </w:r>
      <w:r w:rsidR="00F24605">
        <w:t xml:space="preserve"> </w:t>
      </w:r>
      <w:r w:rsidR="00D74F6D">
        <w:t>unemployment rate</w:t>
      </w:r>
      <w:r w:rsidR="00D03F0F">
        <w:t xml:space="preserve"> </w:t>
      </w:r>
      <w:r>
        <w:t>rose from its historic low during the 1</w:t>
      </w:r>
      <w:r w:rsidRPr="00D839AA">
        <w:rPr>
          <w:vertAlign w:val="superscript"/>
        </w:rPr>
        <w:t>st</w:t>
      </w:r>
      <w:r>
        <w:t xml:space="preserve"> quarter of 2020</w:t>
      </w:r>
      <w:r w:rsidR="0002760A">
        <w:t xml:space="preserve">, and the surge is expected to continue in the </w:t>
      </w:r>
      <w:r w:rsidR="0035542E">
        <w:t>s</w:t>
      </w:r>
      <w:r w:rsidR="0002760A">
        <w:t>pring</w:t>
      </w:r>
      <w:r w:rsidR="00105413">
        <w:rPr>
          <w:color w:val="000000" w:themeColor="text1"/>
        </w:rPr>
        <w:t xml:space="preserve">. </w:t>
      </w:r>
      <w:r w:rsidR="0002760A">
        <w:rPr>
          <w:color w:val="000000" w:themeColor="text1"/>
        </w:rPr>
        <w:t>T</w:t>
      </w:r>
      <w:r w:rsidR="00102080" w:rsidRPr="00865CE8">
        <w:rPr>
          <w:color w:val="000000" w:themeColor="text1"/>
        </w:rPr>
        <w:t xml:space="preserve">otal </w:t>
      </w:r>
      <w:r w:rsidR="00DB663A" w:rsidRPr="00D74F6D">
        <w:rPr>
          <w:color w:val="000000" w:themeColor="text1"/>
        </w:rPr>
        <w:t>nonfarm payrolls</w:t>
      </w:r>
      <w:r w:rsidR="0052077C" w:rsidRPr="00D74F6D">
        <w:rPr>
          <w:rStyle w:val="FootnoteReference"/>
          <w:color w:val="000000" w:themeColor="text1"/>
        </w:rPr>
        <w:footnoteReference w:id="10"/>
      </w:r>
      <w:r w:rsidR="00DB663A" w:rsidRPr="00D74F6D">
        <w:rPr>
          <w:color w:val="000000" w:themeColor="text1"/>
        </w:rPr>
        <w:t xml:space="preserve"> </w:t>
      </w:r>
      <w:r w:rsidR="0002760A">
        <w:rPr>
          <w:color w:val="000000" w:themeColor="text1"/>
        </w:rPr>
        <w:t>began to tumble in March</w:t>
      </w:r>
      <w:r w:rsidR="00B97C78">
        <w:rPr>
          <w:color w:val="000000" w:themeColor="text1"/>
        </w:rPr>
        <w:t xml:space="preserve">, </w:t>
      </w:r>
      <w:r w:rsidR="0002760A">
        <w:rPr>
          <w:color w:val="000000" w:themeColor="text1"/>
        </w:rPr>
        <w:t xml:space="preserve">falling </w:t>
      </w:r>
      <w:r w:rsidR="00572F03">
        <w:rPr>
          <w:color w:val="000000" w:themeColor="text1"/>
        </w:rPr>
        <w:t>701,000</w:t>
      </w:r>
      <w:r w:rsidR="008D6371">
        <w:rPr>
          <w:color w:val="000000" w:themeColor="text1"/>
        </w:rPr>
        <w:t>, primarily in</w:t>
      </w:r>
      <w:r w:rsidR="0035542E">
        <w:rPr>
          <w:color w:val="000000" w:themeColor="text1"/>
        </w:rPr>
        <w:t xml:space="preserve"> </w:t>
      </w:r>
      <w:r w:rsidR="008D6371">
        <w:rPr>
          <w:color w:val="000000" w:themeColor="text1"/>
        </w:rPr>
        <w:t>leisur</w:t>
      </w:r>
      <w:r w:rsidR="0035542E">
        <w:rPr>
          <w:color w:val="000000" w:themeColor="text1"/>
        </w:rPr>
        <w:t>e and</w:t>
      </w:r>
      <w:r w:rsidR="008D6371">
        <w:rPr>
          <w:color w:val="000000" w:themeColor="text1"/>
        </w:rPr>
        <w:t xml:space="preserve"> hospitality and other service industries</w:t>
      </w:r>
      <w:r w:rsidR="00572F03">
        <w:rPr>
          <w:color w:val="000000" w:themeColor="text1"/>
        </w:rPr>
        <w:t xml:space="preserve">. The job count fell </w:t>
      </w:r>
      <w:r w:rsidR="0002760A">
        <w:rPr>
          <w:color w:val="000000" w:themeColor="text1"/>
        </w:rPr>
        <w:t xml:space="preserve">faster than economists’ expectations </w:t>
      </w:r>
      <w:r w:rsidR="00B748E1">
        <w:rPr>
          <w:color w:val="000000" w:themeColor="text1"/>
        </w:rPr>
        <w:t>even before</w:t>
      </w:r>
      <w:r w:rsidR="0002760A">
        <w:rPr>
          <w:color w:val="000000" w:themeColor="text1"/>
        </w:rPr>
        <w:t xml:space="preserve"> states declared emergencies and ordered nonessential businesses to cease activities requiring people to gather</w:t>
      </w:r>
      <w:r w:rsidR="00B97C78">
        <w:rPr>
          <w:color w:val="000000" w:themeColor="text1"/>
        </w:rPr>
        <w:t>.</w:t>
      </w:r>
      <w:r w:rsidR="00572F03">
        <w:rPr>
          <w:color w:val="000000" w:themeColor="text1"/>
        </w:rPr>
        <w:t xml:space="preserve"> Payrolls were still up 1.5 million from the previous March, but losses are expected to accelerate in </w:t>
      </w:r>
      <w:r w:rsidR="008D6371">
        <w:rPr>
          <w:color w:val="000000" w:themeColor="text1"/>
        </w:rPr>
        <w:t>coming monthly reports</w:t>
      </w:r>
      <w:r w:rsidR="00572F03">
        <w:rPr>
          <w:color w:val="000000" w:themeColor="text1"/>
        </w:rPr>
        <w:t>.</w:t>
      </w:r>
    </w:p>
    <w:p w14:paraId="149D5F33" w14:textId="64878DFA" w:rsidR="00B84330" w:rsidRDefault="005C771E" w:rsidP="004D099A">
      <w:pPr>
        <w:jc w:val="center"/>
      </w:pPr>
      <w:r>
        <w:rPr>
          <w:noProof/>
        </w:rPr>
        <w:drawing>
          <wp:inline distT="0" distB="0" distL="0" distR="0" wp14:anchorId="57AECC66" wp14:editId="185A8AB2">
            <wp:extent cx="3846830" cy="27432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6830" cy="2743200"/>
                    </a:xfrm>
                    <a:prstGeom prst="rect">
                      <a:avLst/>
                    </a:prstGeom>
                    <a:noFill/>
                  </pic:spPr>
                </pic:pic>
              </a:graphicData>
            </a:graphic>
          </wp:inline>
        </w:drawing>
      </w:r>
    </w:p>
    <w:p w14:paraId="0D3BFDA8" w14:textId="54AB0DB4" w:rsidR="00A96A6A" w:rsidRDefault="00D74F6D" w:rsidP="00005111">
      <w:r>
        <w:lastRenderedPageBreak/>
        <w:t>The</w:t>
      </w:r>
      <w:r w:rsidR="00C05052" w:rsidRPr="00925F58">
        <w:t xml:space="preserve"> unemp</w:t>
      </w:r>
      <w:r w:rsidR="00F81F49" w:rsidRPr="00925F58">
        <w:t>loyment rate</w:t>
      </w:r>
      <w:r w:rsidR="00C937ED">
        <w:rPr>
          <w:rStyle w:val="FootnoteReference"/>
        </w:rPr>
        <w:footnoteReference w:id="11"/>
      </w:r>
      <w:r w:rsidR="00F81F49" w:rsidRPr="00925F58">
        <w:t xml:space="preserve"> </w:t>
      </w:r>
      <w:r>
        <w:t>end</w:t>
      </w:r>
      <w:r w:rsidR="00D57C94">
        <w:t>ed</w:t>
      </w:r>
      <w:r>
        <w:t xml:space="preserve"> the </w:t>
      </w:r>
      <w:r w:rsidR="0002760A">
        <w:t>1</w:t>
      </w:r>
      <w:r w:rsidR="0002760A" w:rsidRPr="0002760A">
        <w:rPr>
          <w:vertAlign w:val="superscript"/>
        </w:rPr>
        <w:t>st</w:t>
      </w:r>
      <w:r w:rsidR="0002760A">
        <w:t xml:space="preserve"> </w:t>
      </w:r>
      <w:r>
        <w:t xml:space="preserve">quarter at </w:t>
      </w:r>
      <w:r w:rsidR="0002760A">
        <w:t>4.4</w:t>
      </w:r>
      <w:r>
        <w:t>%</w:t>
      </w:r>
      <w:r w:rsidR="00B97C78">
        <w:t xml:space="preserve">, </w:t>
      </w:r>
      <w:r w:rsidR="0002760A">
        <w:t>a 3-year high</w:t>
      </w:r>
      <w:r w:rsidR="008C798A">
        <w:t>, while the labor force participation rate fell</w:t>
      </w:r>
      <w:r>
        <w:t xml:space="preserve">. </w:t>
      </w:r>
      <w:r w:rsidR="00D57C94">
        <w:t>T</w:t>
      </w:r>
      <w:r>
        <w:t xml:space="preserve">he rate was </w:t>
      </w:r>
      <w:r w:rsidR="00237E71">
        <w:t>up</w:t>
      </w:r>
      <w:r w:rsidR="00F81F49" w:rsidRPr="00925F58">
        <w:t xml:space="preserve"> 0.</w:t>
      </w:r>
      <w:r w:rsidR="00237E71">
        <w:t>6</w:t>
      </w:r>
      <w:r w:rsidR="00072C36">
        <w:t xml:space="preserve">% </w:t>
      </w:r>
      <w:r w:rsidR="001744C6" w:rsidRPr="00925F58">
        <w:t xml:space="preserve">from the same period a year ago </w:t>
      </w:r>
      <w:r w:rsidR="008C798A">
        <w:t>but</w:t>
      </w:r>
      <w:r>
        <w:t xml:space="preserve"> </w:t>
      </w:r>
      <w:r w:rsidR="0039196F">
        <w:t>still</w:t>
      </w:r>
      <w:r w:rsidR="001744C6" w:rsidRPr="00925F58">
        <w:t xml:space="preserve"> below the 30-year average </w:t>
      </w:r>
      <w:r w:rsidR="00D644B7" w:rsidRPr="00925F58">
        <w:t xml:space="preserve">unemployment rate </w:t>
      </w:r>
      <w:r w:rsidR="001744C6" w:rsidRPr="00925F58">
        <w:t xml:space="preserve">of </w:t>
      </w:r>
      <w:r w:rsidR="00D501BC" w:rsidRPr="00925F58">
        <w:t>5.</w:t>
      </w:r>
      <w:r w:rsidR="00B97C78">
        <w:t>8</w:t>
      </w:r>
      <w:r w:rsidR="001744C6" w:rsidRPr="00925F58">
        <w:t>%.</w:t>
      </w:r>
      <w:r w:rsidR="00D644B7" w:rsidRPr="00925F58">
        <w:t xml:space="preserve"> </w:t>
      </w:r>
      <w:r w:rsidR="008C798A">
        <w:t xml:space="preserve">Unemployment data for March reflects the week ended March 12, just the beginning of widespread layoffs </w:t>
      </w:r>
      <w:r w:rsidR="00572F03">
        <w:t xml:space="preserve">in the U.S. </w:t>
      </w:r>
      <w:r w:rsidR="008C798A">
        <w:t>due to the COVID-19 crisis</w:t>
      </w:r>
      <w:r w:rsidR="00A57EA4">
        <w:t>.</w:t>
      </w:r>
      <w:r w:rsidR="008C798A">
        <w:t xml:space="preserve"> Weekly unemployment </w:t>
      </w:r>
      <w:r w:rsidR="00572F03">
        <w:t>claims</w:t>
      </w:r>
      <w:r w:rsidR="00572F03">
        <w:rPr>
          <w:rStyle w:val="FootnoteReference"/>
        </w:rPr>
        <w:footnoteReference w:id="12"/>
      </w:r>
      <w:r w:rsidR="008C798A">
        <w:t xml:space="preserve"> data show </w:t>
      </w:r>
      <w:r w:rsidR="00572F03">
        <w:t xml:space="preserve">a jump of </w:t>
      </w:r>
      <w:r w:rsidR="008C798A">
        <w:t xml:space="preserve">more than 10 million filings for unemployment </w:t>
      </w:r>
      <w:r w:rsidR="00572F03">
        <w:t xml:space="preserve">insurance </w:t>
      </w:r>
      <w:r w:rsidR="008C798A">
        <w:t>over the last two weeks of March.</w:t>
      </w:r>
    </w:p>
    <w:p w14:paraId="1926EEEC" w14:textId="4A8BFAB1" w:rsidR="0017576B" w:rsidRDefault="005C771E" w:rsidP="00D57C94">
      <w:pPr>
        <w:jc w:val="center"/>
      </w:pPr>
      <w:r>
        <w:rPr>
          <w:noProof/>
        </w:rPr>
        <w:drawing>
          <wp:inline distT="0" distB="0" distL="0" distR="0" wp14:anchorId="27446658" wp14:editId="3FFF91DF">
            <wp:extent cx="3493135"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8" w14:textId="77777777" w:rsidR="00005111" w:rsidRDefault="00005111" w:rsidP="001475FF">
      <w:pPr>
        <w:pStyle w:val="Heading1"/>
      </w:pPr>
      <w:r>
        <w:t>Inflation</w:t>
      </w:r>
    </w:p>
    <w:p w14:paraId="149D5F3A" w14:textId="58D59137" w:rsidR="00172307" w:rsidRDefault="00C90C6F" w:rsidP="00005111">
      <w:r>
        <w:t xml:space="preserve">Inflation </w:t>
      </w:r>
      <w:r w:rsidR="008D6371">
        <w:t>cooled</w:t>
      </w:r>
      <w:r>
        <w:t xml:space="preserve"> </w:t>
      </w:r>
      <w:r w:rsidR="009C74AB">
        <w:t>during</w:t>
      </w:r>
      <w:r>
        <w:t xml:space="preserve"> the </w:t>
      </w:r>
      <w:r w:rsidR="008D6371">
        <w:t>1</w:t>
      </w:r>
      <w:r w:rsidR="008D6371" w:rsidRPr="008D6371">
        <w:rPr>
          <w:vertAlign w:val="superscript"/>
        </w:rPr>
        <w:t>st</w:t>
      </w:r>
      <w:r w:rsidR="008D6371">
        <w:t xml:space="preserve"> </w:t>
      </w:r>
      <w:r>
        <w:t xml:space="preserve">quarter due </w:t>
      </w:r>
      <w:r w:rsidR="008D6371">
        <w:t>primarily</w:t>
      </w:r>
      <w:r>
        <w:t xml:space="preserve"> to </w:t>
      </w:r>
      <w:r w:rsidR="008D6371">
        <w:t>plummeting gasoline</w:t>
      </w:r>
      <w:r w:rsidR="001A4F9E">
        <w:t xml:space="preserve"> prices</w:t>
      </w:r>
      <w:r w:rsidR="008D6371">
        <w:t>, along with airline fares, apparel, and lodging away from home</w:t>
      </w:r>
      <w:r w:rsidR="001E7445">
        <w:t xml:space="preserve">. </w:t>
      </w:r>
      <w:r w:rsidR="008D6371">
        <w:t>Still, t</w:t>
      </w:r>
      <w:r w:rsidR="006F7FB2" w:rsidRPr="0016088B">
        <w:t>he Consumer Price Index (CPI)</w:t>
      </w:r>
      <w:r w:rsidR="0076678E">
        <w:rPr>
          <w:rStyle w:val="FootnoteReference"/>
        </w:rPr>
        <w:footnoteReference w:id="13"/>
      </w:r>
      <w:r w:rsidR="006F7FB2" w:rsidRPr="0016088B">
        <w:t xml:space="preserve"> </w:t>
      </w:r>
      <w:r w:rsidR="00CD3F6E">
        <w:t xml:space="preserve">has </w:t>
      </w:r>
      <w:r w:rsidR="006F7FB2" w:rsidRPr="0016088B">
        <w:t xml:space="preserve">increased </w:t>
      </w:r>
      <w:r w:rsidR="0016088B" w:rsidRPr="0016088B">
        <w:t xml:space="preserve">by </w:t>
      </w:r>
      <w:r w:rsidR="008D6371">
        <w:t>1.52</w:t>
      </w:r>
      <w:r w:rsidR="0016088B" w:rsidRPr="0016088B">
        <w:t>%</w:t>
      </w:r>
      <w:r w:rsidR="00CD3F6E">
        <w:t xml:space="preserve"> since</w:t>
      </w:r>
      <w:r>
        <w:t xml:space="preserve"> </w:t>
      </w:r>
      <w:r w:rsidR="00072C36">
        <w:t xml:space="preserve">last </w:t>
      </w:r>
      <w:r w:rsidR="008D6371">
        <w:t>March</w:t>
      </w:r>
      <w:r w:rsidR="006F7FB2" w:rsidRPr="0016088B">
        <w:t>.</w:t>
      </w:r>
      <w:r w:rsidR="00B071DB" w:rsidRPr="0016088B">
        <w:t xml:space="preserve"> </w:t>
      </w:r>
      <w:r w:rsidR="00BD3693">
        <w:t>According to Federal Reserve Bank of New York’s S</w:t>
      </w:r>
      <w:r w:rsidR="00A82B9E">
        <w:t>urvey of Consumer Expectations,</w:t>
      </w:r>
      <w:r w:rsidR="00BD3693">
        <w:t xml:space="preserve"> inflation</w:t>
      </w:r>
      <w:r w:rsidR="00A82B9E">
        <w:t xml:space="preserve"> </w:t>
      </w:r>
      <w:r w:rsidR="001E7445">
        <w:t>expectations</w:t>
      </w:r>
      <w:r w:rsidR="008155BA">
        <w:rPr>
          <w:rStyle w:val="FootnoteReference"/>
        </w:rPr>
        <w:footnoteReference w:id="14"/>
      </w:r>
      <w:r w:rsidR="00E274D8">
        <w:t xml:space="preserve"> </w:t>
      </w:r>
      <w:r w:rsidR="008155BA">
        <w:t>held steady in March at</w:t>
      </w:r>
      <w:r w:rsidR="009C74AB">
        <w:t xml:space="preserve"> 2.5% </w:t>
      </w:r>
      <w:r w:rsidR="00E274D8">
        <w:t xml:space="preserve">for the </w:t>
      </w:r>
      <w:r w:rsidR="00BD3693">
        <w:t>one</w:t>
      </w:r>
      <w:r w:rsidR="00E274D8">
        <w:t>-</w:t>
      </w:r>
      <w:r w:rsidR="00BD3693">
        <w:t>year</w:t>
      </w:r>
      <w:r>
        <w:t xml:space="preserve"> </w:t>
      </w:r>
      <w:r w:rsidR="009C74AB">
        <w:t xml:space="preserve">horizon </w:t>
      </w:r>
      <w:r w:rsidR="00E274D8">
        <w:t xml:space="preserve">and </w:t>
      </w:r>
      <w:r w:rsidR="008155BA">
        <w:t>inched down to</w:t>
      </w:r>
      <w:r w:rsidR="001A4F9E">
        <w:t xml:space="preserve"> </w:t>
      </w:r>
      <w:r w:rsidR="009C74AB">
        <w:t>2.</w:t>
      </w:r>
      <w:r w:rsidR="008155BA">
        <w:t>4</w:t>
      </w:r>
      <w:r w:rsidR="009C74AB">
        <w:t xml:space="preserve">% for the </w:t>
      </w:r>
      <w:r w:rsidR="00E274D8">
        <w:t>three-year</w:t>
      </w:r>
      <w:r w:rsidR="009C74AB">
        <w:t xml:space="preserve"> horizon</w:t>
      </w:r>
      <w:r w:rsidR="00BD3693">
        <w:t xml:space="preserve">. </w:t>
      </w:r>
    </w:p>
    <w:p w14:paraId="149D5F3C" w14:textId="0F05D9C5" w:rsidR="00B94E68" w:rsidRDefault="005C771E" w:rsidP="0026599C">
      <w:pPr>
        <w:jc w:val="center"/>
      </w:pPr>
      <w:r>
        <w:rPr>
          <w:noProof/>
        </w:rPr>
        <w:lastRenderedPageBreak/>
        <w:drawing>
          <wp:inline distT="0" distB="0" distL="0" distR="0" wp14:anchorId="33B63CDC" wp14:editId="74BCEE10">
            <wp:extent cx="3493135"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E" w14:textId="39ABC059" w:rsidR="00A11CAC" w:rsidRDefault="006F7FB2" w:rsidP="006F7FB2">
      <w:r w:rsidRPr="004E4B6F">
        <w:t>Prices at the prod</w:t>
      </w:r>
      <w:r w:rsidR="000E6A61" w:rsidRPr="004E4B6F">
        <w:t>ucer level</w:t>
      </w:r>
      <w:r w:rsidR="00E274D8">
        <w:t xml:space="preserve"> </w:t>
      </w:r>
      <w:r w:rsidR="008155BA">
        <w:t>fell</w:t>
      </w:r>
      <w:r w:rsidR="0042476E">
        <w:t xml:space="preserve"> over</w:t>
      </w:r>
      <w:r w:rsidR="00E274D8">
        <w:t xml:space="preserve"> the </w:t>
      </w:r>
      <w:r w:rsidR="008155BA">
        <w:t>1</w:t>
      </w:r>
      <w:r w:rsidR="008155BA" w:rsidRPr="008155BA">
        <w:rPr>
          <w:vertAlign w:val="superscript"/>
        </w:rPr>
        <w:t>st</w:t>
      </w:r>
      <w:r w:rsidR="008155BA">
        <w:t xml:space="preserve"> </w:t>
      </w:r>
      <w:r w:rsidR="00E274D8">
        <w:t>quarter</w:t>
      </w:r>
      <w:r w:rsidR="0042476E">
        <w:t>,</w:t>
      </w:r>
      <w:r w:rsidR="00FE5B60">
        <w:t xml:space="preserve"> with </w:t>
      </w:r>
      <w:r w:rsidR="008155BA">
        <w:t>March</w:t>
      </w:r>
      <w:r w:rsidR="00FE5B60">
        <w:t xml:space="preserve"> price</w:t>
      </w:r>
      <w:r w:rsidR="002435D7">
        <w:t>s</w:t>
      </w:r>
      <w:r w:rsidR="00FE5B60">
        <w:t xml:space="preserve"> </w:t>
      </w:r>
      <w:r w:rsidR="008155BA">
        <w:t>down</w:t>
      </w:r>
      <w:r w:rsidR="00FE5B60">
        <w:t xml:space="preserve"> for</w:t>
      </w:r>
      <w:r w:rsidR="008155BA">
        <w:t xml:space="preserve"> goods, especially energy and other fuels</w:t>
      </w:r>
      <w:r w:rsidR="00FE5B60">
        <w:t>. T</w:t>
      </w:r>
      <w:r w:rsidRPr="004E4B6F">
        <w:t>he Producer Pr</w:t>
      </w:r>
      <w:r w:rsidR="00174B44" w:rsidRPr="004E4B6F">
        <w:t>ice Index (PPI)</w:t>
      </w:r>
      <w:r w:rsidR="00CB1375">
        <w:rPr>
          <w:rStyle w:val="FootnoteReference"/>
        </w:rPr>
        <w:footnoteReference w:id="15"/>
      </w:r>
      <w:r w:rsidR="00174B44" w:rsidRPr="004E4B6F">
        <w:t xml:space="preserve"> </w:t>
      </w:r>
      <w:r w:rsidR="0042476E">
        <w:t xml:space="preserve">for all commodities </w:t>
      </w:r>
      <w:r w:rsidR="002435D7">
        <w:t>was</w:t>
      </w:r>
      <w:r w:rsidR="007B7D73" w:rsidRPr="004E4B6F">
        <w:t xml:space="preserve"> </w:t>
      </w:r>
      <w:r w:rsidR="008155BA">
        <w:t>3</w:t>
      </w:r>
      <w:r w:rsidR="0042476E">
        <w:t>.</w:t>
      </w:r>
      <w:r w:rsidR="008155BA">
        <w:t>49</w:t>
      </w:r>
      <w:r w:rsidR="00174B44" w:rsidRPr="004E4B6F">
        <w:t>%</w:t>
      </w:r>
      <w:r w:rsidRPr="004E4B6F">
        <w:t xml:space="preserve"> </w:t>
      </w:r>
      <w:r w:rsidR="002435D7">
        <w:t xml:space="preserve">lower </w:t>
      </w:r>
      <w:r w:rsidR="0039736B">
        <w:t xml:space="preserve">in </w:t>
      </w:r>
      <w:r w:rsidR="008155BA">
        <w:t>March</w:t>
      </w:r>
      <w:r w:rsidR="0039736B">
        <w:t xml:space="preserve"> </w:t>
      </w:r>
      <w:r w:rsidRPr="004E4B6F">
        <w:t>compared to the same period last year</w:t>
      </w:r>
      <w:r w:rsidR="00FE5B60">
        <w:t>, falling</w:t>
      </w:r>
      <w:r w:rsidR="00E274D8">
        <w:t xml:space="preserve"> well</w:t>
      </w:r>
      <w:r w:rsidR="0039736B">
        <w:t xml:space="preserve"> </w:t>
      </w:r>
      <w:r w:rsidR="008155BA">
        <w:t>short of</w:t>
      </w:r>
      <w:r w:rsidR="001E7445">
        <w:t xml:space="preserve"> </w:t>
      </w:r>
      <w:r w:rsidR="0031179D" w:rsidRPr="004E4B6F">
        <w:t xml:space="preserve">the 30-year average of </w:t>
      </w:r>
      <w:r w:rsidR="00FE5B60">
        <w:t xml:space="preserve">a </w:t>
      </w:r>
      <w:r w:rsidR="0039736B">
        <w:t>2.</w:t>
      </w:r>
      <w:r w:rsidR="0042476E">
        <w:t>0</w:t>
      </w:r>
      <w:r w:rsidR="008155BA">
        <w:t>2</w:t>
      </w:r>
      <w:r w:rsidR="0031179D" w:rsidRPr="004E4B6F">
        <w:t>%</w:t>
      </w:r>
      <w:r w:rsidR="00FE5B60">
        <w:t xml:space="preserve"> annual increase</w:t>
      </w:r>
      <w:r w:rsidR="0031179D" w:rsidRPr="004E4B6F">
        <w:t xml:space="preserve">. </w:t>
      </w:r>
    </w:p>
    <w:p w14:paraId="149D5F40" w14:textId="1791A584" w:rsidR="00B94E68" w:rsidRDefault="005C771E" w:rsidP="00166C08">
      <w:pPr>
        <w:jc w:val="center"/>
      </w:pPr>
      <w:r>
        <w:rPr>
          <w:noProof/>
        </w:rPr>
        <w:drawing>
          <wp:inline distT="0" distB="0" distL="0" distR="0" wp14:anchorId="47CEAB7C" wp14:editId="19100B63">
            <wp:extent cx="3493135"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491A6E5E" w14:textId="70BEFC81" w:rsidR="00F03302" w:rsidRDefault="00F03302" w:rsidP="00F03302">
      <w:r>
        <w:t xml:space="preserve">Oil prices </w:t>
      </w:r>
      <w:r w:rsidR="00544623">
        <w:t xml:space="preserve">tumbled </w:t>
      </w:r>
      <w:r w:rsidR="0074137C">
        <w:t>by more than half</w:t>
      </w:r>
      <w:r>
        <w:t xml:space="preserve"> during the </w:t>
      </w:r>
      <w:r w:rsidR="0074137C">
        <w:t>1</w:t>
      </w:r>
      <w:r w:rsidR="0074137C" w:rsidRPr="0074137C">
        <w:rPr>
          <w:vertAlign w:val="superscript"/>
        </w:rPr>
        <w:t>st</w:t>
      </w:r>
      <w:r w:rsidR="0074137C">
        <w:t xml:space="preserve"> </w:t>
      </w:r>
      <w:r>
        <w:t>quarter</w:t>
      </w:r>
      <w:r w:rsidR="0074137C">
        <w:t>, with U.S. crude oil</w:t>
      </w:r>
      <w:r w:rsidR="0074137C">
        <w:rPr>
          <w:rStyle w:val="FootnoteReference"/>
        </w:rPr>
        <w:footnoteReference w:id="16"/>
      </w:r>
      <w:r w:rsidR="0074137C">
        <w:t xml:space="preserve"> reaching a 16-year low.</w:t>
      </w:r>
      <w:r>
        <w:t xml:space="preserve"> </w:t>
      </w:r>
      <w:r w:rsidR="0074137C">
        <w:t>Demand for oil dwindled worldwide throughout the 1</w:t>
      </w:r>
      <w:r w:rsidR="0074137C" w:rsidRPr="0074137C">
        <w:rPr>
          <w:vertAlign w:val="superscript"/>
        </w:rPr>
        <w:t>st</w:t>
      </w:r>
      <w:r w:rsidR="0074137C">
        <w:t xml:space="preserve"> quarter as the growing COVID-19 pandemic led to widespread </w:t>
      </w:r>
      <w:r w:rsidR="001C2541">
        <w:t>cessation</w:t>
      </w:r>
      <w:r w:rsidR="0074137C">
        <w:t xml:space="preserve"> of business and personal travel </w:t>
      </w:r>
      <w:r w:rsidR="001C2541">
        <w:t>as well as</w:t>
      </w:r>
      <w:r w:rsidR="001C2541" w:rsidRPr="00706B09">
        <w:t xml:space="preserve"> </w:t>
      </w:r>
      <w:r w:rsidR="001C2541">
        <w:t xml:space="preserve">daily </w:t>
      </w:r>
      <w:r w:rsidR="001C2541">
        <w:lastRenderedPageBreak/>
        <w:t>commutes and activities</w:t>
      </w:r>
      <w:r>
        <w:t>. Crude oil prices</w:t>
      </w:r>
      <w:r w:rsidR="0074137C">
        <w:t xml:space="preserve"> </w:t>
      </w:r>
      <w:r>
        <w:t xml:space="preserve">ended the quarter at </w:t>
      </w:r>
      <w:r w:rsidR="0074137C">
        <w:t xml:space="preserve">$29.21 </w:t>
      </w:r>
      <w:r>
        <w:t xml:space="preserve">per barrel in </w:t>
      </w:r>
      <w:r w:rsidR="0074137C">
        <w:t>March</w:t>
      </w:r>
      <w:r>
        <w:t xml:space="preserve">, </w:t>
      </w:r>
      <w:r w:rsidR="0074137C">
        <w:t>down</w:t>
      </w:r>
      <w:r>
        <w:t xml:space="preserve"> 51</w:t>
      </w:r>
      <w:r w:rsidR="0074137C">
        <w:t>.2</w:t>
      </w:r>
      <w:r>
        <w:t xml:space="preserve">% from the previous quarter. Prices for crude oil were </w:t>
      </w:r>
      <w:r w:rsidR="0074137C">
        <w:t>49.8</w:t>
      </w:r>
      <w:r w:rsidRPr="00892D49">
        <w:t xml:space="preserve">% </w:t>
      </w:r>
      <w:r w:rsidR="0074137C">
        <w:t>lower</w:t>
      </w:r>
      <w:r>
        <w:t xml:space="preserve"> than</w:t>
      </w:r>
      <w:r w:rsidRPr="00892D49">
        <w:t xml:space="preserve"> last </w:t>
      </w:r>
      <w:r w:rsidR="0074137C">
        <w:t>March</w:t>
      </w:r>
      <w:r>
        <w:t>.</w:t>
      </w:r>
    </w:p>
    <w:p w14:paraId="51050840" w14:textId="3193EFF9" w:rsidR="00F03302" w:rsidRDefault="005C771E" w:rsidP="00166C08">
      <w:pPr>
        <w:jc w:val="center"/>
      </w:pPr>
      <w:r>
        <w:rPr>
          <w:noProof/>
        </w:rPr>
        <w:drawing>
          <wp:inline distT="0" distB="0" distL="0" distR="0" wp14:anchorId="3F69BC7B" wp14:editId="465E7AA5">
            <wp:extent cx="3609340"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149D5F41" w14:textId="77777777" w:rsidR="00005111" w:rsidRDefault="00005111" w:rsidP="001475FF">
      <w:pPr>
        <w:pStyle w:val="Heading1"/>
      </w:pPr>
      <w:r>
        <w:t>Housing</w:t>
      </w:r>
    </w:p>
    <w:p w14:paraId="7135DBE1" w14:textId="71161600" w:rsidR="00A96A6A" w:rsidRDefault="00B0395F">
      <w:r w:rsidRPr="0094654A">
        <w:t xml:space="preserve">During the </w:t>
      </w:r>
      <w:r w:rsidR="00B135D7">
        <w:t>1</w:t>
      </w:r>
      <w:r w:rsidR="00B135D7" w:rsidRPr="00B135D7">
        <w:rPr>
          <w:vertAlign w:val="superscript"/>
        </w:rPr>
        <w:t>st</w:t>
      </w:r>
      <w:r w:rsidR="00B135D7">
        <w:t xml:space="preserve"> </w:t>
      </w:r>
      <w:r w:rsidRPr="0094654A">
        <w:t>quarter, the h</w:t>
      </w:r>
      <w:r w:rsidR="00CD0AEC" w:rsidRPr="0094654A">
        <w:t xml:space="preserve">ousing </w:t>
      </w:r>
      <w:r w:rsidRPr="0094654A">
        <w:t xml:space="preserve">market </w:t>
      </w:r>
      <w:r w:rsidR="00B135D7">
        <w:t>also felt the effects of nonessential business restrictions</w:t>
      </w:r>
      <w:r w:rsidR="009A36DD">
        <w:t xml:space="preserve"> and economic contraction</w:t>
      </w:r>
      <w:r w:rsidR="00536754">
        <w:t>, with n</w:t>
      </w:r>
      <w:r w:rsidRPr="0094654A">
        <w:t>ew home starts</w:t>
      </w:r>
      <w:r w:rsidR="00C828B0">
        <w:rPr>
          <w:rStyle w:val="FootnoteReference"/>
        </w:rPr>
        <w:footnoteReference w:id="17"/>
      </w:r>
      <w:r w:rsidRPr="0094654A">
        <w:t xml:space="preserve"> </w:t>
      </w:r>
      <w:r w:rsidR="00B135D7">
        <w:t>dropping to 1.22</w:t>
      </w:r>
      <w:r w:rsidRPr="0094654A">
        <w:t xml:space="preserve"> million in </w:t>
      </w:r>
      <w:r w:rsidR="00B135D7">
        <w:t>March</w:t>
      </w:r>
      <w:r w:rsidRPr="0094654A">
        <w:t xml:space="preserve">. </w:t>
      </w:r>
      <w:r w:rsidR="00536754">
        <w:t>T</w:t>
      </w:r>
      <w:r w:rsidR="0028237E">
        <w:t xml:space="preserve">otal </w:t>
      </w:r>
      <w:r w:rsidR="00536754">
        <w:t xml:space="preserve">new </w:t>
      </w:r>
      <w:r w:rsidR="0028237E">
        <w:t xml:space="preserve">housing starts were </w:t>
      </w:r>
      <w:r w:rsidR="00B135D7">
        <w:t>down 24</w:t>
      </w:r>
      <w:r w:rsidR="00A07D5A">
        <w:t>.</w:t>
      </w:r>
      <w:r w:rsidR="00536754">
        <w:t>0</w:t>
      </w:r>
      <w:r w:rsidR="0028237E">
        <w:t xml:space="preserve">% over last quarter. </w:t>
      </w:r>
      <w:r w:rsidR="0039736B">
        <w:t>Single</w:t>
      </w:r>
      <w:r w:rsidR="0026329B">
        <w:t xml:space="preserve">-family </w:t>
      </w:r>
      <w:r w:rsidR="0039736B">
        <w:t>home</w:t>
      </w:r>
      <w:r w:rsidR="00204D9D">
        <w:t xml:space="preserve"> </w:t>
      </w:r>
      <w:r w:rsidR="0039736B">
        <w:t>s</w:t>
      </w:r>
      <w:r w:rsidR="00204D9D">
        <w:t>tarts</w:t>
      </w:r>
      <w:r w:rsidR="0026329B">
        <w:t xml:space="preserve"> </w:t>
      </w:r>
      <w:r w:rsidR="00B135D7">
        <w:t>were</w:t>
      </w:r>
      <w:r w:rsidR="00536754">
        <w:t xml:space="preserve"> 1</w:t>
      </w:r>
      <w:r w:rsidR="00B135D7">
        <w:t>7.5</w:t>
      </w:r>
      <w:r w:rsidR="00536754">
        <w:t>%</w:t>
      </w:r>
      <w:r w:rsidR="00B135D7">
        <w:t xml:space="preserve"> lower and apartment and condo </w:t>
      </w:r>
      <w:proofErr w:type="gramStart"/>
      <w:r w:rsidR="00B135D7">
        <w:t>starts</w:t>
      </w:r>
      <w:proofErr w:type="gramEnd"/>
      <w:r w:rsidR="00B135D7">
        <w:t>, 32.1% lower in March</w:t>
      </w:r>
      <w:r w:rsidR="00536754">
        <w:t>.</w:t>
      </w:r>
      <w:r w:rsidR="00B135D7">
        <w:t xml:space="preserve"> Additionally, new construction permits fell 6.8% in March, foreshadowing continued declines in homebuilding</w:t>
      </w:r>
      <w:r w:rsidRPr="0094654A">
        <w:t xml:space="preserve">. </w:t>
      </w:r>
      <w:r w:rsidR="003B0615">
        <w:t xml:space="preserve">New home starts </w:t>
      </w:r>
      <w:r w:rsidR="00B135D7">
        <w:t>in</w:t>
      </w:r>
      <w:r w:rsidR="003B0615">
        <w:t xml:space="preserve"> the </w:t>
      </w:r>
      <w:r w:rsidR="00B135D7">
        <w:t>1</w:t>
      </w:r>
      <w:r w:rsidR="00B135D7" w:rsidRPr="00B135D7">
        <w:rPr>
          <w:vertAlign w:val="superscript"/>
        </w:rPr>
        <w:t>st</w:t>
      </w:r>
      <w:r w:rsidR="00B135D7">
        <w:t xml:space="preserve"> </w:t>
      </w:r>
      <w:r w:rsidR="003B0615">
        <w:t>quarter of 20</w:t>
      </w:r>
      <w:r w:rsidR="00111974">
        <w:t>20</w:t>
      </w:r>
      <w:r w:rsidR="003B0615">
        <w:t xml:space="preserve"> </w:t>
      </w:r>
      <w:r w:rsidR="00B135D7">
        <w:t>slipped below</w:t>
      </w:r>
      <w:r w:rsidR="00424E74" w:rsidRPr="0094654A">
        <w:t xml:space="preserve"> the 30-year average of 1.</w:t>
      </w:r>
      <w:r w:rsidR="00B135D7">
        <w:t>30</w:t>
      </w:r>
      <w:r w:rsidR="00424E74" w:rsidRPr="0094654A">
        <w:t xml:space="preserve"> </w:t>
      </w:r>
      <w:r w:rsidR="00424E74" w:rsidRPr="004F1527">
        <w:t>million</w:t>
      </w:r>
      <w:r w:rsidR="00D55969">
        <w:t xml:space="preserve"> units per month</w:t>
      </w:r>
      <w:r w:rsidR="00424E74" w:rsidRPr="004F1527">
        <w:t>.</w:t>
      </w:r>
      <w:r w:rsidR="00F80395">
        <w:t xml:space="preserve"> </w:t>
      </w:r>
    </w:p>
    <w:p w14:paraId="149D5F44" w14:textId="54472927" w:rsidR="00B5315D" w:rsidRDefault="005C771E" w:rsidP="001B4B76">
      <w:pPr>
        <w:jc w:val="center"/>
      </w:pPr>
      <w:r>
        <w:rPr>
          <w:noProof/>
        </w:rPr>
        <w:lastRenderedPageBreak/>
        <w:drawing>
          <wp:inline distT="0" distB="0" distL="0" distR="0" wp14:anchorId="5DF79415" wp14:editId="3ACC8CED">
            <wp:extent cx="3816350"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0" cy="2743200"/>
                    </a:xfrm>
                    <a:prstGeom prst="rect">
                      <a:avLst/>
                    </a:prstGeom>
                    <a:noFill/>
                  </pic:spPr>
                </pic:pic>
              </a:graphicData>
            </a:graphic>
          </wp:inline>
        </w:drawing>
      </w:r>
    </w:p>
    <w:p w14:paraId="149D5F46" w14:textId="0C3987E5" w:rsidR="00A96795" w:rsidRDefault="00A223EC" w:rsidP="000A1224">
      <w:r>
        <w:t xml:space="preserve">The cost </w:t>
      </w:r>
      <w:r w:rsidR="00BC00A7">
        <w:t xml:space="preserve">of financing </w:t>
      </w:r>
      <w:r>
        <w:t xml:space="preserve">for </w:t>
      </w:r>
      <w:r w:rsidR="001B4B76">
        <w:t xml:space="preserve">would-be homebuyers </w:t>
      </w:r>
      <w:r w:rsidR="009A36DD">
        <w:t>declined</w:t>
      </w:r>
      <w:r w:rsidR="003B0615">
        <w:t xml:space="preserve"> </w:t>
      </w:r>
      <w:r w:rsidR="00670FB1">
        <w:t>during</w:t>
      </w:r>
      <w:r w:rsidR="00394236">
        <w:t xml:space="preserve"> the </w:t>
      </w:r>
      <w:r w:rsidR="009A36DD">
        <w:t>1</w:t>
      </w:r>
      <w:r w:rsidR="009A36DD" w:rsidRPr="009A36DD">
        <w:rPr>
          <w:vertAlign w:val="superscript"/>
        </w:rPr>
        <w:t>st</w:t>
      </w:r>
      <w:r w:rsidR="009A36DD">
        <w:t xml:space="preserve"> </w:t>
      </w:r>
      <w:r w:rsidR="00394236">
        <w:t>quarter</w:t>
      </w:r>
      <w:r w:rsidR="0026329B">
        <w:t xml:space="preserve"> </w:t>
      </w:r>
      <w:r w:rsidR="001B4B76">
        <w:t>as the 30-year fixed-rate mortgage</w:t>
      </w:r>
      <w:r w:rsidR="00250313">
        <w:rPr>
          <w:rStyle w:val="FootnoteReference"/>
        </w:rPr>
        <w:footnoteReference w:id="18"/>
      </w:r>
      <w:r w:rsidR="001B4B76">
        <w:t xml:space="preserve"> </w:t>
      </w:r>
      <w:r w:rsidR="009A36DD">
        <w:t>slid</w:t>
      </w:r>
      <w:r w:rsidR="0026329B">
        <w:t xml:space="preserve"> to </w:t>
      </w:r>
      <w:r w:rsidR="0028237E">
        <w:t>3.</w:t>
      </w:r>
      <w:r w:rsidR="009A36DD">
        <w:t>50</w:t>
      </w:r>
      <w:r w:rsidR="00BE4FA9">
        <w:t>%</w:t>
      </w:r>
      <w:r w:rsidR="003B0615">
        <w:t xml:space="preserve"> to end </w:t>
      </w:r>
      <w:r w:rsidR="00364347">
        <w:t xml:space="preserve">March </w:t>
      </w:r>
      <w:r w:rsidR="003B0615">
        <w:t>20</w:t>
      </w:r>
      <w:r w:rsidR="00364347">
        <w:t>20</w:t>
      </w:r>
      <w:r w:rsidR="001B4B76">
        <w:t>.</w:t>
      </w:r>
      <w:r w:rsidR="00A730DC">
        <w:t xml:space="preserve"> </w:t>
      </w:r>
      <w:r w:rsidR="00670FB1">
        <w:t>The</w:t>
      </w:r>
      <w:r w:rsidR="00A730DC">
        <w:t xml:space="preserve"> Fed announced </w:t>
      </w:r>
      <w:r w:rsidR="009A36DD">
        <w:t xml:space="preserve">two </w:t>
      </w:r>
      <w:r w:rsidR="00670FB1">
        <w:t>target rate cut</w:t>
      </w:r>
      <w:r w:rsidR="009A36DD">
        <w:t>s</w:t>
      </w:r>
      <w:r w:rsidR="003B0615">
        <w:t xml:space="preserve"> </w:t>
      </w:r>
      <w:r w:rsidR="009A36DD">
        <w:t>totaling 150</w:t>
      </w:r>
      <w:r w:rsidR="003B0615">
        <w:t xml:space="preserve"> basis points </w:t>
      </w:r>
      <w:r w:rsidR="00670FB1">
        <w:t xml:space="preserve">in </w:t>
      </w:r>
      <w:r w:rsidR="009A36DD">
        <w:t>unscheduled decisions during March</w:t>
      </w:r>
      <w:r w:rsidR="00A730DC">
        <w:t>.</w:t>
      </w:r>
    </w:p>
    <w:p w14:paraId="0D0A69F6" w14:textId="5D7825C3" w:rsidR="00A96A6A" w:rsidRDefault="005C771E" w:rsidP="00453708">
      <w:pPr>
        <w:jc w:val="center"/>
      </w:pPr>
      <w:r>
        <w:rPr>
          <w:noProof/>
        </w:rPr>
        <w:drawing>
          <wp:inline distT="0" distB="0" distL="0" distR="0" wp14:anchorId="3EDEAFDE" wp14:editId="13E54441">
            <wp:extent cx="3816350" cy="27374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D2DE37C" w14:textId="09E994B0" w:rsidR="00A96A6A" w:rsidRDefault="00B767AE" w:rsidP="00773B5B">
      <w:r>
        <w:t>The S&amp;</w:t>
      </w:r>
      <w:r w:rsidR="00BD1AF4">
        <w:t>P Case-Shiller Home Price Index (20-city)</w:t>
      </w:r>
      <w:r w:rsidR="00B2585A">
        <w:rPr>
          <w:rStyle w:val="FootnoteReference"/>
        </w:rPr>
        <w:footnoteReference w:id="19"/>
      </w:r>
      <w:r w:rsidR="00BD1AF4">
        <w:t xml:space="preserve"> </w:t>
      </w:r>
      <w:r w:rsidR="00BE4FA9">
        <w:t>for</w:t>
      </w:r>
      <w:r w:rsidR="00BD1AF4">
        <w:t xml:space="preserve"> </w:t>
      </w:r>
      <w:r w:rsidR="009A36DD">
        <w:t>February</w:t>
      </w:r>
      <w:r w:rsidR="00BD1AF4">
        <w:t xml:space="preserve"> </w:t>
      </w:r>
      <w:r w:rsidR="00111974">
        <w:t>2020</w:t>
      </w:r>
      <w:r w:rsidR="00BD1AF4">
        <w:t xml:space="preserve"> </w:t>
      </w:r>
      <w:r w:rsidR="001868CB">
        <w:t>increased</w:t>
      </w:r>
      <w:r w:rsidR="00E2306A">
        <w:t xml:space="preserve"> </w:t>
      </w:r>
      <w:r w:rsidR="001868CB">
        <w:t xml:space="preserve">by </w:t>
      </w:r>
      <w:r w:rsidR="009A36DD">
        <w:t>3.4</w:t>
      </w:r>
      <w:r w:rsidR="00E2306A">
        <w:t>%</w:t>
      </w:r>
      <w:r w:rsidR="003A0447">
        <w:t xml:space="preserve"> over the year</w:t>
      </w:r>
      <w:r w:rsidR="00933213">
        <w:t xml:space="preserve">, with </w:t>
      </w:r>
      <w:r w:rsidR="00C737DC">
        <w:t xml:space="preserve">the largest gains in </w:t>
      </w:r>
      <w:r w:rsidR="009A36DD">
        <w:t xml:space="preserve">Western and </w:t>
      </w:r>
      <w:r w:rsidR="00C737DC">
        <w:t>Southern cities</w:t>
      </w:r>
      <w:r w:rsidR="0096732C">
        <w:t>.</w:t>
      </w:r>
      <w:r w:rsidR="00933213">
        <w:t xml:space="preserve"> </w:t>
      </w:r>
      <w:r w:rsidR="00B432FD" w:rsidRPr="00B432FD">
        <w:t>Pri</w:t>
      </w:r>
      <w:r w:rsidR="00B432FD">
        <w:t>or to the spread of COVID-19 in the U.S., home prices were</w:t>
      </w:r>
      <w:r w:rsidR="00B432FD" w:rsidRPr="00B432FD">
        <w:t xml:space="preserve"> </w:t>
      </w:r>
      <w:r w:rsidR="00B432FD">
        <w:t>advancing on</w:t>
      </w:r>
      <w:r w:rsidR="00B432FD" w:rsidRPr="00B432FD">
        <w:t xml:space="preserve"> </w:t>
      </w:r>
      <w:r w:rsidR="00B432FD">
        <w:t>robust</w:t>
      </w:r>
      <w:r w:rsidR="00B432FD" w:rsidRPr="00B432FD">
        <w:t xml:space="preserve"> demand, </w:t>
      </w:r>
      <w:r w:rsidR="00B432FD">
        <w:t>short</w:t>
      </w:r>
      <w:r w:rsidR="00B432FD" w:rsidRPr="00B432FD">
        <w:t xml:space="preserve"> </w:t>
      </w:r>
      <w:proofErr w:type="gramStart"/>
      <w:r w:rsidR="00B432FD" w:rsidRPr="00B432FD">
        <w:t>supply</w:t>
      </w:r>
      <w:proofErr w:type="gramEnd"/>
      <w:r w:rsidR="00B432FD" w:rsidRPr="00B432FD">
        <w:t xml:space="preserve"> and low mortgage rates</w:t>
      </w:r>
      <w:r w:rsidR="00B432FD">
        <w:t>; however</w:t>
      </w:r>
      <w:r w:rsidR="00B432FD" w:rsidRPr="00B432FD">
        <w:t xml:space="preserve">, demand has </w:t>
      </w:r>
      <w:r w:rsidR="00B432FD">
        <w:t xml:space="preserve">since </w:t>
      </w:r>
      <w:r w:rsidR="00B432FD" w:rsidRPr="00B432FD">
        <w:t xml:space="preserve">slackened due to the economic </w:t>
      </w:r>
      <w:r w:rsidR="00B432FD">
        <w:t>effects of the COVID-19 pandemic</w:t>
      </w:r>
      <w:r w:rsidR="00B432FD" w:rsidRPr="00B432FD">
        <w:t>.</w:t>
      </w:r>
      <w:r w:rsidR="00B432FD">
        <w:t xml:space="preserve"> </w:t>
      </w:r>
      <w:r w:rsidR="00873466">
        <w:lastRenderedPageBreak/>
        <w:t xml:space="preserve">Last </w:t>
      </w:r>
      <w:r w:rsidR="00B432FD">
        <w:t>February</w:t>
      </w:r>
      <w:r w:rsidR="00873466">
        <w:t xml:space="preserve">, home prices were increasing at a </w:t>
      </w:r>
      <w:r w:rsidR="009A36DD">
        <w:t>2.8</w:t>
      </w:r>
      <w:r w:rsidR="00873466">
        <w:t>% annual rate.</w:t>
      </w:r>
      <w:r w:rsidR="00933213">
        <w:t xml:space="preserve"> </w:t>
      </w:r>
      <w:r w:rsidR="003A0447">
        <w:t xml:space="preserve">The 20-city composite lagged the national index. </w:t>
      </w:r>
    </w:p>
    <w:p w14:paraId="149D5F4C" w14:textId="2CBAFDD3" w:rsidR="0064538F" w:rsidRDefault="0042719D" w:rsidP="002775DB">
      <w:pPr>
        <w:jc w:val="center"/>
      </w:pPr>
      <w:r>
        <w:rPr>
          <w:noProof/>
        </w:rPr>
        <w:drawing>
          <wp:inline distT="0" distB="0" distL="0" distR="0" wp14:anchorId="289B69E4" wp14:editId="5A5C9488">
            <wp:extent cx="3493135"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4D" w14:textId="52E84594" w:rsidR="00005111" w:rsidRDefault="0079609A" w:rsidP="001475FF">
      <w:pPr>
        <w:pStyle w:val="Heading1"/>
      </w:pPr>
      <w:r>
        <w:t>Consumer Spending</w:t>
      </w:r>
    </w:p>
    <w:p w14:paraId="149D5F51" w14:textId="3E434A4A" w:rsidR="0079609A" w:rsidRDefault="00873466" w:rsidP="00A04AD3">
      <w:r>
        <w:t>T</w:t>
      </w:r>
      <w:r w:rsidR="0079609A" w:rsidRPr="00FD4516">
        <w:t>he</w:t>
      </w:r>
      <w:r w:rsidR="0079609A" w:rsidRPr="00971553">
        <w:t xml:space="preserve"> level of Personal Consumption Expenditures (PCE)</w:t>
      </w:r>
      <w:r w:rsidR="00421F60">
        <w:rPr>
          <w:rStyle w:val="FootnoteReference"/>
        </w:rPr>
        <w:footnoteReference w:id="20"/>
      </w:r>
      <w:r w:rsidR="0079609A" w:rsidRPr="00971553">
        <w:t xml:space="preserve"> </w:t>
      </w:r>
      <w:r w:rsidR="00B432FD">
        <w:t>fell</w:t>
      </w:r>
      <w:r w:rsidR="0079609A" w:rsidRPr="00971553">
        <w:t xml:space="preserve"> </w:t>
      </w:r>
      <w:r w:rsidR="00914EA8">
        <w:t xml:space="preserve">by </w:t>
      </w:r>
      <w:r w:rsidR="00306B1D">
        <w:t>7.55% in March</w:t>
      </w:r>
      <w:r w:rsidR="00B2629D">
        <w:t>—the steepest monthly drop on record—</w:t>
      </w:r>
      <w:r w:rsidR="00306B1D">
        <w:t xml:space="preserve">and </w:t>
      </w:r>
      <w:r w:rsidR="00B432FD">
        <w:t>3.77</w:t>
      </w:r>
      <w:r w:rsidR="0079609A" w:rsidRPr="00971553">
        <w:t xml:space="preserve">% </w:t>
      </w:r>
      <w:r w:rsidR="005C532B">
        <w:t xml:space="preserve">from </w:t>
      </w:r>
      <w:r w:rsidR="00306B1D">
        <w:t>the previous March</w:t>
      </w:r>
      <w:r w:rsidR="002F6282">
        <w:t xml:space="preserve">. </w:t>
      </w:r>
      <w:r w:rsidR="00306B1D">
        <w:t xml:space="preserve">Spending fell </w:t>
      </w:r>
      <w:r w:rsidR="00B2629D">
        <w:t xml:space="preserve">most </w:t>
      </w:r>
      <w:r w:rsidR="00306B1D">
        <w:t xml:space="preserve">sharply on healthcare, hospitality, recreation, motor vehicles, apparel, and transportation as </w:t>
      </w:r>
      <w:r w:rsidR="00B2629D">
        <w:t>stay-at-home orders took effect and incomes decreased</w:t>
      </w:r>
      <w:r w:rsidR="002A0B80">
        <w:t xml:space="preserve">. </w:t>
      </w:r>
      <w:r w:rsidR="00306B1D">
        <w:t xml:space="preserve">March’s </w:t>
      </w:r>
      <w:r w:rsidR="00B2629D">
        <w:t xml:space="preserve">annual </w:t>
      </w:r>
      <w:r w:rsidR="00306B1D">
        <w:t xml:space="preserve">drop contrasted with </w:t>
      </w:r>
      <w:r w:rsidR="0079609A" w:rsidRPr="00971553">
        <w:t xml:space="preserve">both the 30-year average </w:t>
      </w:r>
      <w:r w:rsidR="00B2629D">
        <w:t xml:space="preserve">over-the-year </w:t>
      </w:r>
      <w:r w:rsidR="00306B1D">
        <w:t>increase</w:t>
      </w:r>
      <w:r w:rsidR="0079609A" w:rsidRPr="00971553">
        <w:t xml:space="preserve"> of </w:t>
      </w:r>
      <w:r>
        <w:t>4.</w:t>
      </w:r>
      <w:r w:rsidR="00306B1D">
        <w:t>77</w:t>
      </w:r>
      <w:r w:rsidR="0079609A" w:rsidRPr="00971553">
        <w:t xml:space="preserve">% and </w:t>
      </w:r>
      <w:r w:rsidR="001E7445">
        <w:t xml:space="preserve">the </w:t>
      </w:r>
      <w:r w:rsidR="00306B1D">
        <w:t>4.21</w:t>
      </w:r>
      <w:r w:rsidR="0079609A" w:rsidRPr="00971553">
        <w:t xml:space="preserve">% </w:t>
      </w:r>
      <w:r w:rsidR="008B1963">
        <w:t>level</w:t>
      </w:r>
      <w:r w:rsidR="00CA2DA3">
        <w:t xml:space="preserve"> from </w:t>
      </w:r>
      <w:r w:rsidR="0079609A" w:rsidRPr="00971553">
        <w:t xml:space="preserve">the same period </w:t>
      </w:r>
      <w:r w:rsidR="005C532B">
        <w:t>a</w:t>
      </w:r>
      <w:r w:rsidR="0079609A" w:rsidRPr="00971553">
        <w:t xml:space="preserve"> year</w:t>
      </w:r>
      <w:r w:rsidR="005C532B">
        <w:t xml:space="preserve"> ago</w:t>
      </w:r>
      <w:r w:rsidR="0079609A" w:rsidRPr="00971553">
        <w:t>.</w:t>
      </w:r>
    </w:p>
    <w:p w14:paraId="419D69CE" w14:textId="523487A3" w:rsidR="00A96A6A" w:rsidRDefault="0042719D" w:rsidP="00CF06AE">
      <w:pPr>
        <w:jc w:val="center"/>
      </w:pPr>
      <w:r>
        <w:rPr>
          <w:noProof/>
        </w:rPr>
        <w:lastRenderedPageBreak/>
        <w:drawing>
          <wp:inline distT="0" distB="0" distL="0" distR="0" wp14:anchorId="63807BFA" wp14:editId="7AB022D0">
            <wp:extent cx="3493135"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53" w14:textId="618E39F1" w:rsidR="0079609A" w:rsidRDefault="00515DB3" w:rsidP="00F92FD1">
      <w:r>
        <w:t xml:space="preserve">Automotive companies </w:t>
      </w:r>
      <w:r w:rsidR="00695980">
        <w:t xml:space="preserve">reported </w:t>
      </w:r>
      <w:r w:rsidR="008B37F0" w:rsidRPr="008B37F0">
        <w:t>1</w:t>
      </w:r>
      <w:r w:rsidR="00B2629D">
        <w:t>1</w:t>
      </w:r>
      <w:r w:rsidR="00BA05F4">
        <w:t>.</w:t>
      </w:r>
      <w:r w:rsidR="00B2629D">
        <w:t>4</w:t>
      </w:r>
      <w:r w:rsidR="0079609A" w:rsidRPr="008B37F0">
        <w:t xml:space="preserve"> million autos and light trucks sold</w:t>
      </w:r>
      <w:r w:rsidR="00933E80">
        <w:rPr>
          <w:rStyle w:val="FootnoteReference"/>
        </w:rPr>
        <w:footnoteReference w:id="21"/>
      </w:r>
      <w:r w:rsidR="0079609A" w:rsidRPr="008B37F0">
        <w:t xml:space="preserve"> in </w:t>
      </w:r>
      <w:r w:rsidR="00B2629D">
        <w:t>March</w:t>
      </w:r>
      <w:r w:rsidR="008B3E4E">
        <w:t>,</w:t>
      </w:r>
      <w:r w:rsidR="005B40E5">
        <w:t xml:space="preserve"> </w:t>
      </w:r>
      <w:r w:rsidR="00BA05F4">
        <w:t>down</w:t>
      </w:r>
      <w:r w:rsidR="008B3E4E">
        <w:t xml:space="preserve"> </w:t>
      </w:r>
      <w:r w:rsidR="00B2629D">
        <w:t>5</w:t>
      </w:r>
      <w:r w:rsidR="00155E88">
        <w:t>.</w:t>
      </w:r>
      <w:r w:rsidR="00BA05F4">
        <w:t>4</w:t>
      </w:r>
      <w:r w:rsidR="0079609A" w:rsidRPr="008B37F0">
        <w:t xml:space="preserve"> million </w:t>
      </w:r>
      <w:r w:rsidR="00155E88">
        <w:t xml:space="preserve">units </w:t>
      </w:r>
      <w:r w:rsidR="00CF06AE">
        <w:t xml:space="preserve">from </w:t>
      </w:r>
      <w:r w:rsidR="00B2629D">
        <w:t>February</w:t>
      </w:r>
      <w:r w:rsidR="002361FB">
        <w:t xml:space="preserve"> </w:t>
      </w:r>
      <w:r w:rsidR="00BA05F4">
        <w:t>and</w:t>
      </w:r>
      <w:r w:rsidR="002361FB">
        <w:t xml:space="preserve"> </w:t>
      </w:r>
      <w:r w:rsidR="00B2629D">
        <w:t>5</w:t>
      </w:r>
      <w:r w:rsidR="00155E88">
        <w:t>.</w:t>
      </w:r>
      <w:r w:rsidR="00B2629D">
        <w:t>9</w:t>
      </w:r>
      <w:r w:rsidR="00155E88">
        <w:t xml:space="preserve"> million </w:t>
      </w:r>
      <w:r w:rsidR="003A679B">
        <w:t>over the year</w:t>
      </w:r>
      <w:r w:rsidR="00155E88">
        <w:t>.</w:t>
      </w:r>
      <w:r w:rsidR="0079609A" w:rsidRPr="008B37F0">
        <w:t xml:space="preserve"> </w:t>
      </w:r>
      <w:r w:rsidR="00B2629D">
        <w:t>March</w:t>
      </w:r>
      <w:r w:rsidR="00155E88">
        <w:t xml:space="preserve"> sales were</w:t>
      </w:r>
      <w:r w:rsidR="0079609A" w:rsidRPr="008B37F0">
        <w:t xml:space="preserve"> </w:t>
      </w:r>
      <w:r w:rsidR="00E71440">
        <w:t>4</w:t>
      </w:r>
      <w:r w:rsidR="00B2629D">
        <w:t>.0</w:t>
      </w:r>
      <w:r w:rsidR="0079609A" w:rsidRPr="008B37F0">
        <w:t xml:space="preserve"> million units </w:t>
      </w:r>
      <w:r w:rsidR="00B2629D">
        <w:t>below</w:t>
      </w:r>
      <w:r w:rsidR="008B37F0" w:rsidRPr="008B37F0">
        <w:t xml:space="preserve"> the 30-year average of 15.</w:t>
      </w:r>
      <w:r w:rsidR="008B3E4E">
        <w:t>3</w:t>
      </w:r>
      <w:r w:rsidR="0079609A" w:rsidRPr="008B37F0">
        <w:t xml:space="preserve"> million</w:t>
      </w:r>
      <w:r w:rsidR="00354195">
        <w:t xml:space="preserve"> units per month</w:t>
      </w:r>
      <w:r w:rsidR="00F92FD1">
        <w:t>.</w:t>
      </w:r>
    </w:p>
    <w:p w14:paraId="571A905C" w14:textId="2E376804" w:rsidR="002E3647" w:rsidRDefault="0042719D" w:rsidP="003A679B">
      <w:pPr>
        <w:jc w:val="center"/>
      </w:pPr>
      <w:r>
        <w:rPr>
          <w:noProof/>
        </w:rPr>
        <w:drawing>
          <wp:inline distT="0" distB="0" distL="0" distR="0" wp14:anchorId="3CB4CD7F" wp14:editId="0670BE0B">
            <wp:extent cx="4090670" cy="274320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59B475FF" w14:textId="3B58F95E" w:rsidR="002E3647" w:rsidRDefault="008A581A" w:rsidP="00354195">
      <w:r w:rsidRPr="002E3647">
        <w:t>The c</w:t>
      </w:r>
      <w:r w:rsidR="008C5503" w:rsidRPr="002E3647">
        <w:t>onsumer sentiment</w:t>
      </w:r>
      <w:r w:rsidR="00291FFB" w:rsidRPr="002E3647">
        <w:rPr>
          <w:rStyle w:val="FootnoteReference"/>
        </w:rPr>
        <w:footnoteReference w:id="22"/>
      </w:r>
      <w:r w:rsidR="008C5503" w:rsidRPr="002E3647">
        <w:t xml:space="preserve"> </w:t>
      </w:r>
      <w:r w:rsidRPr="002E3647">
        <w:t>index ended</w:t>
      </w:r>
      <w:r w:rsidR="008C5503" w:rsidRPr="002E3647">
        <w:t xml:space="preserve"> </w:t>
      </w:r>
      <w:r w:rsidR="00E71440">
        <w:t xml:space="preserve">the </w:t>
      </w:r>
      <w:r w:rsidR="00B2629D">
        <w:t>1</w:t>
      </w:r>
      <w:r w:rsidR="00B2629D" w:rsidRPr="00B2629D">
        <w:rPr>
          <w:vertAlign w:val="superscript"/>
        </w:rPr>
        <w:t>st</w:t>
      </w:r>
      <w:r w:rsidR="00B2629D">
        <w:t xml:space="preserve"> </w:t>
      </w:r>
      <w:r w:rsidR="00E71440">
        <w:t>quarter</w:t>
      </w:r>
      <w:r w:rsidRPr="002E3647">
        <w:t xml:space="preserve"> at </w:t>
      </w:r>
      <w:r w:rsidR="00B2629D">
        <w:t>89</w:t>
      </w:r>
      <w:r w:rsidR="003A679B">
        <w:t>.</w:t>
      </w:r>
      <w:r w:rsidR="00B2629D">
        <w:t>1, the lowest level in approximately 3.5 years,</w:t>
      </w:r>
      <w:r w:rsidR="00E71440">
        <w:t xml:space="preserve"> after </w:t>
      </w:r>
      <w:r w:rsidR="00B2629D">
        <w:t>an 11.8% drop</w:t>
      </w:r>
      <w:r w:rsidR="00E71440">
        <w:t xml:space="preserve"> in </w:t>
      </w:r>
      <w:r w:rsidR="00B2629D">
        <w:t xml:space="preserve">March cancelled out gains earlier in </w:t>
      </w:r>
      <w:r w:rsidR="00B316F7">
        <w:t>the quarter</w:t>
      </w:r>
      <w:r w:rsidRPr="002E3647">
        <w:t xml:space="preserve">. </w:t>
      </w:r>
      <w:r w:rsidR="00B2629D">
        <w:t>March’s</w:t>
      </w:r>
      <w:r w:rsidR="00E71440">
        <w:t xml:space="preserve"> </w:t>
      </w:r>
      <w:r w:rsidR="00DB12EF">
        <w:t xml:space="preserve">decline was slightly larger than economists’ expectations as the COVID-19 </w:t>
      </w:r>
      <w:r w:rsidR="00257944">
        <w:lastRenderedPageBreak/>
        <w:t xml:space="preserve">outbreak </w:t>
      </w:r>
      <w:r w:rsidR="00DB12EF">
        <w:t>grew to a global pandemic</w:t>
      </w:r>
      <w:r w:rsidR="006970E9" w:rsidRPr="002E3647">
        <w:t xml:space="preserve">. </w:t>
      </w:r>
      <w:r w:rsidR="00DB12EF">
        <w:t>Although March’s</w:t>
      </w:r>
      <w:r w:rsidR="006970E9" w:rsidRPr="002E3647">
        <w:t xml:space="preserve"> consumer sentiment </w:t>
      </w:r>
      <w:r w:rsidR="003A679B">
        <w:t xml:space="preserve">reading </w:t>
      </w:r>
      <w:r w:rsidR="006970E9" w:rsidRPr="002E3647">
        <w:t xml:space="preserve">was </w:t>
      </w:r>
      <w:r w:rsidR="00DB12EF">
        <w:t>well below</w:t>
      </w:r>
      <w:r w:rsidR="003A679B">
        <w:t xml:space="preserve"> </w:t>
      </w:r>
      <w:r w:rsidR="00316E8F">
        <w:t xml:space="preserve">its level of </w:t>
      </w:r>
      <w:r w:rsidR="00A073CB">
        <w:t>98.</w:t>
      </w:r>
      <w:r w:rsidR="00DB12EF">
        <w:t>4</w:t>
      </w:r>
      <w:r w:rsidR="00316E8F">
        <w:t xml:space="preserve"> one year prior</w:t>
      </w:r>
      <w:r w:rsidR="00DB12EF">
        <w:t xml:space="preserve">, it was still </w:t>
      </w:r>
      <w:r w:rsidR="00A073CB">
        <w:t>above</w:t>
      </w:r>
      <w:r w:rsidR="006970E9" w:rsidRPr="002E3647">
        <w:t xml:space="preserve"> the 30-year average of </w:t>
      </w:r>
      <w:r w:rsidRPr="002E3647">
        <w:t>87.</w:t>
      </w:r>
      <w:r w:rsidR="00A073CB">
        <w:t>6</w:t>
      </w:r>
      <w:r w:rsidR="00291FFB" w:rsidRPr="002E3647">
        <w:t>.</w:t>
      </w:r>
    </w:p>
    <w:p w14:paraId="182CF22B" w14:textId="34F3714B" w:rsidR="000D5719" w:rsidRDefault="0042719D" w:rsidP="002E3647">
      <w:pPr>
        <w:jc w:val="center"/>
      </w:pPr>
      <w:r>
        <w:rPr>
          <w:noProof/>
        </w:rPr>
        <w:drawing>
          <wp:inline distT="0" distB="0" distL="0" distR="0" wp14:anchorId="548F5814" wp14:editId="0DF61795">
            <wp:extent cx="4090670" cy="27432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149D5F56" w14:textId="77777777" w:rsidR="0091664E" w:rsidRDefault="0091664E" w:rsidP="0091664E">
      <w:pPr>
        <w:pStyle w:val="Heading1"/>
      </w:pPr>
      <w:r>
        <w:t>Capital Markets</w:t>
      </w:r>
    </w:p>
    <w:p w14:paraId="79C54A89" w14:textId="48D16483" w:rsidR="002E3647" w:rsidRDefault="00842094" w:rsidP="00B875CA">
      <w:r>
        <w:t xml:space="preserve">In March, the </w:t>
      </w:r>
      <w:r w:rsidR="00FB7EF9">
        <w:t>U</w:t>
      </w:r>
      <w:r w:rsidR="00BC00A7">
        <w:t>.</w:t>
      </w:r>
      <w:r w:rsidR="00FB7EF9">
        <w:t>S</w:t>
      </w:r>
      <w:r w:rsidR="00BC00A7">
        <w:t>.</w:t>
      </w:r>
      <w:r w:rsidR="00FB7EF9">
        <w:t xml:space="preserve"> </w:t>
      </w:r>
      <w:r w:rsidR="008B3E4E">
        <w:t xml:space="preserve">stock </w:t>
      </w:r>
      <w:r>
        <w:t>market suffered its worst month since October 2008, with the S&amp;P 500 enduring its worst quarter since the end of 2008 and the Dow Jones Industrial Average weathering its worst quarter ever</w:t>
      </w:r>
      <w:r w:rsidR="00F27237">
        <w:t xml:space="preserve">. </w:t>
      </w:r>
      <w:r>
        <w:t xml:space="preserve">Uncertainty about the extent and duration of economic devastation brought on by the COVID-19 pandemic, coupled with progressively more severe investor and consumer expectations, led to </w:t>
      </w:r>
      <w:r w:rsidR="002F3ADD">
        <w:t>turmoil in</w:t>
      </w:r>
      <w:r>
        <w:t xml:space="preserve"> </w:t>
      </w:r>
      <w:r w:rsidR="002F3ADD">
        <w:t>U.S. capital</w:t>
      </w:r>
      <w:r>
        <w:t xml:space="preserve"> market</w:t>
      </w:r>
      <w:r w:rsidR="002F3ADD">
        <w:t>s</w:t>
      </w:r>
      <w:r>
        <w:t xml:space="preserve">, which had </w:t>
      </w:r>
      <w:r w:rsidR="002F3ADD">
        <w:t xml:space="preserve">previously </w:t>
      </w:r>
      <w:r>
        <w:t>been gaining steam</w:t>
      </w:r>
      <w:r w:rsidR="00822897">
        <w:t xml:space="preserve">. </w:t>
      </w:r>
      <w:r w:rsidR="004778D8" w:rsidRPr="00093D9A">
        <w:t xml:space="preserve">The S&amp;P 500 </w:t>
      </w:r>
      <w:r w:rsidR="00953DDB" w:rsidRPr="00093D9A">
        <w:t xml:space="preserve">closed the quarter at </w:t>
      </w:r>
      <w:r w:rsidR="002F3ADD">
        <w:t>2,584</w:t>
      </w:r>
      <w:r w:rsidR="0035542E">
        <w:t>.</w:t>
      </w:r>
      <w:r w:rsidR="002F3ADD">
        <w:t>59</w:t>
      </w:r>
      <w:r w:rsidR="00BC00A7">
        <w:t>,</w:t>
      </w:r>
      <w:r w:rsidR="004476DE" w:rsidRPr="00093D9A">
        <w:t xml:space="preserve"> </w:t>
      </w:r>
      <w:r w:rsidR="002F3ADD">
        <w:t>down 20.0</w:t>
      </w:r>
      <w:r w:rsidR="00953DDB" w:rsidRPr="00093D9A">
        <w:t xml:space="preserve">% </w:t>
      </w:r>
      <w:r w:rsidR="008972D1" w:rsidRPr="00093D9A">
        <w:t xml:space="preserve">from </w:t>
      </w:r>
      <w:r w:rsidR="00953DDB" w:rsidRPr="00093D9A">
        <w:t xml:space="preserve">the </w:t>
      </w:r>
      <w:r w:rsidR="008972D1" w:rsidRPr="00093D9A">
        <w:t xml:space="preserve">previous </w:t>
      </w:r>
      <w:r w:rsidR="00953DDB" w:rsidRPr="00093D9A">
        <w:t xml:space="preserve">quarter and </w:t>
      </w:r>
      <w:r w:rsidR="00F417FC">
        <w:t>8.9</w:t>
      </w:r>
      <w:r w:rsidR="002F3ADD">
        <w:t>8</w:t>
      </w:r>
      <w:r w:rsidR="002A14C5">
        <w:t xml:space="preserve">% </w:t>
      </w:r>
      <w:r w:rsidR="00CD3F6E">
        <w:t>from</w:t>
      </w:r>
      <w:r w:rsidR="009C4651">
        <w:t xml:space="preserve"> the same period last year</w:t>
      </w:r>
      <w:r w:rsidR="00953DDB" w:rsidRPr="00093D9A">
        <w:t xml:space="preserve">. </w:t>
      </w:r>
      <w:r w:rsidR="002A14C5">
        <w:t>The Dow Jones</w:t>
      </w:r>
      <w:r w:rsidR="002F3ADD">
        <w:t xml:space="preserve"> Industrial Average</w:t>
      </w:r>
      <w:r w:rsidR="002A14C5">
        <w:t xml:space="preserve"> </w:t>
      </w:r>
      <w:r w:rsidR="002F3ADD">
        <w:t>fell</w:t>
      </w:r>
      <w:r w:rsidR="002A14C5">
        <w:t xml:space="preserve"> </w:t>
      </w:r>
      <w:r w:rsidR="002F3ADD">
        <w:t>23.2</w:t>
      </w:r>
      <w:r w:rsidR="002A14C5">
        <w:t xml:space="preserve">% in the </w:t>
      </w:r>
      <w:r w:rsidR="002F3ADD">
        <w:t>1</w:t>
      </w:r>
      <w:r w:rsidR="002F3ADD" w:rsidRPr="002F3ADD">
        <w:rPr>
          <w:vertAlign w:val="superscript"/>
        </w:rPr>
        <w:t>st</w:t>
      </w:r>
      <w:r w:rsidR="002F3ADD">
        <w:t xml:space="preserve"> </w:t>
      </w:r>
      <w:r w:rsidR="002A14C5">
        <w:t xml:space="preserve">quarter and </w:t>
      </w:r>
      <w:r w:rsidR="002F3ADD">
        <w:t>15.5</w:t>
      </w:r>
      <w:r w:rsidR="002A14C5">
        <w:t xml:space="preserve">% </w:t>
      </w:r>
      <w:r w:rsidR="009C4651">
        <w:t>over the year</w:t>
      </w:r>
      <w:r w:rsidR="002A14C5">
        <w:t xml:space="preserve">. </w:t>
      </w:r>
      <w:r w:rsidR="004B3923">
        <w:t>T</w:t>
      </w:r>
      <w:r w:rsidR="00822897">
        <w:t xml:space="preserve">he </w:t>
      </w:r>
      <w:r w:rsidR="002F3ADD">
        <w:t>transportation sector has been particularly hard-hit by the virus’s disruption, and the Dow Jones Transportation Index</w:t>
      </w:r>
      <w:r w:rsidR="00822897">
        <w:t xml:space="preserve"> </w:t>
      </w:r>
      <w:r w:rsidR="002F3ADD">
        <w:t>tumbled 29.1</w:t>
      </w:r>
      <w:r w:rsidR="004B3923">
        <w:t xml:space="preserve">% </w:t>
      </w:r>
      <w:r w:rsidR="002F3ADD">
        <w:t>in the 1</w:t>
      </w:r>
      <w:r w:rsidR="002F3ADD" w:rsidRPr="002F3ADD">
        <w:rPr>
          <w:vertAlign w:val="superscript"/>
        </w:rPr>
        <w:t>st</w:t>
      </w:r>
      <w:r w:rsidR="002F3ADD">
        <w:t xml:space="preserve"> quarter </w:t>
      </w:r>
      <w:r w:rsidR="004B3923">
        <w:t>and</w:t>
      </w:r>
      <w:r w:rsidR="00822897">
        <w:t xml:space="preserve"> </w:t>
      </w:r>
      <w:r w:rsidR="002F3ADD">
        <w:t>25.7% over the year.</w:t>
      </w:r>
      <w:r w:rsidR="002A14C5">
        <w:t xml:space="preserve"> </w:t>
      </w:r>
    </w:p>
    <w:p w14:paraId="3C77E48B" w14:textId="239E2951" w:rsidR="002E3647" w:rsidRDefault="0042719D" w:rsidP="002308A9">
      <w:pPr>
        <w:jc w:val="center"/>
      </w:pPr>
      <w:r w:rsidRPr="0042719D">
        <w:rPr>
          <w:noProof/>
        </w:rPr>
        <w:drawing>
          <wp:inline distT="0" distB="0" distL="0" distR="0" wp14:anchorId="61FAC907" wp14:editId="0FB4BC08">
            <wp:extent cx="4791075" cy="1533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1075" cy="1533525"/>
                    </a:xfrm>
                    <a:prstGeom prst="rect">
                      <a:avLst/>
                    </a:prstGeom>
                    <a:noFill/>
                    <a:ln>
                      <a:noFill/>
                    </a:ln>
                  </pic:spPr>
                </pic:pic>
              </a:graphicData>
            </a:graphic>
          </wp:inline>
        </w:drawing>
      </w:r>
    </w:p>
    <w:p w14:paraId="3743084E" w14:textId="1F7283C0" w:rsidR="00857079" w:rsidRDefault="0042719D" w:rsidP="00BB3B04">
      <w:pPr>
        <w:jc w:val="center"/>
        <w:rPr>
          <w:color w:val="FF0000"/>
        </w:rPr>
      </w:pPr>
      <w:r>
        <w:rPr>
          <w:noProof/>
          <w:color w:val="FF0000"/>
        </w:rPr>
        <w:lastRenderedPageBreak/>
        <w:drawing>
          <wp:inline distT="0" distB="0" distL="0" distR="0" wp14:anchorId="56768E6F" wp14:editId="6AD8EFC0">
            <wp:extent cx="4097020" cy="2749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3E9D1768" w14:textId="149DE1BE" w:rsidR="0007515A" w:rsidRDefault="00100DF8" w:rsidP="00354195">
      <w:r>
        <w:t>Stock market v</w:t>
      </w:r>
      <w:r w:rsidR="0007515A">
        <w:t>olatility</w:t>
      </w:r>
      <w:r w:rsidR="0007515A">
        <w:rPr>
          <w:rStyle w:val="FootnoteReference"/>
        </w:rPr>
        <w:footnoteReference w:id="23"/>
      </w:r>
      <w:r>
        <w:t xml:space="preserve"> ended the </w:t>
      </w:r>
      <w:r w:rsidR="002F3ADD">
        <w:t>1</w:t>
      </w:r>
      <w:r w:rsidR="002F3ADD" w:rsidRPr="002F3ADD">
        <w:rPr>
          <w:vertAlign w:val="superscript"/>
        </w:rPr>
        <w:t>st</w:t>
      </w:r>
      <w:r w:rsidR="002F3ADD">
        <w:t xml:space="preserve"> </w:t>
      </w:r>
      <w:r>
        <w:t xml:space="preserve">quarter at </w:t>
      </w:r>
      <w:r w:rsidR="002F3ADD">
        <w:t>5</w:t>
      </w:r>
      <w:r w:rsidR="004B3923">
        <w:t>3.</w:t>
      </w:r>
      <w:r w:rsidR="002F3ADD">
        <w:t>54</w:t>
      </w:r>
      <w:r>
        <w:t xml:space="preserve">, </w:t>
      </w:r>
      <w:r w:rsidR="002F3ADD">
        <w:t>up</w:t>
      </w:r>
      <w:r w:rsidR="004B3923">
        <w:t xml:space="preserve"> </w:t>
      </w:r>
      <w:r w:rsidR="002F3ADD">
        <w:t>288</w:t>
      </w:r>
      <w:r w:rsidR="004B3923">
        <w:t>.</w:t>
      </w:r>
      <w:r w:rsidR="002F3ADD">
        <w:t>5</w:t>
      </w:r>
      <w:r>
        <w:t xml:space="preserve">% since last quarter </w:t>
      </w:r>
      <w:r w:rsidR="004B3923">
        <w:t>and</w:t>
      </w:r>
      <w:r>
        <w:t xml:space="preserve"> </w:t>
      </w:r>
      <w:r w:rsidR="00FC4EEE">
        <w:t>well above</w:t>
      </w:r>
      <w:r>
        <w:t xml:space="preserve"> the 10-year average of </w:t>
      </w:r>
      <w:r w:rsidR="004B3923">
        <w:t>1</w:t>
      </w:r>
      <w:r w:rsidR="002F3ADD">
        <w:t>7.13</w:t>
      </w:r>
      <w:r>
        <w:t xml:space="preserve">. </w:t>
      </w:r>
      <w:r w:rsidR="00D44971">
        <w:t>T</w:t>
      </w:r>
      <w:r>
        <w:t>he volatility index, a proxy for investor anxiety derived from tracking options prices on S&amp;P 500 stocks</w:t>
      </w:r>
      <w:r w:rsidR="00C01B26">
        <w:t xml:space="preserve">, </w:t>
      </w:r>
      <w:r w:rsidR="004B6D7A">
        <w:t>spiked</w:t>
      </w:r>
      <w:r w:rsidR="00D44971">
        <w:t xml:space="preserve"> to a</w:t>
      </w:r>
      <w:r w:rsidR="004B6D7A">
        <w:t xml:space="preserve">n all-time high </w:t>
      </w:r>
      <w:r w:rsidR="005C6CD5">
        <w:t xml:space="preserve">of </w:t>
      </w:r>
      <w:r w:rsidR="004B6D7A">
        <w:t>82</w:t>
      </w:r>
      <w:r w:rsidR="005C6CD5">
        <w:t>.</w:t>
      </w:r>
      <w:r w:rsidR="004B6D7A">
        <w:t>69</w:t>
      </w:r>
      <w:r w:rsidR="005C6CD5">
        <w:t xml:space="preserve"> </w:t>
      </w:r>
      <w:r w:rsidR="00D44971">
        <w:t xml:space="preserve">in </w:t>
      </w:r>
      <w:r w:rsidR="004B6D7A">
        <w:t>mid-March</w:t>
      </w:r>
      <w:r w:rsidR="00D44971">
        <w:t xml:space="preserve"> </w:t>
      </w:r>
      <w:r w:rsidR="00FC4EEE">
        <w:t>amid fear of</w:t>
      </w:r>
      <w:r w:rsidR="004B6D7A">
        <w:t xml:space="preserve"> severe impacts </w:t>
      </w:r>
      <w:r w:rsidR="00FC4EEE">
        <w:t xml:space="preserve">on global supply chains from the COVID-19 pandemic </w:t>
      </w:r>
      <w:r w:rsidR="004B6D7A">
        <w:t>and widespread uncertainty about the potential breadth of the pandemic’s repercussions.</w:t>
      </w:r>
    </w:p>
    <w:p w14:paraId="0420E509" w14:textId="352E6747" w:rsidR="00100DF8" w:rsidRPr="00354195" w:rsidRDefault="0042719D" w:rsidP="00FD0160">
      <w:pPr>
        <w:jc w:val="center"/>
      </w:pPr>
      <w:r>
        <w:rPr>
          <w:noProof/>
        </w:rPr>
        <w:drawing>
          <wp:inline distT="0" distB="0" distL="0" distR="0" wp14:anchorId="0D1F447B" wp14:editId="1B5C0B68">
            <wp:extent cx="4097020" cy="2749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F93" w14:textId="77777777" w:rsidR="00E44639" w:rsidRDefault="00E44639" w:rsidP="00E44639">
      <w:pPr>
        <w:pStyle w:val="Heading1"/>
      </w:pPr>
      <w:r>
        <w:t>Outlook</w:t>
      </w:r>
    </w:p>
    <w:p w14:paraId="149D5F95" w14:textId="28EB9D77" w:rsidR="0022226D" w:rsidRDefault="00886D3A" w:rsidP="00E44639">
      <w:r w:rsidRPr="00090DA6">
        <w:t xml:space="preserve">The </w:t>
      </w:r>
      <w:r w:rsidR="00F60736" w:rsidRPr="00090DA6">
        <w:t xml:space="preserve">U.S. </w:t>
      </w:r>
      <w:r w:rsidRPr="00090DA6">
        <w:t>Federal</w:t>
      </w:r>
      <w:r w:rsidR="00F60736" w:rsidRPr="00090DA6">
        <w:t xml:space="preserve"> Open Market Committee</w:t>
      </w:r>
      <w:r w:rsidR="004B6D7A">
        <w:t>’s scheduled March meeting was cancelled</w:t>
      </w:r>
      <w:r w:rsidR="003071CD">
        <w:t xml:space="preserve"> amid the COVID-19 pandemic. The FOMC convened twice in March to release unscheduled decisions </w:t>
      </w:r>
      <w:r w:rsidR="003071CD">
        <w:lastRenderedPageBreak/>
        <w:t xml:space="preserve">lowering target rates and enacting broad fiscal policies to buffer the economy from the effects of the </w:t>
      </w:r>
      <w:r w:rsidR="00364347">
        <w:t>COVID-19 crisis</w:t>
      </w:r>
      <w:r w:rsidR="003071CD">
        <w:t>. The FOMC has not issued new economic projections in the first quarter of 2020. In December 2019, the FOMC was</w:t>
      </w:r>
      <w:r w:rsidR="00F60736" w:rsidRPr="00090DA6">
        <w:t xml:space="preserve"> projecting real GDP growth</w:t>
      </w:r>
      <w:r w:rsidR="00BF5CE2">
        <w:rPr>
          <w:rStyle w:val="FootnoteReference"/>
        </w:rPr>
        <w:footnoteReference w:id="24"/>
      </w:r>
      <w:r w:rsidR="00F60736" w:rsidRPr="00090DA6">
        <w:t xml:space="preserve"> to slow </w:t>
      </w:r>
      <w:r w:rsidR="00265131">
        <w:t>steadily</w:t>
      </w:r>
      <w:r w:rsidR="00AB6F46">
        <w:t xml:space="preserve"> </w:t>
      </w:r>
      <w:r w:rsidR="00F60736" w:rsidRPr="00090DA6">
        <w:t xml:space="preserve">to </w:t>
      </w:r>
      <w:r w:rsidR="00090DA6" w:rsidRPr="00090DA6">
        <w:t>1</w:t>
      </w:r>
      <w:r w:rsidR="00F60736" w:rsidRPr="00090DA6">
        <w:t>.</w:t>
      </w:r>
      <w:r w:rsidR="000D646D">
        <w:t>90</w:t>
      </w:r>
      <w:r w:rsidR="00F60736" w:rsidRPr="00090DA6">
        <w:t>% by 20</w:t>
      </w:r>
      <w:r w:rsidR="00090DA6" w:rsidRPr="00090DA6">
        <w:t>2</w:t>
      </w:r>
      <w:r w:rsidR="000D646D">
        <w:t>1 and 202</w:t>
      </w:r>
      <w:r w:rsidR="00140FEE">
        <w:t>2</w:t>
      </w:r>
      <w:r w:rsidR="00F60736" w:rsidRPr="00090DA6">
        <w:t>. They expect</w:t>
      </w:r>
      <w:r w:rsidR="003071CD">
        <w:t>ed</w:t>
      </w:r>
      <w:r w:rsidR="00F60736" w:rsidRPr="00090DA6">
        <w:t xml:space="preserve"> growth in Personal Consumption Expendit</w:t>
      </w:r>
      <w:r w:rsidR="00090DA6" w:rsidRPr="00090DA6">
        <w:t>ures (PCE)</w:t>
      </w:r>
      <w:r w:rsidR="005D3CEF">
        <w:rPr>
          <w:rStyle w:val="FootnoteReference"/>
        </w:rPr>
        <w:footnoteReference w:id="25"/>
      </w:r>
      <w:r w:rsidR="00090DA6" w:rsidRPr="00090DA6">
        <w:t xml:space="preserve"> to accelerate </w:t>
      </w:r>
      <w:r w:rsidR="00F60736" w:rsidRPr="00090DA6">
        <w:t>to 2.</w:t>
      </w:r>
      <w:r w:rsidR="00140FEE">
        <w:t>10</w:t>
      </w:r>
      <w:r w:rsidR="00090DA6" w:rsidRPr="00090DA6">
        <w:t xml:space="preserve">% by </w:t>
      </w:r>
      <w:r w:rsidR="00AB6F46">
        <w:t>202</w:t>
      </w:r>
      <w:r w:rsidR="00140FEE">
        <w:t>2</w:t>
      </w:r>
      <w:r w:rsidR="00F60736" w:rsidRPr="00090DA6">
        <w:t>. Their forecast for the unemployment rate</w:t>
      </w:r>
      <w:r w:rsidR="00E72196">
        <w:rPr>
          <w:rStyle w:val="FootnoteReference"/>
        </w:rPr>
        <w:footnoteReference w:id="26"/>
      </w:r>
      <w:r w:rsidR="00F60736" w:rsidRPr="00090DA6">
        <w:t xml:space="preserve"> </w:t>
      </w:r>
      <w:r w:rsidR="003071CD">
        <w:t>wa</w:t>
      </w:r>
      <w:r w:rsidR="00F60736" w:rsidRPr="00090DA6">
        <w:t xml:space="preserve">s a </w:t>
      </w:r>
      <w:r w:rsidR="00E2557A">
        <w:t xml:space="preserve">gradual </w:t>
      </w:r>
      <w:r w:rsidR="00265131">
        <w:t>climb</w:t>
      </w:r>
      <w:r w:rsidR="00F60736" w:rsidRPr="00090DA6">
        <w:t xml:space="preserve"> to </w:t>
      </w:r>
      <w:r w:rsidR="00090DA6" w:rsidRPr="00090DA6">
        <w:t>3</w:t>
      </w:r>
      <w:r w:rsidR="00F60736" w:rsidRPr="00090DA6">
        <w:t>.</w:t>
      </w:r>
      <w:r w:rsidR="000D646D">
        <w:t>7</w:t>
      </w:r>
      <w:r w:rsidR="00140FEE">
        <w:t>5</w:t>
      </w:r>
      <w:r w:rsidR="00F60736" w:rsidRPr="00090DA6">
        <w:t xml:space="preserve">% </w:t>
      </w:r>
      <w:r w:rsidR="00F11B2B">
        <w:t>by</w:t>
      </w:r>
      <w:r w:rsidR="00F60736" w:rsidRPr="00090DA6">
        <w:t xml:space="preserve"> 20</w:t>
      </w:r>
      <w:r w:rsidR="00090DA6" w:rsidRPr="00090DA6">
        <w:t>2</w:t>
      </w:r>
      <w:r w:rsidR="00140FEE">
        <w:t>2</w:t>
      </w:r>
      <w:r w:rsidR="00F60736" w:rsidRPr="00090DA6">
        <w:t>.</w:t>
      </w:r>
      <w:r w:rsidR="003071CD">
        <w:t xml:space="preserve"> Since that time, the effects of the current global pandemic have thrown the nation into a state of economic uncertainty.</w:t>
      </w:r>
    </w:p>
    <w:p w14:paraId="4D630423" w14:textId="55620EBB" w:rsidR="00FD0160" w:rsidRDefault="0042719D" w:rsidP="002308A9">
      <w:pPr>
        <w:jc w:val="center"/>
      </w:pPr>
      <w:r w:rsidRPr="0042719D">
        <w:rPr>
          <w:noProof/>
        </w:rPr>
        <w:drawing>
          <wp:inline distT="0" distB="0" distL="0" distR="0" wp14:anchorId="29DA7799" wp14:editId="78C9161B">
            <wp:extent cx="3762375" cy="11525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2375" cy="1152525"/>
                    </a:xfrm>
                    <a:prstGeom prst="rect">
                      <a:avLst/>
                    </a:prstGeom>
                    <a:noFill/>
                    <a:ln>
                      <a:noFill/>
                    </a:ln>
                  </pic:spPr>
                </pic:pic>
              </a:graphicData>
            </a:graphic>
          </wp:inline>
        </w:drawing>
      </w:r>
    </w:p>
    <w:p w14:paraId="3DA5A3C9" w14:textId="77777777" w:rsidR="002308A9" w:rsidRDefault="002308A9">
      <w:pPr>
        <w:rPr>
          <w:rFonts w:asciiTheme="majorHAnsi" w:eastAsiaTheme="majorEastAsia" w:hAnsiTheme="majorHAnsi" w:cstheme="majorBidi"/>
          <w:color w:val="008FD5"/>
          <w:sz w:val="36"/>
          <w:szCs w:val="32"/>
        </w:rPr>
      </w:pPr>
      <w:r>
        <w:br w:type="page"/>
      </w:r>
    </w:p>
    <w:p w14:paraId="149D5FB3" w14:textId="386CB697" w:rsidR="00005111" w:rsidRPr="0017465F" w:rsidRDefault="00005111" w:rsidP="001475FF">
      <w:pPr>
        <w:pStyle w:val="Heading1"/>
      </w:pPr>
      <w:r w:rsidRPr="0017465F">
        <w:lastRenderedPageBreak/>
        <w:t>About This Report</w:t>
      </w:r>
    </w:p>
    <w:p w14:paraId="149D5FB4" w14:textId="5800CD46" w:rsidR="002F3682" w:rsidRDefault="00BB34CA" w:rsidP="00005111">
      <w:r w:rsidRPr="0017465F">
        <w:t xml:space="preserve">The </w:t>
      </w:r>
      <w:r w:rsidRPr="0017465F">
        <w:rPr>
          <w:i/>
        </w:rPr>
        <w:t>Quarterly Economic Update</w:t>
      </w:r>
      <w:r w:rsidRPr="0017465F">
        <w:t xml:space="preserve"> is a free publication sponsored by </w:t>
      </w:r>
      <w:proofErr w:type="spellStart"/>
      <w:r w:rsidRPr="0017465F">
        <w:t>TagniFi</w:t>
      </w:r>
      <w:proofErr w:type="spellEnd"/>
      <w:r w:rsidRPr="0017465F">
        <w:t>. You are free to share this report and include its contents in the economic outlook section of your valuation reports</w:t>
      </w:r>
      <w:r w:rsidR="00DF67C7" w:rsidRPr="0017465F">
        <w:t xml:space="preserve"> as required by </w:t>
      </w:r>
      <w:r w:rsidR="00DF67C7" w:rsidRPr="0017465F">
        <w:rPr>
          <w:i/>
        </w:rPr>
        <w:t>Revenue Ruling 59-60</w:t>
      </w:r>
      <w:r w:rsidRPr="0017465F">
        <w:t xml:space="preserve">. Please forward this </w:t>
      </w:r>
      <w:r w:rsidR="00DF67C7" w:rsidRPr="0017465F">
        <w:t xml:space="preserve">free </w:t>
      </w:r>
      <w:r w:rsidRPr="0017465F">
        <w:t>report to a c</w:t>
      </w:r>
      <w:r w:rsidR="00DF67C7" w:rsidRPr="0017465F">
        <w:t xml:space="preserve">olleague to help us spread the word about </w:t>
      </w:r>
      <w:proofErr w:type="spellStart"/>
      <w:r w:rsidR="00DF67C7" w:rsidRPr="0017465F">
        <w:t>TagniFi</w:t>
      </w:r>
      <w:proofErr w:type="spellEnd"/>
      <w:r w:rsidRPr="0017465F">
        <w:t>.</w:t>
      </w:r>
    </w:p>
    <w:p w14:paraId="149D5FB5" w14:textId="77777777" w:rsidR="001475FF" w:rsidRDefault="001475FF" w:rsidP="001475FF">
      <w:pPr>
        <w:pStyle w:val="Heading1"/>
      </w:pPr>
      <w:bookmarkStart w:id="0" w:name="_Hlk31896782"/>
      <w:r>
        <w:t xml:space="preserve">About </w:t>
      </w:r>
      <w:proofErr w:type="spellStart"/>
      <w:r>
        <w:t>TagniFi</w:t>
      </w:r>
      <w:proofErr w:type="spellEnd"/>
    </w:p>
    <w:bookmarkEnd w:id="0"/>
    <w:p w14:paraId="48B0785A" w14:textId="605E137B" w:rsidR="00964DD4" w:rsidRDefault="00964DD4" w:rsidP="00964DD4">
      <w:r>
        <w:t xml:space="preserve">In July 2015 we released our first dataset, </w:t>
      </w:r>
      <w:proofErr w:type="spellStart"/>
      <w:r>
        <w:t>TagniFi</w:t>
      </w:r>
      <w:proofErr w:type="spellEnd"/>
      <w:r>
        <w:t xml:space="preserve"> Fundamentals, because we thought investors and finance professionals needed a better solution for financial data. Since then our mission has remained the same: to serve our clients with the best financial data available at a reasonable price. We do this by developing innovative solutions to leverage tagged financial statements which allow us to deliver better, </w:t>
      </w:r>
      <w:proofErr w:type="gramStart"/>
      <w:r>
        <w:t>faster</w:t>
      </w:r>
      <w:proofErr w:type="gramEnd"/>
      <w:r>
        <w:t xml:space="preserve"> and more detailed data at a fraction of the cost.</w:t>
      </w:r>
    </w:p>
    <w:p w14:paraId="0F1887EF" w14:textId="4F6BA8A7" w:rsidR="00964DD4" w:rsidRDefault="00964DD4" w:rsidP="00230D29">
      <w:r>
        <w:t xml:space="preserve">Today </w:t>
      </w:r>
      <w:proofErr w:type="spellStart"/>
      <w:r>
        <w:t>TagniFi</w:t>
      </w:r>
      <w:proofErr w:type="spellEnd"/>
      <w:r>
        <w:t xml:space="preserve"> is a platform of financial data aimed at making our clients more productive and prosperous. </w:t>
      </w:r>
      <w:proofErr w:type="gramStart"/>
      <w:r>
        <w:t>We're</w:t>
      </w:r>
      <w:proofErr w:type="gramEnd"/>
      <w:r>
        <w:t xml:space="preserve"> helping clients in all corners of finance make better decisions with better data. We relentlessly focus on quality and the trust </w:t>
      </w:r>
      <w:proofErr w:type="gramStart"/>
      <w:r>
        <w:t>we've</w:t>
      </w:r>
      <w:proofErr w:type="gramEnd"/>
      <w:r>
        <w:t xml:space="preserve"> earned from our clients is our greatest asset. Our growth is centered around our clients' needs as we look to expand our platform with new data. Referrals from our existing clients is the ultimate compliment so we choose to invest in our product, not flashy marketing </w:t>
      </w:r>
      <w:proofErr w:type="spellStart"/>
      <w:r>
        <w:t>campaigns.</w:t>
      </w:r>
      <w:r w:rsidR="00C36857" w:rsidRPr="0017465F">
        <w:t>For</w:t>
      </w:r>
      <w:proofErr w:type="spellEnd"/>
      <w:r w:rsidR="00C36857" w:rsidRPr="0017465F">
        <w:t xml:space="preserve"> more information on </w:t>
      </w:r>
      <w:proofErr w:type="spellStart"/>
      <w:r w:rsidR="00C36857" w:rsidRPr="0017465F">
        <w:t>TagniFi</w:t>
      </w:r>
      <w:proofErr w:type="spellEnd"/>
      <w:r w:rsidR="00C36857" w:rsidRPr="0017465F">
        <w:t>, please visit</w:t>
      </w:r>
      <w:r w:rsidR="00230D29" w:rsidRPr="0017465F">
        <w:t xml:space="preserve"> </w:t>
      </w:r>
      <w:hyperlink r:id="rId35" w:history="1">
        <w:r w:rsidR="00E602D0" w:rsidRPr="0017465F">
          <w:rPr>
            <w:rStyle w:val="Hyperlink"/>
          </w:rPr>
          <w:t>www.tagnifi.com</w:t>
        </w:r>
      </w:hyperlink>
      <w:r w:rsidR="003E5CFB" w:rsidRPr="0017465F">
        <w:t>.</w:t>
      </w:r>
    </w:p>
    <w:p w14:paraId="5E6B4C93" w14:textId="2938085A" w:rsidR="00964DD4" w:rsidRPr="00964DD4" w:rsidRDefault="00964DD4" w:rsidP="00230D29">
      <w:pPr>
        <w:rPr>
          <w:rFonts w:ascii="Calibri Light" w:hAnsi="Calibri Light" w:cs="Calibri Light"/>
          <w:color w:val="008FD5"/>
          <w:sz w:val="36"/>
          <w:szCs w:val="36"/>
        </w:rPr>
      </w:pPr>
      <w:r w:rsidRPr="00964DD4">
        <w:rPr>
          <w:rFonts w:ascii="Calibri Light" w:hAnsi="Calibri Light" w:cs="Calibri Light"/>
          <w:color w:val="008FD5"/>
          <w:sz w:val="36"/>
          <w:szCs w:val="36"/>
        </w:rPr>
        <w:t xml:space="preserve">How </w:t>
      </w:r>
      <w:proofErr w:type="spellStart"/>
      <w:r w:rsidRPr="00964DD4">
        <w:rPr>
          <w:rFonts w:ascii="Calibri Light" w:hAnsi="Calibri Light" w:cs="Calibri Light"/>
          <w:color w:val="008FD5"/>
          <w:sz w:val="36"/>
          <w:szCs w:val="36"/>
        </w:rPr>
        <w:t>TagniFi</w:t>
      </w:r>
      <w:proofErr w:type="spellEnd"/>
      <w:r w:rsidR="005F5744">
        <w:rPr>
          <w:rFonts w:ascii="Calibri Light" w:hAnsi="Calibri Light" w:cs="Calibri Light"/>
          <w:color w:val="008FD5"/>
          <w:sz w:val="36"/>
          <w:szCs w:val="36"/>
        </w:rPr>
        <w:t xml:space="preserve"> Helps </w:t>
      </w:r>
      <w:r w:rsidRPr="00964DD4">
        <w:rPr>
          <w:rFonts w:ascii="Calibri Light" w:hAnsi="Calibri Light" w:cs="Calibri Light"/>
          <w:color w:val="008FD5"/>
          <w:sz w:val="36"/>
          <w:szCs w:val="36"/>
        </w:rPr>
        <w:t>Business Valuation</w:t>
      </w:r>
      <w:r w:rsidR="005F5744">
        <w:rPr>
          <w:rFonts w:ascii="Calibri Light" w:hAnsi="Calibri Light" w:cs="Calibri Light"/>
          <w:color w:val="008FD5"/>
          <w:sz w:val="36"/>
          <w:szCs w:val="36"/>
        </w:rPr>
        <w:t xml:space="preserve"> Teams</w:t>
      </w:r>
    </w:p>
    <w:p w14:paraId="1FE39938" w14:textId="3D5DCCB4" w:rsidR="00964DD4" w:rsidRDefault="00964DD4" w:rsidP="00230D29">
      <w:proofErr w:type="spellStart"/>
      <w:r w:rsidRPr="00964DD4">
        <w:t>TagniFi’s</w:t>
      </w:r>
      <w:proofErr w:type="spellEnd"/>
      <w:r w:rsidRPr="00964DD4">
        <w:t xml:space="preserve"> financial data platform empowers business valuation professionals to quickly and easily build highly accurate financial models with full transparency—and within seconds.</w:t>
      </w:r>
    </w:p>
    <w:p w14:paraId="5282F11A" w14:textId="77777777" w:rsidR="003D3C51" w:rsidRDefault="003D3C51" w:rsidP="00230D29"/>
    <w:p w14:paraId="736F547D" w14:textId="1E7DF5C0" w:rsidR="004C20AB" w:rsidRDefault="004C20AB" w:rsidP="00230D29">
      <w:r w:rsidRPr="004C20AB">
        <w:rPr>
          <w:b/>
          <w:bCs/>
        </w:rPr>
        <w:t>Public Comps</w:t>
      </w:r>
      <w:r>
        <w:br/>
      </w:r>
      <w:r>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Pr="004C20AB">
        <w:t xml:space="preserve">Search for public companies with </w:t>
      </w:r>
      <w:proofErr w:type="spellStart"/>
      <w:r w:rsidRPr="004C20AB">
        <w:t>TagniFi</w:t>
      </w:r>
      <w:proofErr w:type="spellEnd"/>
      <w:r w:rsidRPr="004C20AB">
        <w:t xml:space="preserve"> Web. Simply enter your valuation date and ticker symbols in Excel to run a guideline public company method.</w:t>
      </w:r>
      <w:r>
        <w:t xml:space="preserve"> Your Excel model populates instantly with the financial statements, analyst estimates, interest rates and economic data for your valuation date. </w:t>
      </w:r>
    </w:p>
    <w:p w14:paraId="70ABEE83" w14:textId="4BA88891" w:rsidR="004C20AB" w:rsidRDefault="004C20AB" w:rsidP="00230D29"/>
    <w:p w14:paraId="249DCE3B" w14:textId="77777777" w:rsidR="004C20AB" w:rsidRDefault="004C20AB" w:rsidP="004C20AB"/>
    <w:p w14:paraId="44A583AB" w14:textId="32F1750D" w:rsidR="004C20AB" w:rsidRDefault="004C20AB" w:rsidP="004C20AB">
      <w:r w:rsidRPr="004C20AB">
        <w:rPr>
          <w:b/>
          <w:bCs/>
          <w:noProof/>
        </w:rPr>
        <w:lastRenderedPageBreak/>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Pr="004C20AB">
        <w:rPr>
          <w:b/>
          <w:bCs/>
        </w:rPr>
        <w:t>Transaction Comps</w:t>
      </w:r>
      <w:r>
        <w:br/>
      </w:r>
      <w:r w:rsidRPr="004C20AB">
        <w:t xml:space="preserve">Search for public and private M&amp;A transactions with </w:t>
      </w:r>
      <w:proofErr w:type="spellStart"/>
      <w:r w:rsidRPr="004C20AB">
        <w:t>TagniFi</w:t>
      </w:r>
      <w:proofErr w:type="spellEnd"/>
      <w:r w:rsidRPr="004C20AB">
        <w:t xml:space="preserve"> Web. Run your transaction comps within seconds by pasting the Deal ID into your Excel model.</w:t>
      </w:r>
      <w:r>
        <w:t xml:space="preserve"> Every deal disclosed in an SEC filing (8-K, 10-K, or 10-Q) is available for your analysis. Choose from over 90 fields of data available for every deal. </w:t>
      </w:r>
    </w:p>
    <w:p w14:paraId="67E200C4" w14:textId="310AA887" w:rsidR="003B0B22" w:rsidRDefault="003B0B22" w:rsidP="004C20AB">
      <w:pPr>
        <w:rPr>
          <w:b/>
          <w:bCs/>
        </w:rPr>
      </w:pPr>
      <w:r w:rsidRPr="004C20AB">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Default="004C20AB" w:rsidP="004C20AB">
      <w:r w:rsidRPr="004C20AB">
        <w:rPr>
          <w:b/>
          <w:bCs/>
        </w:rPr>
        <w:t>Historical Beta and Volatility</w:t>
      </w:r>
      <w:r w:rsidRPr="004C20AB">
        <w:rPr>
          <w:b/>
          <w:bCs/>
        </w:rPr>
        <w:br/>
      </w:r>
      <w:r w:rsidRPr="004C20AB">
        <w:t xml:space="preserve">Calculate historical beta and volatility as of your valuation date automatically. Simply enter the tickers and valuation date in Excel </w:t>
      </w:r>
      <w:r w:rsidR="003B0B22">
        <w:t>-</w:t>
      </w:r>
      <w:r w:rsidRPr="004C20AB">
        <w:t xml:space="preserve"> </w:t>
      </w:r>
      <w:proofErr w:type="spellStart"/>
      <w:r w:rsidRPr="004C20AB">
        <w:t>TagniFi</w:t>
      </w:r>
      <w:proofErr w:type="spellEnd"/>
      <w:r w:rsidRPr="004C20AB">
        <w:t xml:space="preserve"> does the rest.</w:t>
      </w:r>
      <w:r w:rsidR="003B0B22">
        <w:t xml:space="preserve"> In addition to beta and volatility, there are over 40 Excel models available in the Model Library to help with your valuation report. </w:t>
      </w:r>
    </w:p>
    <w:p w14:paraId="42664782" w14:textId="50B2EA67" w:rsidR="003B0B22" w:rsidRDefault="003B0B22" w:rsidP="004C20AB"/>
    <w:p w14:paraId="4808FD9A" w14:textId="0D961F75" w:rsidR="003B0B22" w:rsidRPr="004C20AB" w:rsidRDefault="003B0B22" w:rsidP="004C20AB">
      <w:pPr>
        <w:rPr>
          <w:b/>
          <w:bCs/>
        </w:rPr>
      </w:pPr>
      <w:r>
        <w:rPr>
          <w:noProof/>
        </w:rPr>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Pr>
          <w:b/>
          <w:bCs/>
        </w:rPr>
        <w:t>Interest Rates and Economic Dat</w:t>
      </w:r>
      <w:r w:rsidR="00BC7E45">
        <w:rPr>
          <w:b/>
          <w:bCs/>
        </w:rPr>
        <w:t>a</w:t>
      </w:r>
      <w:r>
        <w:rPr>
          <w:b/>
          <w:bCs/>
        </w:rPr>
        <w:br/>
      </w:r>
      <w:r w:rsidRPr="003B0B22">
        <w:t xml:space="preserve">Automate the interest rates and economic data in your valuation report using the </w:t>
      </w:r>
      <w:proofErr w:type="spellStart"/>
      <w:r w:rsidRPr="003B0B22">
        <w:t>TagniFi</w:t>
      </w:r>
      <w:proofErr w:type="spellEnd"/>
      <w:r w:rsidRPr="003B0B22">
        <w:t xml:space="preserve"> Excel plugin. Choose from over 200,000 time series available.</w:t>
      </w:r>
      <w:r>
        <w:t xml:space="preserve"> All data in this </w:t>
      </w:r>
      <w:r w:rsidRPr="003B0B22">
        <w:rPr>
          <w:i/>
          <w:iCs/>
        </w:rPr>
        <w:t>Quarterly Economic Update</w:t>
      </w:r>
      <w:r>
        <w:t xml:space="preserve"> </w:t>
      </w:r>
      <w:r w:rsidR="002C5E52">
        <w:t>is</w:t>
      </w:r>
      <w:r>
        <w:t xml:space="preserve"> from the </w:t>
      </w:r>
      <w:proofErr w:type="spellStart"/>
      <w:r>
        <w:t>TagniFi</w:t>
      </w:r>
      <w:proofErr w:type="spellEnd"/>
      <w:r>
        <w:t xml:space="preserve"> platform.</w:t>
      </w:r>
      <w:r w:rsidR="002C5E52">
        <w:t xml:space="preserve"> Use economic and interest rate dat</w:t>
      </w:r>
      <w:r w:rsidR="006C08FA">
        <w:t>a</w:t>
      </w:r>
      <w:r w:rsidR="002C5E52">
        <w:t xml:space="preserve"> for your own valuation models with the </w:t>
      </w:r>
      <w:proofErr w:type="spellStart"/>
      <w:r w:rsidR="002C5E52">
        <w:t>TagniFi</w:t>
      </w:r>
      <w:proofErr w:type="spellEnd"/>
      <w:r w:rsidR="002C5E52">
        <w:t xml:space="preserve"> Excel plugin.</w:t>
      </w:r>
    </w:p>
    <w:sectPr w:rsidR="003B0B22" w:rsidRPr="004C20AB" w:rsidSect="00005111">
      <w:headerReference w:type="default" r:id="rId40"/>
      <w:footerReference w:type="default" r:id="rId41"/>
      <w:footerReference w:type="first" r:id="rId42"/>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7CA12" w16cex:dateUtc="2020-05-02T14:29:00Z"/>
  <w16cex:commentExtensible w16cex:durableId="225834C4" w16cex:dateUtc="2020-05-02T22:04:00Z"/>
  <w16cex:commentExtensible w16cex:durableId="225A8823" w16cex:dateUtc="2020-05-04T16:25:00Z"/>
  <w16cex:commentExtensible w16cex:durableId="2257D8A5" w16cex:dateUtc="2020-05-02T15:31:00Z"/>
  <w16cex:commentExtensible w16cex:durableId="2257DA7D" w16cex:dateUtc="2020-05-02T15:39:00Z"/>
  <w16cex:commentExtensible w16cex:durableId="2257E140" w16cex:dateUtc="2020-05-02T16:08:00Z"/>
  <w16cex:commentExtensible w16cex:durableId="2257E43D" w16cex:dateUtc="2020-05-02T16:21:00Z"/>
  <w16cex:commentExtensible w16cex:durableId="2257E941" w16cex:dateUtc="2020-05-02T16:42:00Z"/>
  <w16cex:commentExtensible w16cex:durableId="2257EC27" w16cex:dateUtc="2020-05-02T16:55:00Z"/>
  <w16cex:commentExtensible w16cex:durableId="2257F168" w16cex:dateUtc="2020-05-02T17:17:00Z"/>
  <w16cex:commentExtensible w16cex:durableId="225803F0" w16cex:dateUtc="2020-05-02T18:36:00Z"/>
  <w16cex:commentExtensible w16cex:durableId="225803DF" w16cex:dateUtc="2020-05-02T18:36:00Z"/>
  <w16cex:commentExtensible w16cex:durableId="22580440" w16cex:dateUtc="2020-05-02T18:37:00Z"/>
  <w16cex:commentExtensible w16cex:durableId="225803C9" w16cex:dateUtc="2020-05-02T18:35:00Z"/>
  <w16cex:commentExtensible w16cex:durableId="2258072D" w16cex:dateUtc="2020-05-02T18:50:00Z"/>
  <w16cex:commentExtensible w16cex:durableId="22580A9C" w16cex:dateUtc="2020-05-02T19:05:00Z"/>
  <w16cex:commentExtensible w16cex:durableId="22581672" w16cex:dateUtc="2020-05-02T19:55:00Z"/>
  <w16cex:commentExtensible w16cex:durableId="22581817" w16cex:dateUtc="2020-05-02T20:02:00Z"/>
  <w16cex:commentExtensible w16cex:durableId="22581C53" w16cex:dateUtc="2020-05-02T20: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5B77D" w14:textId="77777777" w:rsidR="00521F1D" w:rsidRDefault="00521F1D" w:rsidP="00171C8E">
      <w:pPr>
        <w:spacing w:after="0" w:line="240" w:lineRule="auto"/>
      </w:pPr>
      <w:r>
        <w:separator/>
      </w:r>
    </w:p>
  </w:endnote>
  <w:endnote w:type="continuationSeparator" w:id="0">
    <w:p w14:paraId="07369942" w14:textId="77777777" w:rsidR="00521F1D" w:rsidRDefault="00521F1D"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D5FE8" w14:textId="7FA7671E" w:rsidR="004A0947" w:rsidRDefault="004A0947">
    <w:pPr>
      <w:pStyle w:val="Footer"/>
    </w:pPr>
    <w:r>
      <w:t xml:space="preserve">© 2020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CAF58" w14:textId="5EAC5F17" w:rsidR="006663D0" w:rsidRDefault="00C9694F">
    <w:pPr>
      <w:pStyle w:val="Footer"/>
    </w:pPr>
    <w:r>
      <w:t>T</w:t>
    </w:r>
    <w:r w:rsidR="006663D0">
      <w:t>agni</w:t>
    </w:r>
    <w:r>
      <w:t>F</w:t>
    </w:r>
    <w:r w:rsidR="006663D0">
      <w:t>i.com</w:t>
    </w:r>
    <w:r w:rsidR="006663D0">
      <w:tab/>
    </w:r>
    <w:r w:rsidR="006663D0">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A0CDB" w14:textId="77777777" w:rsidR="00521F1D" w:rsidRDefault="00521F1D" w:rsidP="00171C8E">
      <w:pPr>
        <w:spacing w:after="0" w:line="240" w:lineRule="auto"/>
      </w:pPr>
      <w:r>
        <w:separator/>
      </w:r>
    </w:p>
  </w:footnote>
  <w:footnote w:type="continuationSeparator" w:id="0">
    <w:p w14:paraId="39466155" w14:textId="77777777" w:rsidR="00521F1D" w:rsidRDefault="00521F1D" w:rsidP="00171C8E">
      <w:pPr>
        <w:spacing w:after="0" w:line="240" w:lineRule="auto"/>
      </w:pPr>
      <w:r>
        <w:continuationSeparator/>
      </w:r>
    </w:p>
  </w:footnote>
  <w:footnote w:id="1">
    <w:p w14:paraId="3F8CBEDA" w14:textId="77777777" w:rsidR="001E26E8" w:rsidRPr="00952AF7" w:rsidRDefault="001E26E8" w:rsidP="001E26E8">
      <w:pPr>
        <w:pStyle w:val="FootnoteText"/>
        <w:rPr>
          <w:rFonts w:cstheme="minorHAnsi"/>
          <w:i/>
          <w:iCs/>
          <w:color w:val="222222"/>
          <w:sz w:val="16"/>
          <w:szCs w:val="16"/>
          <w:shd w:val="clear" w:color="auto" w:fill="FFFFFF"/>
        </w:rPr>
      </w:pPr>
      <w:r>
        <w:rPr>
          <w:rStyle w:val="FootnoteReference"/>
        </w:rPr>
        <w:footnoteRef/>
      </w:r>
      <w:r>
        <w:t xml:space="preserve"> </w:t>
      </w:r>
      <w:r w:rsidRPr="00952AF7">
        <w:rPr>
          <w:rFonts w:cstheme="minorHAnsi"/>
          <w:i/>
          <w:iCs/>
          <w:color w:val="222222"/>
          <w:sz w:val="16"/>
          <w:szCs w:val="16"/>
          <w:shd w:val="clear" w:color="auto" w:fill="FFFFFF"/>
        </w:rPr>
        <w:t xml:space="preserve">Coronavirus Locations: COVID-19 Map by County and State, retrieved from </w:t>
      </w:r>
      <w:proofErr w:type="spellStart"/>
      <w:r w:rsidRPr="00952AF7">
        <w:rPr>
          <w:rFonts w:cstheme="minorHAnsi"/>
          <w:i/>
          <w:iCs/>
          <w:color w:val="222222"/>
          <w:sz w:val="16"/>
          <w:szCs w:val="16"/>
          <w:shd w:val="clear" w:color="auto" w:fill="FFFFFF"/>
        </w:rPr>
        <w:t>USAFacts</w:t>
      </w:r>
      <w:proofErr w:type="spellEnd"/>
      <w:r w:rsidRPr="00952AF7">
        <w:rPr>
          <w:rFonts w:cstheme="minorHAnsi"/>
          <w:i/>
          <w:iCs/>
          <w:color w:val="222222"/>
          <w:sz w:val="16"/>
          <w:szCs w:val="16"/>
          <w:shd w:val="clear" w:color="auto" w:fill="FFFFFF"/>
        </w:rPr>
        <w:t>,</w:t>
      </w:r>
      <w:r>
        <w:t xml:space="preserve"> </w:t>
      </w:r>
      <w:hyperlink r:id="rId1" w:history="1">
        <w:r w:rsidRPr="00952AF7">
          <w:rPr>
            <w:rStyle w:val="Hyperlink"/>
            <w:rFonts w:cstheme="minorHAnsi"/>
            <w:i/>
            <w:iCs/>
            <w:sz w:val="16"/>
            <w:szCs w:val="16"/>
            <w:shd w:val="clear" w:color="auto" w:fill="FFFFFF"/>
          </w:rPr>
          <w:t>https://usafacts.org/visualizations/coronavirus-covid-19-spread-map/</w:t>
        </w:r>
      </w:hyperlink>
      <w:r w:rsidRPr="00952AF7">
        <w:rPr>
          <w:i/>
          <w:iCs/>
          <w:sz w:val="16"/>
          <w:szCs w:val="16"/>
        </w:rPr>
        <w:t>,</w:t>
      </w:r>
      <w:r w:rsidRPr="00952AF7">
        <w:rPr>
          <w:rFonts w:cstheme="minorHAnsi"/>
          <w:i/>
          <w:iCs/>
          <w:color w:val="222222"/>
          <w:sz w:val="16"/>
          <w:szCs w:val="16"/>
          <w:shd w:val="clear" w:color="auto" w:fill="FFFFFF"/>
        </w:rPr>
        <w:t xml:space="preserve"> May 2, 2020</w:t>
      </w:r>
    </w:p>
  </w:footnote>
  <w:footnote w:id="2">
    <w:p w14:paraId="07CD6D47" w14:textId="54662878" w:rsidR="004A0947" w:rsidRDefault="004A0947">
      <w:pPr>
        <w:pStyle w:val="FootnoteText"/>
      </w:pPr>
      <w:r>
        <w:rPr>
          <w:rStyle w:val="FootnoteReference"/>
        </w:rPr>
        <w:footnoteRef/>
      </w:r>
      <w:r>
        <w:t xml:space="preserve"> </w:t>
      </w:r>
      <w:r w:rsidRPr="00714B74">
        <w:rPr>
          <w:i/>
          <w:iCs/>
          <w:sz w:val="16"/>
          <w:szCs w:val="16"/>
        </w:rPr>
        <w:t>State Coincident Indexes, retrieved from the Federal Reserve Bank of Philad</w:t>
      </w:r>
      <w:r w:rsidR="00A14CD4">
        <w:rPr>
          <w:i/>
          <w:iCs/>
          <w:sz w:val="16"/>
          <w:szCs w:val="16"/>
        </w:rPr>
        <w:t>el</w:t>
      </w:r>
      <w:r w:rsidRPr="00714B74">
        <w:rPr>
          <w:i/>
          <w:iCs/>
          <w:sz w:val="16"/>
          <w:szCs w:val="16"/>
        </w:rPr>
        <w:t xml:space="preserve">phia, </w:t>
      </w:r>
      <w:hyperlink r:id="rId2" w:history="1">
        <w:r w:rsidRPr="00714B74">
          <w:rPr>
            <w:rStyle w:val="Hyperlink"/>
            <w:i/>
            <w:iCs/>
            <w:sz w:val="16"/>
            <w:szCs w:val="16"/>
          </w:rPr>
          <w:t>https://www.philadelphiafed.org/-/media/research-and-data/regional-economy/indexes/coincident/2020/coincidentindexes0320.pdf</w:t>
        </w:r>
      </w:hyperlink>
      <w:r w:rsidRPr="00714B74">
        <w:rPr>
          <w:i/>
          <w:iCs/>
          <w:sz w:val="16"/>
          <w:szCs w:val="16"/>
        </w:rPr>
        <w:t>, May 2, 2020</w:t>
      </w:r>
    </w:p>
  </w:footnote>
  <w:footnote w:id="3">
    <w:p w14:paraId="04EBBD96" w14:textId="191A2290" w:rsidR="004A0947" w:rsidRPr="000322F4" w:rsidRDefault="004A0947">
      <w:pPr>
        <w:pStyle w:val="FootnoteText"/>
        <w:rPr>
          <w:sz w:val="16"/>
          <w:szCs w:val="16"/>
          <w:lang w:val="en-PH"/>
        </w:rPr>
      </w:pPr>
      <w:r w:rsidRPr="000322F4">
        <w:rPr>
          <w:rStyle w:val="FootnoteReference"/>
          <w:sz w:val="16"/>
          <w:szCs w:val="16"/>
        </w:rPr>
        <w:footnoteRef/>
      </w:r>
      <w:r w:rsidRPr="000322F4">
        <w:rPr>
          <w:sz w:val="16"/>
          <w:szCs w:val="16"/>
        </w:rPr>
        <w:t xml:space="preserve"> </w:t>
      </w:r>
      <w:r w:rsidRPr="00DA3959">
        <w:rPr>
          <w:rFonts w:cstheme="minorHAnsi"/>
          <w:i/>
          <w:iCs/>
          <w:color w:val="222222"/>
          <w:sz w:val="16"/>
          <w:szCs w:val="16"/>
          <w:shd w:val="clear" w:color="auto" w:fill="FFFFFF"/>
        </w:rPr>
        <w:t xml:space="preserve">Board of Governors of the Federal Reserve System (US), Trade Weighted U.S. Dollar Index: Broad, Goods and Services [DTWEXBGS], retrieved from FRED, Federal Reserve Bank of St. Louis; </w:t>
      </w:r>
      <w:hyperlink r:id="rId3"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May 1, 2020.</w:t>
      </w:r>
    </w:p>
  </w:footnote>
  <w:footnote w:id="4">
    <w:p w14:paraId="517776FA" w14:textId="410D3A8A" w:rsidR="004A0947" w:rsidRPr="00BF5CE2" w:rsidRDefault="004A0947">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Real Gross Domestic Product [GDPC1],</w:t>
      </w:r>
      <w:r w:rsidRPr="00BF5CE2">
        <w:rPr>
          <w:rFonts w:cstheme="minorHAnsi"/>
          <w:i/>
          <w:iCs/>
          <w:color w:val="222222"/>
          <w:sz w:val="16"/>
          <w:szCs w:val="16"/>
          <w:shd w:val="clear" w:color="auto" w:fill="FFFFFF"/>
        </w:rPr>
        <w:t xml:space="preserve"> retrieved from FRED, Federal Reserve Bank of St. Louis; </w:t>
      </w:r>
      <w:hyperlink r:id="rId4" w:history="1">
        <w:r w:rsidRPr="00BF5CE2">
          <w:rPr>
            <w:rStyle w:val="Hyperlink"/>
            <w:rFonts w:cstheme="minorHAnsi"/>
            <w:i/>
            <w:iCs/>
            <w:sz w:val="16"/>
            <w:szCs w:val="16"/>
            <w:shd w:val="clear" w:color="auto" w:fill="FFFFFF"/>
          </w:rPr>
          <w:t>https://fred.stlouisfed.org/series/GDPC1</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1, 2020</w:t>
      </w:r>
      <w:r w:rsidRPr="00BF5CE2">
        <w:rPr>
          <w:rFonts w:cstheme="minorHAnsi"/>
          <w:i/>
          <w:iCs/>
          <w:color w:val="222222"/>
          <w:sz w:val="16"/>
          <w:szCs w:val="16"/>
          <w:shd w:val="clear" w:color="auto" w:fill="FFFFFF"/>
        </w:rPr>
        <w:t>.</w:t>
      </w:r>
    </w:p>
  </w:footnote>
  <w:footnote w:id="5">
    <w:p w14:paraId="502F649B" w14:textId="137A5180" w:rsidR="004A0947" w:rsidRPr="006A114D" w:rsidRDefault="004A0947">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5"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1, 2020</w:t>
      </w:r>
      <w:r w:rsidRPr="00BF5CE2">
        <w:rPr>
          <w:rFonts w:cstheme="minorHAnsi"/>
          <w:i/>
          <w:iCs/>
          <w:color w:val="222222"/>
          <w:sz w:val="16"/>
          <w:szCs w:val="16"/>
          <w:shd w:val="clear" w:color="auto" w:fill="FFFFFF"/>
        </w:rPr>
        <w:t>.</w:t>
      </w:r>
    </w:p>
  </w:footnote>
  <w:footnote w:id="6">
    <w:p w14:paraId="11F01E93" w14:textId="7BAA2590" w:rsidR="004A0947" w:rsidRPr="00B65667" w:rsidRDefault="004A0947">
      <w:pPr>
        <w:pStyle w:val="FootnoteText"/>
        <w:rPr>
          <w:i/>
          <w:iCs/>
          <w:sz w:val="16"/>
          <w:szCs w:val="16"/>
          <w:lang w:val="en-PH"/>
        </w:rPr>
      </w:pPr>
      <w:r>
        <w:rPr>
          <w:rStyle w:val="FootnoteReference"/>
        </w:rPr>
        <w:footnoteRef/>
      </w:r>
      <w:r>
        <w:t xml:space="preserve"> </w:t>
      </w:r>
      <w:r w:rsidRPr="00B65667">
        <w:rPr>
          <w:i/>
          <w:iCs/>
          <w:sz w:val="16"/>
          <w:szCs w:val="16"/>
          <w:lang w:val="en-PH"/>
        </w:rPr>
        <w:t xml:space="preserve">Selected Interest Rates Instruments, Yields in percent per annum, retrieved from FRED, Federal Reserve Bank of St. Louis; </w:t>
      </w:r>
      <w:hyperlink r:id="rId6" w:history="1">
        <w:r w:rsidRPr="00B65667">
          <w:rPr>
            <w:rStyle w:val="Hyperlink"/>
            <w:i/>
            <w:iCs/>
            <w:sz w:val="16"/>
            <w:szCs w:val="16"/>
            <w:lang w:val="en-PH"/>
          </w:rPr>
          <w:t>https://fred.stlouisfed.org/release/tables?rid=18&amp;eid=289&amp;od=2020-03-31#</w:t>
        </w:r>
      </w:hyperlink>
      <w:r w:rsidRPr="00B65667">
        <w:rPr>
          <w:i/>
          <w:iCs/>
          <w:sz w:val="16"/>
          <w:szCs w:val="16"/>
          <w:lang w:val="en-PH"/>
        </w:rPr>
        <w:t>, May 1, 2020.</w:t>
      </w:r>
    </w:p>
  </w:footnote>
  <w:footnote w:id="7">
    <w:p w14:paraId="35FA6FE7" w14:textId="034F9721" w:rsidR="004A0947" w:rsidRPr="00BF5CE2" w:rsidRDefault="004A0947">
      <w:pPr>
        <w:pStyle w:val="FootnoteText"/>
        <w:rPr>
          <w:sz w:val="16"/>
          <w:szCs w:val="16"/>
          <w:lang w:val="en-PH"/>
        </w:rPr>
      </w:pPr>
      <w:r w:rsidRPr="00BF5CE2">
        <w:rPr>
          <w:rStyle w:val="FootnoteReference"/>
          <w:sz w:val="16"/>
          <w:szCs w:val="16"/>
        </w:rPr>
        <w:footnoteRef/>
      </w:r>
      <w:r w:rsidRPr="00BF5CE2">
        <w:rPr>
          <w:sz w:val="16"/>
          <w:szCs w:val="16"/>
        </w:rPr>
        <w:t xml:space="preserve"> </w:t>
      </w:r>
      <w:r w:rsidRPr="00B65667">
        <w:rPr>
          <w:i/>
          <w:iCs/>
          <w:sz w:val="16"/>
          <w:szCs w:val="16"/>
          <w:lang w:val="en-PH"/>
        </w:rPr>
        <w:t>Board of Governors of the Federal Reserve System (US), Effective Federal Funds Rate [FEDFUNDS],</w:t>
      </w:r>
      <w:r w:rsidRPr="00BF5CE2">
        <w:rPr>
          <w:rFonts w:cstheme="minorHAnsi"/>
          <w:i/>
          <w:iCs/>
          <w:color w:val="222222"/>
          <w:sz w:val="16"/>
          <w:szCs w:val="16"/>
          <w:shd w:val="clear" w:color="auto" w:fill="FFFFFF"/>
        </w:rPr>
        <w:t xml:space="preserve"> retrieved from FRED, Federal Reserve Bank of St. Louis; </w:t>
      </w:r>
      <w:hyperlink r:id="rId7" w:history="1">
        <w:r w:rsidRPr="00BF5CE2">
          <w:rPr>
            <w:rStyle w:val="Hyperlink"/>
            <w:rFonts w:cstheme="minorHAnsi"/>
            <w:i/>
            <w:iCs/>
            <w:sz w:val="16"/>
            <w:szCs w:val="16"/>
            <w:shd w:val="clear" w:color="auto" w:fill="FFFFFF"/>
          </w:rPr>
          <w:t>https://fred.stlouisfed.org/series/FEDFUNDS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1, 2020</w:t>
      </w:r>
      <w:r w:rsidRPr="00BF5CE2">
        <w:rPr>
          <w:rFonts w:cstheme="minorHAnsi"/>
          <w:i/>
          <w:iCs/>
          <w:color w:val="222222"/>
          <w:sz w:val="16"/>
          <w:szCs w:val="16"/>
          <w:shd w:val="clear" w:color="auto" w:fill="FFFFFF"/>
        </w:rPr>
        <w:t>.</w:t>
      </w:r>
    </w:p>
  </w:footnote>
  <w:footnote w:id="8">
    <w:p w14:paraId="5D92A033" w14:textId="02F4BA1C" w:rsidR="004A0947" w:rsidRPr="004759DB" w:rsidRDefault="004A0947">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8"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1, 2020</w:t>
      </w:r>
      <w:r w:rsidRPr="00BF5CE2">
        <w:rPr>
          <w:rFonts w:cstheme="minorHAnsi"/>
          <w:i/>
          <w:iCs/>
          <w:color w:val="222222"/>
          <w:sz w:val="16"/>
          <w:szCs w:val="16"/>
          <w:shd w:val="clear" w:color="auto" w:fill="FFFFFF"/>
        </w:rPr>
        <w:t>.</w:t>
      </w:r>
    </w:p>
  </w:footnote>
  <w:footnote w:id="9">
    <w:p w14:paraId="29E4EDD1" w14:textId="37980A99" w:rsidR="004A0947" w:rsidRPr="00BF5CE2" w:rsidRDefault="004A0947">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Moody’s, Moody’s Seasoned Baa Corporate Bond Yield [BAAS],</w:t>
      </w:r>
      <w:r w:rsidRPr="00BF5CE2">
        <w:rPr>
          <w:rFonts w:cstheme="minorHAnsi"/>
          <w:i/>
          <w:iCs/>
          <w:color w:val="222222"/>
          <w:sz w:val="16"/>
          <w:szCs w:val="16"/>
          <w:shd w:val="clear" w:color="auto" w:fill="FFFFFF"/>
        </w:rPr>
        <w:t xml:space="preserve"> retrieved from FRED, Federal Reserve Bank of St. Louis; </w:t>
      </w:r>
      <w:hyperlink r:id="rId9" w:history="1">
        <w:r w:rsidRPr="00BF5CE2">
          <w:rPr>
            <w:rStyle w:val="Hyperlink"/>
            <w:rFonts w:cstheme="minorHAnsi"/>
            <w:i/>
            <w:iCs/>
            <w:sz w:val="16"/>
            <w:szCs w:val="16"/>
            <w:shd w:val="clear" w:color="auto" w:fill="FFFFFF"/>
          </w:rPr>
          <w:t>https://fred.stlouisfed.org/series/BAA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1, 2020</w:t>
      </w:r>
      <w:r w:rsidRPr="00BF5CE2">
        <w:rPr>
          <w:rFonts w:cstheme="minorHAnsi"/>
          <w:i/>
          <w:iCs/>
          <w:color w:val="222222"/>
          <w:sz w:val="16"/>
          <w:szCs w:val="16"/>
          <w:shd w:val="clear" w:color="auto" w:fill="FFFFFF"/>
        </w:rPr>
        <w:t>.</w:t>
      </w:r>
    </w:p>
  </w:footnote>
  <w:footnote w:id="10">
    <w:p w14:paraId="4C9DB6C9" w14:textId="6EFC7829" w:rsidR="004A0947" w:rsidRPr="0052077C" w:rsidRDefault="004A0947">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retrieved from FRED, Federal Reserve Bank of St. Louis; </w:t>
      </w:r>
      <w:hyperlink r:id="rId10" w:history="1">
        <w:r w:rsidRPr="00BF5CE2">
          <w:rPr>
            <w:rStyle w:val="Hyperlink"/>
            <w:rFonts w:cstheme="minorHAnsi"/>
            <w:i/>
            <w:iCs/>
            <w:sz w:val="16"/>
            <w:szCs w:val="16"/>
            <w:shd w:val="clear" w:color="auto" w:fill="FFFFFF"/>
          </w:rPr>
          <w:t>https://fred.stlouisfed.org/series/PAYEMS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Feb 2, 2020</w:t>
      </w:r>
      <w:r w:rsidRPr="00BF5CE2">
        <w:rPr>
          <w:rFonts w:cstheme="minorHAnsi"/>
          <w:i/>
          <w:iCs/>
          <w:color w:val="222222"/>
          <w:sz w:val="16"/>
          <w:szCs w:val="16"/>
          <w:shd w:val="clear" w:color="auto" w:fill="FFFFFF"/>
        </w:rPr>
        <w:t>.</w:t>
      </w:r>
    </w:p>
  </w:footnote>
  <w:footnote w:id="11">
    <w:p w14:paraId="7DEAA574" w14:textId="5486F12E" w:rsidR="004A0947" w:rsidRPr="00BF5CE2" w:rsidRDefault="004A0947">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1"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Feb 2, 2020</w:t>
      </w:r>
      <w:r w:rsidRPr="00BF5CE2">
        <w:rPr>
          <w:rFonts w:cstheme="minorHAnsi"/>
          <w:i/>
          <w:iCs/>
          <w:color w:val="222222"/>
          <w:sz w:val="16"/>
          <w:szCs w:val="16"/>
          <w:shd w:val="clear" w:color="auto" w:fill="FFFFFF"/>
        </w:rPr>
        <w:t>.</w:t>
      </w:r>
    </w:p>
  </w:footnote>
  <w:footnote w:id="12">
    <w:p w14:paraId="423386C9" w14:textId="3ABFBF1E" w:rsidR="004A0947" w:rsidRPr="00572F03" w:rsidRDefault="004A0947">
      <w:pPr>
        <w:pStyle w:val="FootnoteText"/>
        <w:rPr>
          <w:i/>
          <w:iCs/>
          <w:sz w:val="16"/>
          <w:szCs w:val="16"/>
          <w:lang w:val="en-PH"/>
        </w:rPr>
      </w:pPr>
      <w:r>
        <w:rPr>
          <w:rStyle w:val="FootnoteReference"/>
        </w:rPr>
        <w:footnoteRef/>
      </w:r>
      <w:r>
        <w:t xml:space="preserve"> </w:t>
      </w:r>
      <w:r w:rsidRPr="00572F03">
        <w:rPr>
          <w:i/>
          <w:iCs/>
          <w:sz w:val="16"/>
          <w:szCs w:val="16"/>
          <w:lang w:val="en-PH"/>
        </w:rPr>
        <w:t xml:space="preserve">U.S. Employment and Training Administration, Continued Claims (Insured Unemployment) [CCSA], retrieved from FRED, Federal Reserve Bank of St. Louis; </w:t>
      </w:r>
      <w:hyperlink r:id="rId12" w:history="1">
        <w:r w:rsidRPr="00572F03">
          <w:rPr>
            <w:rStyle w:val="Hyperlink"/>
            <w:i/>
            <w:iCs/>
            <w:sz w:val="16"/>
            <w:szCs w:val="16"/>
            <w:lang w:val="en-PH"/>
          </w:rPr>
          <w:t>https://fred.stlouisfed.org/series/CCSA</w:t>
        </w:r>
      </w:hyperlink>
      <w:r w:rsidRPr="00572F03">
        <w:rPr>
          <w:i/>
          <w:iCs/>
          <w:sz w:val="16"/>
          <w:szCs w:val="16"/>
          <w:lang w:val="en-PH"/>
        </w:rPr>
        <w:t>, May 2, 2020.</w:t>
      </w:r>
    </w:p>
  </w:footnote>
  <w:footnote w:id="13">
    <w:p w14:paraId="4135366E" w14:textId="79F3BF12" w:rsidR="004A0947" w:rsidRPr="00BF5CE2" w:rsidRDefault="004A0947">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13"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2, 2020</w:t>
      </w:r>
      <w:r w:rsidRPr="00BF5CE2">
        <w:rPr>
          <w:rFonts w:cstheme="minorHAnsi"/>
          <w:i/>
          <w:iCs/>
          <w:color w:val="222222"/>
          <w:sz w:val="16"/>
          <w:szCs w:val="16"/>
          <w:shd w:val="clear" w:color="auto" w:fill="FFFFFF"/>
        </w:rPr>
        <w:t>.</w:t>
      </w:r>
    </w:p>
  </w:footnote>
  <w:footnote w:id="14">
    <w:p w14:paraId="1430DADA" w14:textId="2B0C1161" w:rsidR="004A0947" w:rsidRDefault="004A0947">
      <w:pPr>
        <w:pStyle w:val="FootnoteText"/>
      </w:pPr>
      <w:r>
        <w:rPr>
          <w:rStyle w:val="FootnoteReference"/>
        </w:rPr>
        <w:footnoteRef/>
      </w:r>
      <w:r>
        <w:t xml:space="preserve"> </w:t>
      </w:r>
      <w:r w:rsidRPr="008155BA">
        <w:rPr>
          <w:i/>
          <w:iCs/>
          <w:sz w:val="16"/>
          <w:szCs w:val="16"/>
        </w:rPr>
        <w:t xml:space="preserve">Survey of Consumer Expectations, retrieved from Federal Reserve Bank of New York, </w:t>
      </w:r>
      <w:hyperlink r:id="rId14" w:anchor="indicators/inflation-expectations/g1" w:history="1">
        <w:r w:rsidRPr="008155BA">
          <w:rPr>
            <w:rStyle w:val="Hyperlink"/>
            <w:i/>
            <w:iCs/>
            <w:sz w:val="16"/>
            <w:szCs w:val="16"/>
          </w:rPr>
          <w:t>https://www.newyorkfed.org/microeconomics/sce#indicators/inflation-expectations/g1</w:t>
        </w:r>
      </w:hyperlink>
      <w:r w:rsidRPr="008155BA">
        <w:rPr>
          <w:i/>
          <w:iCs/>
          <w:sz w:val="16"/>
          <w:szCs w:val="16"/>
        </w:rPr>
        <w:t>, May 2, 2020</w:t>
      </w:r>
    </w:p>
  </w:footnote>
  <w:footnote w:id="15">
    <w:p w14:paraId="2CF101DC" w14:textId="5BB5DB4E" w:rsidR="004A0947" w:rsidRPr="00CB1375" w:rsidRDefault="004A0947">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15"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2, 2020</w:t>
      </w:r>
      <w:r w:rsidRPr="00BF5CE2">
        <w:rPr>
          <w:rFonts w:cstheme="minorHAnsi"/>
          <w:i/>
          <w:iCs/>
          <w:color w:val="222222"/>
          <w:sz w:val="16"/>
          <w:szCs w:val="16"/>
          <w:shd w:val="clear" w:color="auto" w:fill="FFFFFF"/>
        </w:rPr>
        <w:t>.</w:t>
      </w:r>
    </w:p>
  </w:footnote>
  <w:footnote w:id="16">
    <w:p w14:paraId="1C900108" w14:textId="7CD560C2" w:rsidR="004A0947" w:rsidRPr="000322F4" w:rsidRDefault="004A0947"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Pr="000322F4">
        <w:rPr>
          <w:rFonts w:cstheme="minorHAnsi"/>
          <w:i/>
          <w:iCs/>
          <w:color w:val="222222"/>
          <w:sz w:val="16"/>
          <w:szCs w:val="16"/>
          <w:shd w:val="clear" w:color="auto" w:fill="FFFFFF"/>
        </w:rPr>
        <w:t>U.S. Energy Information Administration, Crude Oil Prices: West Texas Intermediate (WTI) – Cushing, Oklahoma [MCOILWTICO], retrieved from FRED, Federal Reserve Bank of St. Louis; </w:t>
      </w:r>
      <w:hyperlink r:id="rId16" w:history="1">
        <w:r w:rsidRPr="000322F4">
          <w:rPr>
            <w:rStyle w:val="Hyperlink"/>
            <w:rFonts w:cstheme="minorHAnsi"/>
            <w:i/>
            <w:iCs/>
            <w:sz w:val="16"/>
            <w:szCs w:val="16"/>
            <w:shd w:val="clear" w:color="auto" w:fill="FFFFFF"/>
          </w:rPr>
          <w:t>https://fred.stlouisfed.org/series/MCOILWTICO</w:t>
        </w:r>
      </w:hyperlink>
      <w:r w:rsidRPr="000322F4">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2, 2020</w:t>
      </w:r>
      <w:r w:rsidRPr="000322F4">
        <w:rPr>
          <w:rFonts w:cstheme="minorHAnsi"/>
          <w:i/>
          <w:iCs/>
          <w:color w:val="222222"/>
          <w:sz w:val="16"/>
          <w:szCs w:val="16"/>
          <w:shd w:val="clear" w:color="auto" w:fill="FFFFFF"/>
        </w:rPr>
        <w:t>.</w:t>
      </w:r>
    </w:p>
  </w:footnote>
  <w:footnote w:id="17">
    <w:p w14:paraId="11221A52" w14:textId="48C1F820" w:rsidR="004A0947" w:rsidRPr="00BF5CE2" w:rsidRDefault="004A0947">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17"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2, 2020</w:t>
      </w:r>
      <w:r w:rsidRPr="00BF5CE2">
        <w:rPr>
          <w:rFonts w:cstheme="minorHAnsi"/>
          <w:i/>
          <w:iCs/>
          <w:color w:val="222222"/>
          <w:sz w:val="16"/>
          <w:szCs w:val="16"/>
          <w:shd w:val="clear" w:color="auto" w:fill="FFFFFF"/>
        </w:rPr>
        <w:t>.</w:t>
      </w:r>
    </w:p>
  </w:footnote>
  <w:footnote w:id="18">
    <w:p w14:paraId="6A794CBD" w14:textId="7AA4AE2F" w:rsidR="004A0947" w:rsidRPr="00250313" w:rsidRDefault="004A0947">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18"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2, 2020</w:t>
      </w:r>
      <w:r w:rsidRPr="00BF5CE2">
        <w:rPr>
          <w:rFonts w:cstheme="minorHAnsi"/>
          <w:i/>
          <w:iCs/>
          <w:color w:val="222222"/>
          <w:sz w:val="16"/>
          <w:szCs w:val="16"/>
          <w:shd w:val="clear" w:color="auto" w:fill="FFFFFF"/>
        </w:rPr>
        <w:t>.</w:t>
      </w:r>
    </w:p>
  </w:footnote>
  <w:footnote w:id="19">
    <w:p w14:paraId="48E5411D" w14:textId="1AFD7271" w:rsidR="004A0947" w:rsidRPr="00BF5CE2" w:rsidRDefault="004A0947">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Down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19"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2, 2020</w:t>
      </w:r>
      <w:r w:rsidRPr="00BF5CE2">
        <w:rPr>
          <w:rFonts w:cstheme="minorHAnsi"/>
          <w:i/>
          <w:iCs/>
          <w:color w:val="222222"/>
          <w:sz w:val="16"/>
          <w:szCs w:val="16"/>
          <w:shd w:val="clear" w:color="auto" w:fill="FFFFFF"/>
        </w:rPr>
        <w:t>.</w:t>
      </w:r>
    </w:p>
  </w:footnote>
  <w:footnote w:id="20">
    <w:p w14:paraId="3C84FE4A" w14:textId="1AC21A00" w:rsidR="004A0947" w:rsidRPr="00BF5CE2" w:rsidRDefault="004A0947">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20"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2, 2020</w:t>
      </w:r>
      <w:r w:rsidRPr="00BF5CE2">
        <w:rPr>
          <w:rFonts w:cstheme="minorHAnsi"/>
          <w:i/>
          <w:iCs/>
          <w:color w:val="222222"/>
          <w:sz w:val="16"/>
          <w:szCs w:val="16"/>
          <w:shd w:val="clear" w:color="auto" w:fill="FFFFFF"/>
        </w:rPr>
        <w:t>.</w:t>
      </w:r>
    </w:p>
  </w:footnote>
  <w:footnote w:id="21">
    <w:p w14:paraId="08E11874" w14:textId="30719F56" w:rsidR="004A0947" w:rsidRPr="00933E80" w:rsidRDefault="004A0947">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r w:rsidRPr="00BF5CE2">
        <w:rPr>
          <w:rFonts w:cstheme="minorHAnsi"/>
          <w:i/>
          <w:iCs/>
          <w:color w:val="222222"/>
          <w:sz w:val="16"/>
          <w:szCs w:val="16"/>
          <w:shd w:val="clear" w:color="auto" w:fill="FFFFFF"/>
        </w:rPr>
        <w:t xml:space="preserve"> retrieved from FRED, Federal Reserve Bank of St. Louis; </w:t>
      </w:r>
      <w:hyperlink r:id="rId21" w:history="1">
        <w:r w:rsidRPr="00BF5CE2">
          <w:rPr>
            <w:rStyle w:val="Hyperlink"/>
            <w:rFonts w:cstheme="minorHAnsi"/>
            <w:i/>
            <w:iCs/>
            <w:sz w:val="16"/>
            <w:szCs w:val="16"/>
            <w:shd w:val="clear" w:color="auto" w:fill="FFFFFF"/>
          </w:rPr>
          <w:t>https://fred.stlouisfed.org/series/ALTSALES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May 2, 2020</w:t>
      </w:r>
      <w:r w:rsidRPr="00BF5CE2">
        <w:rPr>
          <w:rFonts w:cstheme="minorHAnsi"/>
          <w:i/>
          <w:iCs/>
          <w:color w:val="222222"/>
          <w:sz w:val="16"/>
          <w:szCs w:val="16"/>
          <w:shd w:val="clear" w:color="auto" w:fill="FFFFFF"/>
        </w:rPr>
        <w:t>.</w:t>
      </w:r>
    </w:p>
  </w:footnote>
  <w:footnote w:id="22">
    <w:p w14:paraId="01357EF0" w14:textId="418F521D" w:rsidR="004A0947" w:rsidRPr="00364347" w:rsidRDefault="004A0947"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22" w:history="1">
        <w:r w:rsidRPr="00364347">
          <w:rPr>
            <w:rStyle w:val="Hyperlink"/>
            <w:i/>
            <w:iCs/>
            <w:sz w:val="16"/>
            <w:szCs w:val="16"/>
            <w:lang w:val="en-PH"/>
          </w:rPr>
          <w:t>https://fred.stlouisfed.org/series/UMCSENT</w:t>
        </w:r>
      </w:hyperlink>
      <w:r w:rsidRPr="00364347">
        <w:rPr>
          <w:i/>
          <w:iCs/>
          <w:sz w:val="16"/>
          <w:szCs w:val="16"/>
          <w:lang w:val="en-PH"/>
        </w:rPr>
        <w:t>, May 2, 2020.</w:t>
      </w:r>
    </w:p>
    <w:p w14:paraId="10C86738" w14:textId="29101548" w:rsidR="004A0947" w:rsidRDefault="004A0947">
      <w:pPr>
        <w:pStyle w:val="FootnoteText"/>
      </w:pPr>
    </w:p>
  </w:footnote>
  <w:footnote w:id="23">
    <w:p w14:paraId="3E58D959" w14:textId="29B7CBB2" w:rsidR="004A0947" w:rsidRPr="00364347" w:rsidRDefault="004A0947">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23" w:history="1">
        <w:r w:rsidRPr="00364347">
          <w:rPr>
            <w:rStyle w:val="Hyperlink"/>
            <w:i/>
            <w:iCs/>
            <w:sz w:val="16"/>
            <w:szCs w:val="16"/>
          </w:rPr>
          <w:t>https://fred.stlouisfed.org/series/VIXCLS</w:t>
        </w:r>
      </w:hyperlink>
      <w:r w:rsidRPr="00364347">
        <w:rPr>
          <w:i/>
          <w:iCs/>
          <w:sz w:val="16"/>
          <w:szCs w:val="16"/>
        </w:rPr>
        <w:t xml:space="preserve">, </w:t>
      </w:r>
      <w:r w:rsidR="00364347">
        <w:rPr>
          <w:i/>
          <w:iCs/>
          <w:sz w:val="16"/>
          <w:szCs w:val="16"/>
        </w:rPr>
        <w:t>May</w:t>
      </w:r>
      <w:r w:rsidRPr="00364347">
        <w:rPr>
          <w:i/>
          <w:iCs/>
          <w:sz w:val="16"/>
          <w:szCs w:val="16"/>
        </w:rPr>
        <w:t xml:space="preserve"> 2, 2020.</w:t>
      </w:r>
    </w:p>
  </w:footnote>
  <w:footnote w:id="24">
    <w:p w14:paraId="1CF53D3A" w14:textId="40107B6A" w:rsidR="004A0947" w:rsidRPr="00BF5CE2" w:rsidRDefault="004A0947">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24"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 xml:space="preserve">, </w:t>
      </w:r>
      <w:r w:rsidR="00364347">
        <w:rPr>
          <w:rFonts w:cstheme="minorHAnsi"/>
          <w:i/>
          <w:iCs/>
          <w:color w:val="222222"/>
          <w:sz w:val="16"/>
          <w:szCs w:val="16"/>
          <w:shd w:val="clear" w:color="auto" w:fill="FFFFFF"/>
        </w:rPr>
        <w:t>May</w:t>
      </w:r>
      <w:r>
        <w:rPr>
          <w:rFonts w:cstheme="minorHAnsi"/>
          <w:i/>
          <w:iCs/>
          <w:color w:val="222222"/>
          <w:sz w:val="16"/>
          <w:szCs w:val="16"/>
          <w:shd w:val="clear" w:color="auto" w:fill="FFFFFF"/>
        </w:rPr>
        <w:t xml:space="preserve"> 2, 2020</w:t>
      </w:r>
      <w:r w:rsidRPr="002B29C7">
        <w:rPr>
          <w:rFonts w:cstheme="minorHAnsi"/>
          <w:i/>
          <w:iCs/>
          <w:color w:val="222222"/>
          <w:sz w:val="16"/>
          <w:szCs w:val="16"/>
          <w:shd w:val="clear" w:color="auto" w:fill="FFFFFF"/>
        </w:rPr>
        <w:t>.</w:t>
      </w:r>
    </w:p>
  </w:footnote>
  <w:footnote w:id="25">
    <w:p w14:paraId="054982F6" w14:textId="08420338" w:rsidR="004A0947" w:rsidRPr="005D3CEF" w:rsidRDefault="004A0947">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25"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sidR="00364347">
        <w:rPr>
          <w:rFonts w:cstheme="minorHAnsi"/>
          <w:i/>
          <w:iCs/>
          <w:color w:val="222222"/>
          <w:sz w:val="16"/>
          <w:szCs w:val="16"/>
          <w:shd w:val="clear" w:color="auto" w:fill="FFFFFF"/>
        </w:rPr>
        <w:t>May</w:t>
      </w:r>
      <w:r w:rsidRPr="00364347">
        <w:rPr>
          <w:rFonts w:cstheme="minorHAnsi"/>
          <w:i/>
          <w:iCs/>
          <w:color w:val="222222"/>
          <w:sz w:val="16"/>
          <w:szCs w:val="16"/>
          <w:shd w:val="clear" w:color="auto" w:fill="FFFFFF"/>
        </w:rPr>
        <w:t xml:space="preserve"> 2, 2020.</w:t>
      </w:r>
    </w:p>
  </w:footnote>
  <w:footnote w:id="26">
    <w:p w14:paraId="4A7DBD07" w14:textId="048F2DA2" w:rsidR="004A0947" w:rsidRPr="00E72196" w:rsidRDefault="004A0947" w:rsidP="00111974">
      <w:pPr>
        <w:pStyle w:val="FootnoteText"/>
        <w:ind w:left="720" w:hanging="720"/>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 [UNRATECTM],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26"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sidR="00364347">
        <w:rPr>
          <w:rFonts w:cstheme="minorHAnsi"/>
          <w:i/>
          <w:iCs/>
          <w:color w:val="222222"/>
          <w:sz w:val="16"/>
          <w:szCs w:val="16"/>
          <w:shd w:val="clear" w:color="auto" w:fill="FFFFFF"/>
        </w:rPr>
        <w:t>May</w:t>
      </w:r>
      <w:r>
        <w:rPr>
          <w:rFonts w:cstheme="minorHAnsi"/>
          <w:i/>
          <w:iCs/>
          <w:color w:val="222222"/>
          <w:sz w:val="16"/>
          <w:szCs w:val="16"/>
          <w:shd w:val="clear" w:color="auto" w:fill="FFFFFF"/>
        </w:rPr>
        <w:t xml:space="preserve"> 2, 2020</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D5FE7" w14:textId="77777777" w:rsidR="004A0947" w:rsidRPr="00460436" w:rsidRDefault="004A0947"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11"/>
    <w:rsid w:val="0000055B"/>
    <w:rsid w:val="000017CB"/>
    <w:rsid w:val="00005111"/>
    <w:rsid w:val="00014CBA"/>
    <w:rsid w:val="00021EA4"/>
    <w:rsid w:val="00022BB4"/>
    <w:rsid w:val="000248D0"/>
    <w:rsid w:val="00024E64"/>
    <w:rsid w:val="0002602B"/>
    <w:rsid w:val="0002760A"/>
    <w:rsid w:val="00027E1E"/>
    <w:rsid w:val="00030ECA"/>
    <w:rsid w:val="0003136B"/>
    <w:rsid w:val="000322F4"/>
    <w:rsid w:val="00033B75"/>
    <w:rsid w:val="00035810"/>
    <w:rsid w:val="00035F0C"/>
    <w:rsid w:val="0003611B"/>
    <w:rsid w:val="00046A04"/>
    <w:rsid w:val="00047034"/>
    <w:rsid w:val="00047E74"/>
    <w:rsid w:val="0005198D"/>
    <w:rsid w:val="00052F94"/>
    <w:rsid w:val="00053E46"/>
    <w:rsid w:val="0005726F"/>
    <w:rsid w:val="00057711"/>
    <w:rsid w:val="00060AA5"/>
    <w:rsid w:val="00061DAA"/>
    <w:rsid w:val="000644DB"/>
    <w:rsid w:val="000650B3"/>
    <w:rsid w:val="00065E14"/>
    <w:rsid w:val="00071875"/>
    <w:rsid w:val="00072C36"/>
    <w:rsid w:val="000738AD"/>
    <w:rsid w:val="00074123"/>
    <w:rsid w:val="000742F7"/>
    <w:rsid w:val="0007515A"/>
    <w:rsid w:val="00076850"/>
    <w:rsid w:val="000807FF"/>
    <w:rsid w:val="00084604"/>
    <w:rsid w:val="00084608"/>
    <w:rsid w:val="00084C45"/>
    <w:rsid w:val="000874E3"/>
    <w:rsid w:val="00090DA6"/>
    <w:rsid w:val="00093D9A"/>
    <w:rsid w:val="00093EF4"/>
    <w:rsid w:val="0009699C"/>
    <w:rsid w:val="000A0001"/>
    <w:rsid w:val="000A0FCA"/>
    <w:rsid w:val="000A1224"/>
    <w:rsid w:val="000A239B"/>
    <w:rsid w:val="000A3240"/>
    <w:rsid w:val="000A79DC"/>
    <w:rsid w:val="000B0583"/>
    <w:rsid w:val="000B0B86"/>
    <w:rsid w:val="000B42F9"/>
    <w:rsid w:val="000B4F85"/>
    <w:rsid w:val="000B5DA2"/>
    <w:rsid w:val="000B6EBB"/>
    <w:rsid w:val="000C1495"/>
    <w:rsid w:val="000C19DD"/>
    <w:rsid w:val="000C2E7D"/>
    <w:rsid w:val="000C6EEB"/>
    <w:rsid w:val="000C71C7"/>
    <w:rsid w:val="000D47AB"/>
    <w:rsid w:val="000D4973"/>
    <w:rsid w:val="000D5719"/>
    <w:rsid w:val="000D646D"/>
    <w:rsid w:val="000D7BDC"/>
    <w:rsid w:val="000E1BAA"/>
    <w:rsid w:val="000E3192"/>
    <w:rsid w:val="000E6A61"/>
    <w:rsid w:val="000F1648"/>
    <w:rsid w:val="000F4AC6"/>
    <w:rsid w:val="000F59FF"/>
    <w:rsid w:val="001009B9"/>
    <w:rsid w:val="00100DF8"/>
    <w:rsid w:val="00102080"/>
    <w:rsid w:val="0010260B"/>
    <w:rsid w:val="00105413"/>
    <w:rsid w:val="00107AB4"/>
    <w:rsid w:val="001116CA"/>
    <w:rsid w:val="00111974"/>
    <w:rsid w:val="00113C90"/>
    <w:rsid w:val="001149CD"/>
    <w:rsid w:val="00115717"/>
    <w:rsid w:val="00116B91"/>
    <w:rsid w:val="00117BB0"/>
    <w:rsid w:val="00121E2F"/>
    <w:rsid w:val="00122842"/>
    <w:rsid w:val="001235D8"/>
    <w:rsid w:val="001277B9"/>
    <w:rsid w:val="00130055"/>
    <w:rsid w:val="00131885"/>
    <w:rsid w:val="00134A21"/>
    <w:rsid w:val="00140712"/>
    <w:rsid w:val="00140763"/>
    <w:rsid w:val="00140FEE"/>
    <w:rsid w:val="001451F8"/>
    <w:rsid w:val="001460CC"/>
    <w:rsid w:val="001475FF"/>
    <w:rsid w:val="001511FF"/>
    <w:rsid w:val="001545F2"/>
    <w:rsid w:val="00155E88"/>
    <w:rsid w:val="00156FE4"/>
    <w:rsid w:val="0016088B"/>
    <w:rsid w:val="00163F37"/>
    <w:rsid w:val="0016688A"/>
    <w:rsid w:val="00166C08"/>
    <w:rsid w:val="00166F90"/>
    <w:rsid w:val="00171C8E"/>
    <w:rsid w:val="00172307"/>
    <w:rsid w:val="001737B6"/>
    <w:rsid w:val="001744C6"/>
    <w:rsid w:val="0017465F"/>
    <w:rsid w:val="00174B44"/>
    <w:rsid w:val="00174BCD"/>
    <w:rsid w:val="00174CC3"/>
    <w:rsid w:val="001756EC"/>
    <w:rsid w:val="0017576B"/>
    <w:rsid w:val="001773AA"/>
    <w:rsid w:val="0018096F"/>
    <w:rsid w:val="001819E6"/>
    <w:rsid w:val="00183B61"/>
    <w:rsid w:val="00186318"/>
    <w:rsid w:val="001868CB"/>
    <w:rsid w:val="00187669"/>
    <w:rsid w:val="00193436"/>
    <w:rsid w:val="00195B12"/>
    <w:rsid w:val="001A3FBA"/>
    <w:rsid w:val="001A4F9E"/>
    <w:rsid w:val="001A6C86"/>
    <w:rsid w:val="001B1490"/>
    <w:rsid w:val="001B4B76"/>
    <w:rsid w:val="001C0F2A"/>
    <w:rsid w:val="001C1070"/>
    <w:rsid w:val="001C14A1"/>
    <w:rsid w:val="001C2541"/>
    <w:rsid w:val="001C38B9"/>
    <w:rsid w:val="001C7617"/>
    <w:rsid w:val="001D7D8D"/>
    <w:rsid w:val="001E04F8"/>
    <w:rsid w:val="001E26E8"/>
    <w:rsid w:val="001E42A6"/>
    <w:rsid w:val="001E7445"/>
    <w:rsid w:val="001F4E3D"/>
    <w:rsid w:val="001F7970"/>
    <w:rsid w:val="0020145F"/>
    <w:rsid w:val="00204D9D"/>
    <w:rsid w:val="0021377C"/>
    <w:rsid w:val="00217AD5"/>
    <w:rsid w:val="002219B5"/>
    <w:rsid w:val="0022226D"/>
    <w:rsid w:val="002308A9"/>
    <w:rsid w:val="00230D29"/>
    <w:rsid w:val="00231FA3"/>
    <w:rsid w:val="00232336"/>
    <w:rsid w:val="00234F94"/>
    <w:rsid w:val="002361FB"/>
    <w:rsid w:val="00236B68"/>
    <w:rsid w:val="00237901"/>
    <w:rsid w:val="00237E71"/>
    <w:rsid w:val="002406D9"/>
    <w:rsid w:val="002435D7"/>
    <w:rsid w:val="00244C4D"/>
    <w:rsid w:val="00245903"/>
    <w:rsid w:val="002502D5"/>
    <w:rsid w:val="00250313"/>
    <w:rsid w:val="002516C6"/>
    <w:rsid w:val="002521FF"/>
    <w:rsid w:val="0025222E"/>
    <w:rsid w:val="00252A9B"/>
    <w:rsid w:val="00254176"/>
    <w:rsid w:val="00255530"/>
    <w:rsid w:val="00255C32"/>
    <w:rsid w:val="0025666D"/>
    <w:rsid w:val="00257944"/>
    <w:rsid w:val="002608F3"/>
    <w:rsid w:val="0026329B"/>
    <w:rsid w:val="00265131"/>
    <w:rsid w:val="0026599C"/>
    <w:rsid w:val="002731EF"/>
    <w:rsid w:val="002775DB"/>
    <w:rsid w:val="002817E1"/>
    <w:rsid w:val="0028237E"/>
    <w:rsid w:val="00285F67"/>
    <w:rsid w:val="00291763"/>
    <w:rsid w:val="00291FFB"/>
    <w:rsid w:val="00292B24"/>
    <w:rsid w:val="00296BEB"/>
    <w:rsid w:val="002972D2"/>
    <w:rsid w:val="002978F9"/>
    <w:rsid w:val="002A0B80"/>
    <w:rsid w:val="002A14C5"/>
    <w:rsid w:val="002A3CB2"/>
    <w:rsid w:val="002A45E8"/>
    <w:rsid w:val="002A764F"/>
    <w:rsid w:val="002B16D0"/>
    <w:rsid w:val="002B29C7"/>
    <w:rsid w:val="002B2BBA"/>
    <w:rsid w:val="002C0EC8"/>
    <w:rsid w:val="002C240B"/>
    <w:rsid w:val="002C3C67"/>
    <w:rsid w:val="002C429F"/>
    <w:rsid w:val="002C5E52"/>
    <w:rsid w:val="002C601A"/>
    <w:rsid w:val="002C69A4"/>
    <w:rsid w:val="002D5CC3"/>
    <w:rsid w:val="002E0DC9"/>
    <w:rsid w:val="002E2644"/>
    <w:rsid w:val="002E3213"/>
    <w:rsid w:val="002E3647"/>
    <w:rsid w:val="002E4494"/>
    <w:rsid w:val="002E58CF"/>
    <w:rsid w:val="002E6FDE"/>
    <w:rsid w:val="002E7ACF"/>
    <w:rsid w:val="002F0CDA"/>
    <w:rsid w:val="002F1660"/>
    <w:rsid w:val="002F1B2A"/>
    <w:rsid w:val="002F1B4B"/>
    <w:rsid w:val="002F1C7B"/>
    <w:rsid w:val="002F3682"/>
    <w:rsid w:val="002F3ADD"/>
    <w:rsid w:val="002F3CE6"/>
    <w:rsid w:val="002F6282"/>
    <w:rsid w:val="002F63F8"/>
    <w:rsid w:val="003028B3"/>
    <w:rsid w:val="00304B4E"/>
    <w:rsid w:val="00306B1D"/>
    <w:rsid w:val="003071CD"/>
    <w:rsid w:val="00307A87"/>
    <w:rsid w:val="0031179D"/>
    <w:rsid w:val="00311E77"/>
    <w:rsid w:val="00314985"/>
    <w:rsid w:val="00316CBD"/>
    <w:rsid w:val="00316E8F"/>
    <w:rsid w:val="00317448"/>
    <w:rsid w:val="003175DC"/>
    <w:rsid w:val="00321AA2"/>
    <w:rsid w:val="00322C58"/>
    <w:rsid w:val="0033052C"/>
    <w:rsid w:val="003316E9"/>
    <w:rsid w:val="00332197"/>
    <w:rsid w:val="00334DE4"/>
    <w:rsid w:val="00336F2C"/>
    <w:rsid w:val="003376CD"/>
    <w:rsid w:val="00337BD8"/>
    <w:rsid w:val="00340B8A"/>
    <w:rsid w:val="003414E7"/>
    <w:rsid w:val="003477B7"/>
    <w:rsid w:val="003479C3"/>
    <w:rsid w:val="00354195"/>
    <w:rsid w:val="0035542E"/>
    <w:rsid w:val="00360100"/>
    <w:rsid w:val="00362202"/>
    <w:rsid w:val="00363E78"/>
    <w:rsid w:val="00364347"/>
    <w:rsid w:val="003643F8"/>
    <w:rsid w:val="00371414"/>
    <w:rsid w:val="00372F3C"/>
    <w:rsid w:val="003802E7"/>
    <w:rsid w:val="003812D0"/>
    <w:rsid w:val="0038144F"/>
    <w:rsid w:val="00382C86"/>
    <w:rsid w:val="00386023"/>
    <w:rsid w:val="00387C82"/>
    <w:rsid w:val="0039196F"/>
    <w:rsid w:val="00392D01"/>
    <w:rsid w:val="00393B78"/>
    <w:rsid w:val="00394236"/>
    <w:rsid w:val="00395B3E"/>
    <w:rsid w:val="00396E51"/>
    <w:rsid w:val="0039736B"/>
    <w:rsid w:val="00397F57"/>
    <w:rsid w:val="003A0447"/>
    <w:rsid w:val="003A3D8A"/>
    <w:rsid w:val="003A4BCC"/>
    <w:rsid w:val="003A679B"/>
    <w:rsid w:val="003B0615"/>
    <w:rsid w:val="003B0B22"/>
    <w:rsid w:val="003B2BFB"/>
    <w:rsid w:val="003B4D22"/>
    <w:rsid w:val="003C1F24"/>
    <w:rsid w:val="003C4CAF"/>
    <w:rsid w:val="003D112A"/>
    <w:rsid w:val="003D3C51"/>
    <w:rsid w:val="003D4159"/>
    <w:rsid w:val="003E282E"/>
    <w:rsid w:val="003E3E2D"/>
    <w:rsid w:val="003E4ACB"/>
    <w:rsid w:val="003E5CFB"/>
    <w:rsid w:val="003F2FE7"/>
    <w:rsid w:val="003F5061"/>
    <w:rsid w:val="00401A65"/>
    <w:rsid w:val="0040211C"/>
    <w:rsid w:val="00403355"/>
    <w:rsid w:val="0040653A"/>
    <w:rsid w:val="0041138E"/>
    <w:rsid w:val="00411404"/>
    <w:rsid w:val="00411A4C"/>
    <w:rsid w:val="004134F4"/>
    <w:rsid w:val="00413EE3"/>
    <w:rsid w:val="00421F60"/>
    <w:rsid w:val="0042476E"/>
    <w:rsid w:val="00424E74"/>
    <w:rsid w:val="00427110"/>
    <w:rsid w:val="0042719D"/>
    <w:rsid w:val="0043016A"/>
    <w:rsid w:val="00440FEB"/>
    <w:rsid w:val="00442163"/>
    <w:rsid w:val="00442BF6"/>
    <w:rsid w:val="00443A15"/>
    <w:rsid w:val="00446C08"/>
    <w:rsid w:val="004476DE"/>
    <w:rsid w:val="00447E7F"/>
    <w:rsid w:val="004506CC"/>
    <w:rsid w:val="0045095D"/>
    <w:rsid w:val="0045097E"/>
    <w:rsid w:val="004513EB"/>
    <w:rsid w:val="00451755"/>
    <w:rsid w:val="00453708"/>
    <w:rsid w:val="00454F4B"/>
    <w:rsid w:val="0045550A"/>
    <w:rsid w:val="00457E1D"/>
    <w:rsid w:val="00460436"/>
    <w:rsid w:val="00460DE2"/>
    <w:rsid w:val="00460E43"/>
    <w:rsid w:val="00463560"/>
    <w:rsid w:val="00466861"/>
    <w:rsid w:val="00467AB1"/>
    <w:rsid w:val="004709B0"/>
    <w:rsid w:val="004759DB"/>
    <w:rsid w:val="004778D8"/>
    <w:rsid w:val="00490AFD"/>
    <w:rsid w:val="00491B4B"/>
    <w:rsid w:val="00493CF1"/>
    <w:rsid w:val="004965CE"/>
    <w:rsid w:val="00496E13"/>
    <w:rsid w:val="004A0649"/>
    <w:rsid w:val="004A0947"/>
    <w:rsid w:val="004A0ABB"/>
    <w:rsid w:val="004A4BD1"/>
    <w:rsid w:val="004B047B"/>
    <w:rsid w:val="004B2BFB"/>
    <w:rsid w:val="004B3923"/>
    <w:rsid w:val="004B3B5E"/>
    <w:rsid w:val="004B6D7A"/>
    <w:rsid w:val="004B7D92"/>
    <w:rsid w:val="004C20AB"/>
    <w:rsid w:val="004C587A"/>
    <w:rsid w:val="004C6B76"/>
    <w:rsid w:val="004D0515"/>
    <w:rsid w:val="004D099A"/>
    <w:rsid w:val="004D1C9D"/>
    <w:rsid w:val="004D1DA4"/>
    <w:rsid w:val="004E2AB3"/>
    <w:rsid w:val="004E2C09"/>
    <w:rsid w:val="004E3393"/>
    <w:rsid w:val="004E4A45"/>
    <w:rsid w:val="004E4B6F"/>
    <w:rsid w:val="004E5EC0"/>
    <w:rsid w:val="004E7265"/>
    <w:rsid w:val="004F1527"/>
    <w:rsid w:val="004F330B"/>
    <w:rsid w:val="004F3ADA"/>
    <w:rsid w:val="004F55C9"/>
    <w:rsid w:val="004F67A9"/>
    <w:rsid w:val="004F73C7"/>
    <w:rsid w:val="00504F45"/>
    <w:rsid w:val="005117CA"/>
    <w:rsid w:val="005127D3"/>
    <w:rsid w:val="00515DB3"/>
    <w:rsid w:val="00515E9D"/>
    <w:rsid w:val="005200CA"/>
    <w:rsid w:val="0052077C"/>
    <w:rsid w:val="00521F1D"/>
    <w:rsid w:val="00525C1B"/>
    <w:rsid w:val="005261C1"/>
    <w:rsid w:val="00532A06"/>
    <w:rsid w:val="00536754"/>
    <w:rsid w:val="00536B00"/>
    <w:rsid w:val="005378C5"/>
    <w:rsid w:val="005425D7"/>
    <w:rsid w:val="00542F5A"/>
    <w:rsid w:val="00544623"/>
    <w:rsid w:val="005475F2"/>
    <w:rsid w:val="005505E5"/>
    <w:rsid w:val="00551864"/>
    <w:rsid w:val="00554121"/>
    <w:rsid w:val="005554F5"/>
    <w:rsid w:val="0055555A"/>
    <w:rsid w:val="00556EAD"/>
    <w:rsid w:val="00557239"/>
    <w:rsid w:val="00562B39"/>
    <w:rsid w:val="0056320C"/>
    <w:rsid w:val="005662B5"/>
    <w:rsid w:val="00570005"/>
    <w:rsid w:val="00570346"/>
    <w:rsid w:val="00571BD4"/>
    <w:rsid w:val="00572F03"/>
    <w:rsid w:val="005734C4"/>
    <w:rsid w:val="00575923"/>
    <w:rsid w:val="00576484"/>
    <w:rsid w:val="00576E9B"/>
    <w:rsid w:val="005779B7"/>
    <w:rsid w:val="00577C8E"/>
    <w:rsid w:val="005807C6"/>
    <w:rsid w:val="00580F92"/>
    <w:rsid w:val="005828F0"/>
    <w:rsid w:val="00583BEE"/>
    <w:rsid w:val="00587C5A"/>
    <w:rsid w:val="00590322"/>
    <w:rsid w:val="005917C1"/>
    <w:rsid w:val="00594B4A"/>
    <w:rsid w:val="005954B1"/>
    <w:rsid w:val="005A693F"/>
    <w:rsid w:val="005B1168"/>
    <w:rsid w:val="005B1ACA"/>
    <w:rsid w:val="005B40E5"/>
    <w:rsid w:val="005C021F"/>
    <w:rsid w:val="005C0A6E"/>
    <w:rsid w:val="005C0D2D"/>
    <w:rsid w:val="005C2215"/>
    <w:rsid w:val="005C493F"/>
    <w:rsid w:val="005C532B"/>
    <w:rsid w:val="005C6CD5"/>
    <w:rsid w:val="005C771E"/>
    <w:rsid w:val="005D06C9"/>
    <w:rsid w:val="005D1E0A"/>
    <w:rsid w:val="005D1E7F"/>
    <w:rsid w:val="005D3CEF"/>
    <w:rsid w:val="005D43B8"/>
    <w:rsid w:val="005D5553"/>
    <w:rsid w:val="005E19C2"/>
    <w:rsid w:val="005E306A"/>
    <w:rsid w:val="005E3622"/>
    <w:rsid w:val="005E56AE"/>
    <w:rsid w:val="005E67EF"/>
    <w:rsid w:val="005E797B"/>
    <w:rsid w:val="005E7A94"/>
    <w:rsid w:val="005F07E9"/>
    <w:rsid w:val="005F1D7F"/>
    <w:rsid w:val="005F5744"/>
    <w:rsid w:val="006055F4"/>
    <w:rsid w:val="006068F7"/>
    <w:rsid w:val="0061080D"/>
    <w:rsid w:val="00610894"/>
    <w:rsid w:val="0061200D"/>
    <w:rsid w:val="006130EE"/>
    <w:rsid w:val="00615B70"/>
    <w:rsid w:val="006167DB"/>
    <w:rsid w:val="00620094"/>
    <w:rsid w:val="00621173"/>
    <w:rsid w:val="0062162D"/>
    <w:rsid w:val="00623672"/>
    <w:rsid w:val="00624AEF"/>
    <w:rsid w:val="0062659E"/>
    <w:rsid w:val="00626DAC"/>
    <w:rsid w:val="00627C19"/>
    <w:rsid w:val="00627DE7"/>
    <w:rsid w:val="00631555"/>
    <w:rsid w:val="006342D9"/>
    <w:rsid w:val="00634658"/>
    <w:rsid w:val="00634787"/>
    <w:rsid w:val="00640C9C"/>
    <w:rsid w:val="00640DD5"/>
    <w:rsid w:val="00643797"/>
    <w:rsid w:val="006439EA"/>
    <w:rsid w:val="00643FBF"/>
    <w:rsid w:val="006451FA"/>
    <w:rsid w:val="0064538F"/>
    <w:rsid w:val="00650430"/>
    <w:rsid w:val="00650582"/>
    <w:rsid w:val="00651AC2"/>
    <w:rsid w:val="00654B02"/>
    <w:rsid w:val="006553D1"/>
    <w:rsid w:val="006575D2"/>
    <w:rsid w:val="00657642"/>
    <w:rsid w:val="00660A13"/>
    <w:rsid w:val="00660C8A"/>
    <w:rsid w:val="006646E8"/>
    <w:rsid w:val="006663D0"/>
    <w:rsid w:val="00670FB1"/>
    <w:rsid w:val="0067215A"/>
    <w:rsid w:val="006748EE"/>
    <w:rsid w:val="00675F26"/>
    <w:rsid w:val="00682B7E"/>
    <w:rsid w:val="00690C93"/>
    <w:rsid w:val="00691D14"/>
    <w:rsid w:val="00694624"/>
    <w:rsid w:val="00695441"/>
    <w:rsid w:val="00695980"/>
    <w:rsid w:val="006970E9"/>
    <w:rsid w:val="006A0819"/>
    <w:rsid w:val="006A114D"/>
    <w:rsid w:val="006A5321"/>
    <w:rsid w:val="006A62EE"/>
    <w:rsid w:val="006A6BFF"/>
    <w:rsid w:val="006B394A"/>
    <w:rsid w:val="006C08FA"/>
    <w:rsid w:val="006C28D8"/>
    <w:rsid w:val="006C7116"/>
    <w:rsid w:val="006D2660"/>
    <w:rsid w:val="006D3877"/>
    <w:rsid w:val="006D4E8F"/>
    <w:rsid w:val="006D518C"/>
    <w:rsid w:val="006D579F"/>
    <w:rsid w:val="006E0830"/>
    <w:rsid w:val="006E4B4F"/>
    <w:rsid w:val="006E5760"/>
    <w:rsid w:val="006E608A"/>
    <w:rsid w:val="006E69A7"/>
    <w:rsid w:val="006F060A"/>
    <w:rsid w:val="006F3E36"/>
    <w:rsid w:val="006F4DB7"/>
    <w:rsid w:val="006F6733"/>
    <w:rsid w:val="006F7FB2"/>
    <w:rsid w:val="00700166"/>
    <w:rsid w:val="00701D95"/>
    <w:rsid w:val="00703D80"/>
    <w:rsid w:val="007062B8"/>
    <w:rsid w:val="007102D3"/>
    <w:rsid w:val="007110AF"/>
    <w:rsid w:val="00714B74"/>
    <w:rsid w:val="0072697B"/>
    <w:rsid w:val="00730C3D"/>
    <w:rsid w:val="007329E1"/>
    <w:rsid w:val="0073598E"/>
    <w:rsid w:val="007361CC"/>
    <w:rsid w:val="00740863"/>
    <w:rsid w:val="0074137C"/>
    <w:rsid w:val="00741DA8"/>
    <w:rsid w:val="00742E84"/>
    <w:rsid w:val="00743683"/>
    <w:rsid w:val="0075479C"/>
    <w:rsid w:val="00756248"/>
    <w:rsid w:val="00756A49"/>
    <w:rsid w:val="007602B9"/>
    <w:rsid w:val="00761D36"/>
    <w:rsid w:val="0076272C"/>
    <w:rsid w:val="007635CE"/>
    <w:rsid w:val="0076678E"/>
    <w:rsid w:val="0076717F"/>
    <w:rsid w:val="0077027E"/>
    <w:rsid w:val="00770759"/>
    <w:rsid w:val="007736DF"/>
    <w:rsid w:val="00773AC4"/>
    <w:rsid w:val="00773B5B"/>
    <w:rsid w:val="00773E0E"/>
    <w:rsid w:val="007807DE"/>
    <w:rsid w:val="00782F5F"/>
    <w:rsid w:val="0078488C"/>
    <w:rsid w:val="00791F5C"/>
    <w:rsid w:val="007929DB"/>
    <w:rsid w:val="00792E5D"/>
    <w:rsid w:val="00795569"/>
    <w:rsid w:val="0079609A"/>
    <w:rsid w:val="007A0574"/>
    <w:rsid w:val="007A0E93"/>
    <w:rsid w:val="007A5255"/>
    <w:rsid w:val="007A770A"/>
    <w:rsid w:val="007A7FCF"/>
    <w:rsid w:val="007B0C0E"/>
    <w:rsid w:val="007B178B"/>
    <w:rsid w:val="007B3A9E"/>
    <w:rsid w:val="007B5780"/>
    <w:rsid w:val="007B7D73"/>
    <w:rsid w:val="007C1E79"/>
    <w:rsid w:val="007C4944"/>
    <w:rsid w:val="007C54CB"/>
    <w:rsid w:val="007D4FF9"/>
    <w:rsid w:val="007E3ED3"/>
    <w:rsid w:val="007E5B14"/>
    <w:rsid w:val="007E76B7"/>
    <w:rsid w:val="007F04AE"/>
    <w:rsid w:val="007F1968"/>
    <w:rsid w:val="007F34A5"/>
    <w:rsid w:val="007F590E"/>
    <w:rsid w:val="007F5A38"/>
    <w:rsid w:val="007F5D12"/>
    <w:rsid w:val="007F67C3"/>
    <w:rsid w:val="0080028D"/>
    <w:rsid w:val="0080052B"/>
    <w:rsid w:val="00805C12"/>
    <w:rsid w:val="0080666E"/>
    <w:rsid w:val="00811606"/>
    <w:rsid w:val="00811FA7"/>
    <w:rsid w:val="008129B2"/>
    <w:rsid w:val="00813396"/>
    <w:rsid w:val="008155BA"/>
    <w:rsid w:val="008162B7"/>
    <w:rsid w:val="00816313"/>
    <w:rsid w:val="00816C0F"/>
    <w:rsid w:val="00822897"/>
    <w:rsid w:val="00823A4E"/>
    <w:rsid w:val="00823E2B"/>
    <w:rsid w:val="00826AE7"/>
    <w:rsid w:val="008339F4"/>
    <w:rsid w:val="00833A07"/>
    <w:rsid w:val="00835434"/>
    <w:rsid w:val="00836176"/>
    <w:rsid w:val="00837DF2"/>
    <w:rsid w:val="00842094"/>
    <w:rsid w:val="0084463F"/>
    <w:rsid w:val="0084528D"/>
    <w:rsid w:val="00850A64"/>
    <w:rsid w:val="00855A46"/>
    <w:rsid w:val="008564EA"/>
    <w:rsid w:val="00857079"/>
    <w:rsid w:val="00860631"/>
    <w:rsid w:val="008636F9"/>
    <w:rsid w:val="00865CE8"/>
    <w:rsid w:val="008664EB"/>
    <w:rsid w:val="00870469"/>
    <w:rsid w:val="00873466"/>
    <w:rsid w:val="00874DE9"/>
    <w:rsid w:val="00875F25"/>
    <w:rsid w:val="0087715C"/>
    <w:rsid w:val="00877D3C"/>
    <w:rsid w:val="00882E60"/>
    <w:rsid w:val="008845A9"/>
    <w:rsid w:val="008860FC"/>
    <w:rsid w:val="00886D3A"/>
    <w:rsid w:val="008874C1"/>
    <w:rsid w:val="00890513"/>
    <w:rsid w:val="0089070C"/>
    <w:rsid w:val="00890B68"/>
    <w:rsid w:val="0089260E"/>
    <w:rsid w:val="00892D49"/>
    <w:rsid w:val="008932A3"/>
    <w:rsid w:val="00893CB8"/>
    <w:rsid w:val="00894FB2"/>
    <w:rsid w:val="00895BD8"/>
    <w:rsid w:val="0089655B"/>
    <w:rsid w:val="008972D1"/>
    <w:rsid w:val="00897BC8"/>
    <w:rsid w:val="008A0838"/>
    <w:rsid w:val="008A13E7"/>
    <w:rsid w:val="008A3F35"/>
    <w:rsid w:val="008A581A"/>
    <w:rsid w:val="008A5F7F"/>
    <w:rsid w:val="008A63E2"/>
    <w:rsid w:val="008A6630"/>
    <w:rsid w:val="008A6DB9"/>
    <w:rsid w:val="008A7D83"/>
    <w:rsid w:val="008B0154"/>
    <w:rsid w:val="008B1963"/>
    <w:rsid w:val="008B20D0"/>
    <w:rsid w:val="008B24F2"/>
    <w:rsid w:val="008B2769"/>
    <w:rsid w:val="008B37F0"/>
    <w:rsid w:val="008B3E4E"/>
    <w:rsid w:val="008B4702"/>
    <w:rsid w:val="008B65B4"/>
    <w:rsid w:val="008C0F54"/>
    <w:rsid w:val="008C1C56"/>
    <w:rsid w:val="008C5503"/>
    <w:rsid w:val="008C5726"/>
    <w:rsid w:val="008C798A"/>
    <w:rsid w:val="008D1C86"/>
    <w:rsid w:val="008D6371"/>
    <w:rsid w:val="008E1296"/>
    <w:rsid w:val="008E270A"/>
    <w:rsid w:val="008E72E3"/>
    <w:rsid w:val="008F4B7D"/>
    <w:rsid w:val="008F4B82"/>
    <w:rsid w:val="009130AF"/>
    <w:rsid w:val="00913825"/>
    <w:rsid w:val="009141C1"/>
    <w:rsid w:val="009148CA"/>
    <w:rsid w:val="00914EA8"/>
    <w:rsid w:val="0091664E"/>
    <w:rsid w:val="009169A4"/>
    <w:rsid w:val="009170B7"/>
    <w:rsid w:val="00920236"/>
    <w:rsid w:val="009219D9"/>
    <w:rsid w:val="0092472D"/>
    <w:rsid w:val="00925F58"/>
    <w:rsid w:val="009262AA"/>
    <w:rsid w:val="00926438"/>
    <w:rsid w:val="009323CA"/>
    <w:rsid w:val="00932DD8"/>
    <w:rsid w:val="00933213"/>
    <w:rsid w:val="00933E80"/>
    <w:rsid w:val="009343D3"/>
    <w:rsid w:val="00937D2C"/>
    <w:rsid w:val="009411C1"/>
    <w:rsid w:val="00942366"/>
    <w:rsid w:val="00943329"/>
    <w:rsid w:val="00943ED3"/>
    <w:rsid w:val="009445E7"/>
    <w:rsid w:val="0094654A"/>
    <w:rsid w:val="0094736B"/>
    <w:rsid w:val="0095004D"/>
    <w:rsid w:val="009515AA"/>
    <w:rsid w:val="00951DAA"/>
    <w:rsid w:val="009524D9"/>
    <w:rsid w:val="00952AF7"/>
    <w:rsid w:val="00953DDB"/>
    <w:rsid w:val="00955094"/>
    <w:rsid w:val="00960B49"/>
    <w:rsid w:val="009648C3"/>
    <w:rsid w:val="00964DD4"/>
    <w:rsid w:val="009669F1"/>
    <w:rsid w:val="0096732C"/>
    <w:rsid w:val="009675A9"/>
    <w:rsid w:val="009714E6"/>
    <w:rsid w:val="00971553"/>
    <w:rsid w:val="009717A1"/>
    <w:rsid w:val="009774D1"/>
    <w:rsid w:val="00977737"/>
    <w:rsid w:val="00981C70"/>
    <w:rsid w:val="00982B60"/>
    <w:rsid w:val="009878F0"/>
    <w:rsid w:val="00987AB7"/>
    <w:rsid w:val="00987FB6"/>
    <w:rsid w:val="00992467"/>
    <w:rsid w:val="009972A2"/>
    <w:rsid w:val="0099783F"/>
    <w:rsid w:val="009A0B29"/>
    <w:rsid w:val="009A106A"/>
    <w:rsid w:val="009A13D9"/>
    <w:rsid w:val="009A1711"/>
    <w:rsid w:val="009A181B"/>
    <w:rsid w:val="009A36DD"/>
    <w:rsid w:val="009B1B6B"/>
    <w:rsid w:val="009B2A0E"/>
    <w:rsid w:val="009B5606"/>
    <w:rsid w:val="009B603A"/>
    <w:rsid w:val="009B7956"/>
    <w:rsid w:val="009C0945"/>
    <w:rsid w:val="009C0F33"/>
    <w:rsid w:val="009C1E6B"/>
    <w:rsid w:val="009C4651"/>
    <w:rsid w:val="009C5CDE"/>
    <w:rsid w:val="009C74AB"/>
    <w:rsid w:val="009D26B5"/>
    <w:rsid w:val="009D5A7B"/>
    <w:rsid w:val="009E013E"/>
    <w:rsid w:val="009E4A2E"/>
    <w:rsid w:val="009E4D8D"/>
    <w:rsid w:val="009E6453"/>
    <w:rsid w:val="009F1C9C"/>
    <w:rsid w:val="009F272A"/>
    <w:rsid w:val="009F3181"/>
    <w:rsid w:val="009F6EB6"/>
    <w:rsid w:val="009F790B"/>
    <w:rsid w:val="00A04AD3"/>
    <w:rsid w:val="00A073CB"/>
    <w:rsid w:val="00A07D5A"/>
    <w:rsid w:val="00A11CAC"/>
    <w:rsid w:val="00A14CD4"/>
    <w:rsid w:val="00A223EC"/>
    <w:rsid w:val="00A262DF"/>
    <w:rsid w:val="00A2684A"/>
    <w:rsid w:val="00A27EB6"/>
    <w:rsid w:val="00A325AB"/>
    <w:rsid w:val="00A41316"/>
    <w:rsid w:val="00A45F59"/>
    <w:rsid w:val="00A5218C"/>
    <w:rsid w:val="00A52469"/>
    <w:rsid w:val="00A52E02"/>
    <w:rsid w:val="00A57EA4"/>
    <w:rsid w:val="00A60213"/>
    <w:rsid w:val="00A615E8"/>
    <w:rsid w:val="00A61C0E"/>
    <w:rsid w:val="00A645D8"/>
    <w:rsid w:val="00A670FB"/>
    <w:rsid w:val="00A72343"/>
    <w:rsid w:val="00A730DC"/>
    <w:rsid w:val="00A75687"/>
    <w:rsid w:val="00A76F02"/>
    <w:rsid w:val="00A77399"/>
    <w:rsid w:val="00A77981"/>
    <w:rsid w:val="00A82B9E"/>
    <w:rsid w:val="00A841DE"/>
    <w:rsid w:val="00A8559D"/>
    <w:rsid w:val="00A931A3"/>
    <w:rsid w:val="00A9408A"/>
    <w:rsid w:val="00A96795"/>
    <w:rsid w:val="00A96A6A"/>
    <w:rsid w:val="00A96E27"/>
    <w:rsid w:val="00AA1DAF"/>
    <w:rsid w:val="00AA2E90"/>
    <w:rsid w:val="00AA37BC"/>
    <w:rsid w:val="00AA651C"/>
    <w:rsid w:val="00AA7A1B"/>
    <w:rsid w:val="00AB498D"/>
    <w:rsid w:val="00AB4C96"/>
    <w:rsid w:val="00AB5122"/>
    <w:rsid w:val="00AB6E43"/>
    <w:rsid w:val="00AB6F46"/>
    <w:rsid w:val="00AB7603"/>
    <w:rsid w:val="00AC45F1"/>
    <w:rsid w:val="00AC6BB2"/>
    <w:rsid w:val="00AD0524"/>
    <w:rsid w:val="00AE306C"/>
    <w:rsid w:val="00AE3402"/>
    <w:rsid w:val="00AE3668"/>
    <w:rsid w:val="00AE64EF"/>
    <w:rsid w:val="00AE7215"/>
    <w:rsid w:val="00AF2763"/>
    <w:rsid w:val="00AF2BA7"/>
    <w:rsid w:val="00AF6040"/>
    <w:rsid w:val="00AF653C"/>
    <w:rsid w:val="00AF7938"/>
    <w:rsid w:val="00B0030B"/>
    <w:rsid w:val="00B00681"/>
    <w:rsid w:val="00B00A5E"/>
    <w:rsid w:val="00B00E83"/>
    <w:rsid w:val="00B0395F"/>
    <w:rsid w:val="00B064A0"/>
    <w:rsid w:val="00B071DB"/>
    <w:rsid w:val="00B135D7"/>
    <w:rsid w:val="00B1388C"/>
    <w:rsid w:val="00B13FE9"/>
    <w:rsid w:val="00B162CD"/>
    <w:rsid w:val="00B23279"/>
    <w:rsid w:val="00B2585A"/>
    <w:rsid w:val="00B25898"/>
    <w:rsid w:val="00B25B77"/>
    <w:rsid w:val="00B2629D"/>
    <w:rsid w:val="00B31011"/>
    <w:rsid w:val="00B316F7"/>
    <w:rsid w:val="00B370B2"/>
    <w:rsid w:val="00B401C1"/>
    <w:rsid w:val="00B40456"/>
    <w:rsid w:val="00B40AF8"/>
    <w:rsid w:val="00B426C6"/>
    <w:rsid w:val="00B432FD"/>
    <w:rsid w:val="00B44219"/>
    <w:rsid w:val="00B45F40"/>
    <w:rsid w:val="00B524BD"/>
    <w:rsid w:val="00B53037"/>
    <w:rsid w:val="00B5315D"/>
    <w:rsid w:val="00B60178"/>
    <w:rsid w:val="00B60EC4"/>
    <w:rsid w:val="00B650A2"/>
    <w:rsid w:val="00B65667"/>
    <w:rsid w:val="00B66CC0"/>
    <w:rsid w:val="00B7053E"/>
    <w:rsid w:val="00B71FC4"/>
    <w:rsid w:val="00B748E1"/>
    <w:rsid w:val="00B767AE"/>
    <w:rsid w:val="00B76D6D"/>
    <w:rsid w:val="00B80D2B"/>
    <w:rsid w:val="00B82B8B"/>
    <w:rsid w:val="00B84330"/>
    <w:rsid w:val="00B875CA"/>
    <w:rsid w:val="00B87F2A"/>
    <w:rsid w:val="00B94E68"/>
    <w:rsid w:val="00B97C78"/>
    <w:rsid w:val="00BA05F4"/>
    <w:rsid w:val="00BA13A5"/>
    <w:rsid w:val="00BA5F96"/>
    <w:rsid w:val="00BA7A2C"/>
    <w:rsid w:val="00BB096A"/>
    <w:rsid w:val="00BB142E"/>
    <w:rsid w:val="00BB24FD"/>
    <w:rsid w:val="00BB34CA"/>
    <w:rsid w:val="00BB3B00"/>
    <w:rsid w:val="00BB3B04"/>
    <w:rsid w:val="00BB5FF4"/>
    <w:rsid w:val="00BC00A7"/>
    <w:rsid w:val="00BC4BE2"/>
    <w:rsid w:val="00BC6211"/>
    <w:rsid w:val="00BC7E45"/>
    <w:rsid w:val="00BD0BA8"/>
    <w:rsid w:val="00BD1AF4"/>
    <w:rsid w:val="00BD32FB"/>
    <w:rsid w:val="00BD3693"/>
    <w:rsid w:val="00BD7CA7"/>
    <w:rsid w:val="00BE3AB7"/>
    <w:rsid w:val="00BE41AA"/>
    <w:rsid w:val="00BE4FA9"/>
    <w:rsid w:val="00BE7F85"/>
    <w:rsid w:val="00BF33EF"/>
    <w:rsid w:val="00BF363C"/>
    <w:rsid w:val="00BF5CE2"/>
    <w:rsid w:val="00C01B26"/>
    <w:rsid w:val="00C01B39"/>
    <w:rsid w:val="00C01ECD"/>
    <w:rsid w:val="00C02783"/>
    <w:rsid w:val="00C04D0B"/>
    <w:rsid w:val="00C05052"/>
    <w:rsid w:val="00C07579"/>
    <w:rsid w:val="00C12EFE"/>
    <w:rsid w:val="00C14310"/>
    <w:rsid w:val="00C1528C"/>
    <w:rsid w:val="00C17C3A"/>
    <w:rsid w:val="00C228CA"/>
    <w:rsid w:val="00C22EE7"/>
    <w:rsid w:val="00C253A1"/>
    <w:rsid w:val="00C27776"/>
    <w:rsid w:val="00C27961"/>
    <w:rsid w:val="00C27E06"/>
    <w:rsid w:val="00C35B2B"/>
    <w:rsid w:val="00C36857"/>
    <w:rsid w:val="00C40E95"/>
    <w:rsid w:val="00C41006"/>
    <w:rsid w:val="00C45B53"/>
    <w:rsid w:val="00C4790A"/>
    <w:rsid w:val="00C47DFF"/>
    <w:rsid w:val="00C50538"/>
    <w:rsid w:val="00C56AE3"/>
    <w:rsid w:val="00C66CC9"/>
    <w:rsid w:val="00C70F5B"/>
    <w:rsid w:val="00C737DC"/>
    <w:rsid w:val="00C742C8"/>
    <w:rsid w:val="00C828B0"/>
    <w:rsid w:val="00C83561"/>
    <w:rsid w:val="00C84709"/>
    <w:rsid w:val="00C879D3"/>
    <w:rsid w:val="00C90043"/>
    <w:rsid w:val="00C90C6F"/>
    <w:rsid w:val="00C91D90"/>
    <w:rsid w:val="00C91F35"/>
    <w:rsid w:val="00C9379B"/>
    <w:rsid w:val="00C937ED"/>
    <w:rsid w:val="00C94CE9"/>
    <w:rsid w:val="00C9694F"/>
    <w:rsid w:val="00CA07E7"/>
    <w:rsid w:val="00CA112C"/>
    <w:rsid w:val="00CA2DA3"/>
    <w:rsid w:val="00CA2F0C"/>
    <w:rsid w:val="00CA4851"/>
    <w:rsid w:val="00CA74AC"/>
    <w:rsid w:val="00CB0612"/>
    <w:rsid w:val="00CB10F1"/>
    <w:rsid w:val="00CB1375"/>
    <w:rsid w:val="00CB2772"/>
    <w:rsid w:val="00CB60B6"/>
    <w:rsid w:val="00CB629F"/>
    <w:rsid w:val="00CB6A6E"/>
    <w:rsid w:val="00CB6EF4"/>
    <w:rsid w:val="00CC118C"/>
    <w:rsid w:val="00CC1A11"/>
    <w:rsid w:val="00CC1BC1"/>
    <w:rsid w:val="00CC6B03"/>
    <w:rsid w:val="00CD0AEC"/>
    <w:rsid w:val="00CD10EB"/>
    <w:rsid w:val="00CD1E76"/>
    <w:rsid w:val="00CD2441"/>
    <w:rsid w:val="00CD3C44"/>
    <w:rsid w:val="00CD3F6E"/>
    <w:rsid w:val="00CD4B81"/>
    <w:rsid w:val="00CD643D"/>
    <w:rsid w:val="00CE2A21"/>
    <w:rsid w:val="00CE3F54"/>
    <w:rsid w:val="00CE3F8F"/>
    <w:rsid w:val="00CE4A3E"/>
    <w:rsid w:val="00CE6CB2"/>
    <w:rsid w:val="00CF06AE"/>
    <w:rsid w:val="00CF10AF"/>
    <w:rsid w:val="00CF3496"/>
    <w:rsid w:val="00CF4274"/>
    <w:rsid w:val="00CF5A27"/>
    <w:rsid w:val="00CF5CE8"/>
    <w:rsid w:val="00D01E9D"/>
    <w:rsid w:val="00D02679"/>
    <w:rsid w:val="00D0278F"/>
    <w:rsid w:val="00D038EC"/>
    <w:rsid w:val="00D03F0F"/>
    <w:rsid w:val="00D20BA9"/>
    <w:rsid w:val="00D22BFC"/>
    <w:rsid w:val="00D24C85"/>
    <w:rsid w:val="00D325EC"/>
    <w:rsid w:val="00D3650D"/>
    <w:rsid w:val="00D36CBD"/>
    <w:rsid w:val="00D377A4"/>
    <w:rsid w:val="00D42A9D"/>
    <w:rsid w:val="00D44971"/>
    <w:rsid w:val="00D501BC"/>
    <w:rsid w:val="00D54945"/>
    <w:rsid w:val="00D55969"/>
    <w:rsid w:val="00D5786C"/>
    <w:rsid w:val="00D57C94"/>
    <w:rsid w:val="00D57F60"/>
    <w:rsid w:val="00D6175A"/>
    <w:rsid w:val="00D644B7"/>
    <w:rsid w:val="00D647F2"/>
    <w:rsid w:val="00D651FB"/>
    <w:rsid w:val="00D67485"/>
    <w:rsid w:val="00D7058E"/>
    <w:rsid w:val="00D708F8"/>
    <w:rsid w:val="00D70F48"/>
    <w:rsid w:val="00D74F6D"/>
    <w:rsid w:val="00D75AA6"/>
    <w:rsid w:val="00D76538"/>
    <w:rsid w:val="00D76D32"/>
    <w:rsid w:val="00D80300"/>
    <w:rsid w:val="00D839AA"/>
    <w:rsid w:val="00D848EE"/>
    <w:rsid w:val="00D851AB"/>
    <w:rsid w:val="00D92313"/>
    <w:rsid w:val="00D928C8"/>
    <w:rsid w:val="00D93550"/>
    <w:rsid w:val="00D9587F"/>
    <w:rsid w:val="00DA23B0"/>
    <w:rsid w:val="00DA394E"/>
    <w:rsid w:val="00DA3959"/>
    <w:rsid w:val="00DA5A96"/>
    <w:rsid w:val="00DB12EF"/>
    <w:rsid w:val="00DB663A"/>
    <w:rsid w:val="00DC072B"/>
    <w:rsid w:val="00DC1920"/>
    <w:rsid w:val="00DC79F9"/>
    <w:rsid w:val="00DD1D52"/>
    <w:rsid w:val="00DD257B"/>
    <w:rsid w:val="00DE2554"/>
    <w:rsid w:val="00DE61F3"/>
    <w:rsid w:val="00DE7623"/>
    <w:rsid w:val="00DF482B"/>
    <w:rsid w:val="00DF67C7"/>
    <w:rsid w:val="00E04D6B"/>
    <w:rsid w:val="00E13679"/>
    <w:rsid w:val="00E14E12"/>
    <w:rsid w:val="00E171BC"/>
    <w:rsid w:val="00E2212C"/>
    <w:rsid w:val="00E2306A"/>
    <w:rsid w:val="00E24F81"/>
    <w:rsid w:val="00E2557A"/>
    <w:rsid w:val="00E2559D"/>
    <w:rsid w:val="00E27261"/>
    <w:rsid w:val="00E274D8"/>
    <w:rsid w:val="00E36C66"/>
    <w:rsid w:val="00E37A8F"/>
    <w:rsid w:val="00E4247E"/>
    <w:rsid w:val="00E42B68"/>
    <w:rsid w:val="00E43703"/>
    <w:rsid w:val="00E43C26"/>
    <w:rsid w:val="00E43FA8"/>
    <w:rsid w:val="00E44639"/>
    <w:rsid w:val="00E46AEC"/>
    <w:rsid w:val="00E46CEA"/>
    <w:rsid w:val="00E4702E"/>
    <w:rsid w:val="00E47A9A"/>
    <w:rsid w:val="00E50993"/>
    <w:rsid w:val="00E516F3"/>
    <w:rsid w:val="00E528F7"/>
    <w:rsid w:val="00E55684"/>
    <w:rsid w:val="00E602D0"/>
    <w:rsid w:val="00E603C8"/>
    <w:rsid w:val="00E64EB9"/>
    <w:rsid w:val="00E64F4D"/>
    <w:rsid w:val="00E6613F"/>
    <w:rsid w:val="00E6770F"/>
    <w:rsid w:val="00E71440"/>
    <w:rsid w:val="00E72196"/>
    <w:rsid w:val="00E72615"/>
    <w:rsid w:val="00E736EF"/>
    <w:rsid w:val="00E742C0"/>
    <w:rsid w:val="00E753C8"/>
    <w:rsid w:val="00E75858"/>
    <w:rsid w:val="00E75ECD"/>
    <w:rsid w:val="00E76F05"/>
    <w:rsid w:val="00E848E3"/>
    <w:rsid w:val="00E86A90"/>
    <w:rsid w:val="00E9112A"/>
    <w:rsid w:val="00E94C91"/>
    <w:rsid w:val="00E976A2"/>
    <w:rsid w:val="00E97CBF"/>
    <w:rsid w:val="00EA58FE"/>
    <w:rsid w:val="00EA6897"/>
    <w:rsid w:val="00EA6EF0"/>
    <w:rsid w:val="00EB0855"/>
    <w:rsid w:val="00EB3490"/>
    <w:rsid w:val="00EB4F0F"/>
    <w:rsid w:val="00EC41C3"/>
    <w:rsid w:val="00EC7DBC"/>
    <w:rsid w:val="00EC7F7D"/>
    <w:rsid w:val="00ED2780"/>
    <w:rsid w:val="00ED3258"/>
    <w:rsid w:val="00ED3491"/>
    <w:rsid w:val="00ED6446"/>
    <w:rsid w:val="00ED688E"/>
    <w:rsid w:val="00EE18B8"/>
    <w:rsid w:val="00EE2870"/>
    <w:rsid w:val="00EE48CC"/>
    <w:rsid w:val="00EE617F"/>
    <w:rsid w:val="00EF008E"/>
    <w:rsid w:val="00EF1834"/>
    <w:rsid w:val="00EF1A73"/>
    <w:rsid w:val="00EF589B"/>
    <w:rsid w:val="00EF66C8"/>
    <w:rsid w:val="00EF6CF6"/>
    <w:rsid w:val="00F02B3A"/>
    <w:rsid w:val="00F03302"/>
    <w:rsid w:val="00F03716"/>
    <w:rsid w:val="00F048C4"/>
    <w:rsid w:val="00F11B2B"/>
    <w:rsid w:val="00F14BBD"/>
    <w:rsid w:val="00F205E9"/>
    <w:rsid w:val="00F20F1B"/>
    <w:rsid w:val="00F24605"/>
    <w:rsid w:val="00F253B2"/>
    <w:rsid w:val="00F25470"/>
    <w:rsid w:val="00F27237"/>
    <w:rsid w:val="00F2792C"/>
    <w:rsid w:val="00F27E28"/>
    <w:rsid w:val="00F307A2"/>
    <w:rsid w:val="00F3248D"/>
    <w:rsid w:val="00F32C8E"/>
    <w:rsid w:val="00F333DD"/>
    <w:rsid w:val="00F34226"/>
    <w:rsid w:val="00F3628D"/>
    <w:rsid w:val="00F36E82"/>
    <w:rsid w:val="00F404DF"/>
    <w:rsid w:val="00F417FC"/>
    <w:rsid w:val="00F424B0"/>
    <w:rsid w:val="00F43F3B"/>
    <w:rsid w:val="00F44A8F"/>
    <w:rsid w:val="00F546BC"/>
    <w:rsid w:val="00F60507"/>
    <w:rsid w:val="00F60736"/>
    <w:rsid w:val="00F63839"/>
    <w:rsid w:val="00F6459B"/>
    <w:rsid w:val="00F66FF2"/>
    <w:rsid w:val="00F67FB8"/>
    <w:rsid w:val="00F7139A"/>
    <w:rsid w:val="00F71D53"/>
    <w:rsid w:val="00F72052"/>
    <w:rsid w:val="00F74174"/>
    <w:rsid w:val="00F75079"/>
    <w:rsid w:val="00F76A99"/>
    <w:rsid w:val="00F77FAF"/>
    <w:rsid w:val="00F80395"/>
    <w:rsid w:val="00F81F49"/>
    <w:rsid w:val="00F8456D"/>
    <w:rsid w:val="00F8763E"/>
    <w:rsid w:val="00F90D02"/>
    <w:rsid w:val="00F92FD1"/>
    <w:rsid w:val="00F93467"/>
    <w:rsid w:val="00F94484"/>
    <w:rsid w:val="00F96716"/>
    <w:rsid w:val="00F97AF0"/>
    <w:rsid w:val="00F97E01"/>
    <w:rsid w:val="00FA283E"/>
    <w:rsid w:val="00FB02AC"/>
    <w:rsid w:val="00FB0F9F"/>
    <w:rsid w:val="00FB4C93"/>
    <w:rsid w:val="00FB7EF9"/>
    <w:rsid w:val="00FC013E"/>
    <w:rsid w:val="00FC2844"/>
    <w:rsid w:val="00FC293A"/>
    <w:rsid w:val="00FC3BE2"/>
    <w:rsid w:val="00FC4EEE"/>
    <w:rsid w:val="00FD0160"/>
    <w:rsid w:val="00FD23DE"/>
    <w:rsid w:val="00FD2C77"/>
    <w:rsid w:val="00FD3700"/>
    <w:rsid w:val="00FD4516"/>
    <w:rsid w:val="00FD4C3E"/>
    <w:rsid w:val="00FD6E1A"/>
    <w:rsid w:val="00FE0A5A"/>
    <w:rsid w:val="00FE184D"/>
    <w:rsid w:val="00FE3845"/>
    <w:rsid w:val="00FE4D42"/>
    <w:rsid w:val="00FE5113"/>
    <w:rsid w:val="00FE5B60"/>
    <w:rsid w:val="00FE6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basedOn w:val="Normal"/>
    <w:link w:val="FootnoteTextChar"/>
    <w:uiPriority w:val="99"/>
    <w:semiHidden/>
    <w:unhideWhenUsed/>
    <w:rsid w:val="00D64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semiHidden/>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styleId="UnresolvedMention">
    <w:name w:val="Unresolved Mention"/>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eader" Target="header1.xml"/><Relationship Id="rId45"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agnifi.com"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fred.stlouisfed.org/series/DGS10" TargetMode="External"/><Relationship Id="rId13" Type="http://schemas.openxmlformats.org/officeDocument/2006/relationships/hyperlink" Target="https://fred.stlouisfed.org/series/CPIAUCSL" TargetMode="External"/><Relationship Id="rId18" Type="http://schemas.openxmlformats.org/officeDocument/2006/relationships/hyperlink" Target="https://fred.stlouisfed.org/series/MORTGAGE30US" TargetMode="External"/><Relationship Id="rId26" Type="http://schemas.openxmlformats.org/officeDocument/2006/relationships/hyperlink" Target="https://fred.stlouisfed.org/series/UNRATECTM" TargetMode="External"/><Relationship Id="rId3" Type="http://schemas.openxmlformats.org/officeDocument/2006/relationships/hyperlink" Target="https://fred.stlouisfed.org/series/DTWEXBGS" TargetMode="External"/><Relationship Id="rId21" Type="http://schemas.openxmlformats.org/officeDocument/2006/relationships/hyperlink" Target="https://fred.stlouisfed.org/series/ALTSALES" TargetMode="External"/><Relationship Id="rId7" Type="http://schemas.openxmlformats.org/officeDocument/2006/relationships/hyperlink" Target="https://fred.stlouisfed.org/series/FEDFUNDS" TargetMode="External"/><Relationship Id="rId12" Type="http://schemas.openxmlformats.org/officeDocument/2006/relationships/hyperlink" Target="https://fred.stlouisfed.org/series/CCSA" TargetMode="External"/><Relationship Id="rId17" Type="http://schemas.openxmlformats.org/officeDocument/2006/relationships/hyperlink" Target="https://fred.stlouisfed.org/series/HOUST" TargetMode="External"/><Relationship Id="rId25" Type="http://schemas.openxmlformats.org/officeDocument/2006/relationships/hyperlink" Target="https://fred.stlouisfed.org/series/PCECTPICTM" TargetMode="External"/><Relationship Id="rId2" Type="http://schemas.openxmlformats.org/officeDocument/2006/relationships/hyperlink" Target="https://www.philadelphiafed.org/-/media/research-and-data/regional-economy/indexes/coincident/2020/coincidentindexes0320.pdf" TargetMode="External"/><Relationship Id="rId16" Type="http://schemas.openxmlformats.org/officeDocument/2006/relationships/hyperlink" Target="https://fred.stlouisfed.org/series/MCOILWTICO" TargetMode="External"/><Relationship Id="rId20" Type="http://schemas.openxmlformats.org/officeDocument/2006/relationships/hyperlink" Target="https://fred.stlouisfed.org/series/PCE" TargetMode="External"/><Relationship Id="rId1" Type="http://schemas.openxmlformats.org/officeDocument/2006/relationships/hyperlink" Target="https://usafacts.org/visualizations/coronavirus-covid-19-spread-map/" TargetMode="External"/><Relationship Id="rId6" Type="http://schemas.openxmlformats.org/officeDocument/2006/relationships/hyperlink" Target="https://fred.stlouisfed.org/release/tables?rid=18&amp;eid=289&amp;od=2020-03-31" TargetMode="External"/><Relationship Id="rId11" Type="http://schemas.openxmlformats.org/officeDocument/2006/relationships/hyperlink" Target="https://fred.stlouisfed.org/series/UNRATE" TargetMode="External"/><Relationship Id="rId24" Type="http://schemas.openxmlformats.org/officeDocument/2006/relationships/hyperlink" Target="https://fred.stlouisfed.org/series/GDPC1CTM" TargetMode="External"/><Relationship Id="rId5" Type="http://schemas.openxmlformats.org/officeDocument/2006/relationships/hyperlink" Target="https://fred.stlouisfed.org/series/INDPRO" TargetMode="External"/><Relationship Id="rId15" Type="http://schemas.openxmlformats.org/officeDocument/2006/relationships/hyperlink" Target="https://fred.stlouisfed.org/series/PPIACO" TargetMode="External"/><Relationship Id="rId23" Type="http://schemas.openxmlformats.org/officeDocument/2006/relationships/hyperlink" Target="https://fred.stlouisfed.org/series/VIXCLS" TargetMode="External"/><Relationship Id="rId10" Type="http://schemas.openxmlformats.org/officeDocument/2006/relationships/hyperlink" Target="https://fred.stlouisfed.org/series/PAYEMS" TargetMode="External"/><Relationship Id="rId19" Type="http://schemas.openxmlformats.org/officeDocument/2006/relationships/hyperlink" Target="https://fred.stlouisfed.org/series/SPCS20RSA" TargetMode="External"/><Relationship Id="rId4" Type="http://schemas.openxmlformats.org/officeDocument/2006/relationships/hyperlink" Target="https://fred.stlouisfed.org/series/GDPC1" TargetMode="External"/><Relationship Id="rId9" Type="http://schemas.openxmlformats.org/officeDocument/2006/relationships/hyperlink" Target="https://fred.stlouisfed.org/series/BAA" TargetMode="External"/><Relationship Id="rId14" Type="http://schemas.openxmlformats.org/officeDocument/2006/relationships/hyperlink" Target="https://www.newyorkfed.org/microeconomics/sce" TargetMode="External"/><Relationship Id="rId22" Type="http://schemas.openxmlformats.org/officeDocument/2006/relationships/hyperlink" Target="https://fred.stlouisfed.org/series/UMCS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05164E-6263-4801-A7E1-886751CD1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21</Pages>
  <Words>3058</Words>
  <Characters>17434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20452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12</cp:revision>
  <cp:lastPrinted>2020-05-05T15:58:00Z</cp:lastPrinted>
  <dcterms:created xsi:type="dcterms:W3CDTF">2020-05-05T10:27:00Z</dcterms:created>
  <dcterms:modified xsi:type="dcterms:W3CDTF">2020-05-06T10:22:00Z</dcterms:modified>
</cp:coreProperties>
</file>