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77777777" w:rsidR="006663D0" w:rsidRDefault="006663D0" w:rsidP="002E6FDE">
          <w:pPr>
            <w:jc w:val="right"/>
          </w:pPr>
        </w:p>
        <w:p w14:paraId="61E7189B" w14:textId="134D415B" w:rsidR="006663D0" w:rsidRDefault="006663D0" w:rsidP="002E6FDE">
          <w:pPr>
            <w:jc w:val="right"/>
          </w:pPr>
          <w:r w:rsidRPr="006663D0">
            <w:rPr>
              <w:noProof/>
            </w:rPr>
            <w:drawing>
              <wp:inline distT="0" distB="0" distL="0" distR="0" wp14:anchorId="34B25528" wp14:editId="20A044F1">
                <wp:extent cx="5943600" cy="44570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065"/>
                        </a:xfrm>
                        <a:prstGeom prst="rect">
                          <a:avLst/>
                        </a:prstGeom>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18D7F3F7" w:rsidR="006663D0" w:rsidRDefault="006663D0" w:rsidP="002E6FDE">
          <w:pPr>
            <w:jc w:val="right"/>
            <w:rPr>
              <w:sz w:val="36"/>
              <w:szCs w:val="36"/>
            </w:rPr>
          </w:pPr>
          <w:r w:rsidRPr="006663D0">
            <w:rPr>
              <w:sz w:val="36"/>
              <w:szCs w:val="36"/>
            </w:rPr>
            <w:t xml:space="preserve">For the </w:t>
          </w:r>
          <w:r w:rsidR="00176C00">
            <w:rPr>
              <w:sz w:val="36"/>
              <w:szCs w:val="36"/>
            </w:rPr>
            <w:t>2</w:t>
          </w:r>
          <w:r w:rsidR="00176C00" w:rsidRPr="00176C00">
            <w:rPr>
              <w:sz w:val="36"/>
              <w:szCs w:val="36"/>
              <w:vertAlign w:val="superscript"/>
            </w:rPr>
            <w:t>nd</w:t>
          </w:r>
          <w:r w:rsidRPr="006663D0">
            <w:rPr>
              <w:sz w:val="36"/>
              <w:szCs w:val="36"/>
            </w:rPr>
            <w:t xml:space="preserve"> Quarter of 2020</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31C4F5C0" w14:textId="772CF92C" w:rsidR="00BD3FA1" w:rsidRPr="00EB1C37" w:rsidRDefault="003071CD" w:rsidP="00BD3FA1">
      <w:r w:rsidRPr="00EB1C37">
        <w:t xml:space="preserve">In the </w:t>
      </w:r>
      <w:r w:rsidR="00176C00" w:rsidRPr="00EB1C37">
        <w:t>2</w:t>
      </w:r>
      <w:r w:rsidR="00176C00" w:rsidRPr="00EB1C37">
        <w:rPr>
          <w:vertAlign w:val="superscript"/>
        </w:rPr>
        <w:t>nd</w:t>
      </w:r>
      <w:r w:rsidR="00176C00" w:rsidRPr="00EB1C37">
        <w:t xml:space="preserve"> </w:t>
      </w:r>
      <w:r w:rsidRPr="00EB1C37">
        <w:t xml:space="preserve">quarter of 2020, the </w:t>
      </w:r>
      <w:r w:rsidR="00494933">
        <w:t xml:space="preserve">U.S. economy faced </w:t>
      </w:r>
      <w:r w:rsidR="00176C00" w:rsidRPr="00EB1C37">
        <w:t xml:space="preserve">devastation </w:t>
      </w:r>
      <w:r w:rsidR="00494933">
        <w:t>due to</w:t>
      </w:r>
      <w:r w:rsidR="00176C00" w:rsidRPr="00EB1C37">
        <w:t xml:space="preserve"> the COVID-19 pandemic</w:t>
      </w:r>
      <w:r w:rsidR="00610140" w:rsidRPr="00EB1C37">
        <w:t xml:space="preserve">, then began to rebound as strict public health measures </w:t>
      </w:r>
      <w:r w:rsidR="00562791">
        <w:t>were relaxed</w:t>
      </w:r>
      <w:r w:rsidR="00610140" w:rsidRPr="00EB1C37">
        <w:t xml:space="preserve"> after </w:t>
      </w:r>
      <w:r w:rsidR="00494933">
        <w:t xml:space="preserve">their </w:t>
      </w:r>
      <w:r w:rsidR="00610140" w:rsidRPr="00EB1C37">
        <w:t>initial succes</w:t>
      </w:r>
      <w:r w:rsidR="00494933">
        <w:t>s</w:t>
      </w:r>
      <w:r w:rsidRPr="00EB1C37">
        <w:t xml:space="preserve">. </w:t>
      </w:r>
      <w:r w:rsidR="00BD3FA1" w:rsidRPr="00BD3FA1">
        <w:t xml:space="preserve">In late April, states began easing the emergency restrictions on in-person gathering and nonessential business instituted in March to slow the spread of COVID-19. </w:t>
      </w:r>
      <w:r w:rsidR="00BD3FA1" w:rsidRPr="00EB1C37">
        <w:t xml:space="preserve">In some areas of the country, a resurgence in new COVID-19 infections forced renewed public-health restrictions </w:t>
      </w:r>
      <w:r w:rsidR="00BD3FA1">
        <w:t>by late June,</w:t>
      </w:r>
      <w:r w:rsidR="00BD3FA1" w:rsidRPr="00EB1C37">
        <w:t xml:space="preserve"> cast</w:t>
      </w:r>
      <w:r w:rsidR="00BD3FA1">
        <w:t>ing</w:t>
      </w:r>
      <w:r w:rsidR="00BD3FA1" w:rsidRPr="00EB1C37">
        <w:t xml:space="preserve"> uncertainty over the stability of the economic recovery.</w:t>
      </w:r>
    </w:p>
    <w:p w14:paraId="19CE6CB1" w14:textId="67DC35E8" w:rsidR="00BD3FA1" w:rsidRDefault="00494933" w:rsidP="00005111">
      <w:r>
        <w:t xml:space="preserve">Pandemic-induced constraints on nonessential activity </w:t>
      </w:r>
      <w:r w:rsidR="003071CD" w:rsidRPr="00EB1C37">
        <w:t xml:space="preserve">began to seriously impact the </w:t>
      </w:r>
      <w:r w:rsidR="004A0947" w:rsidRPr="00EB1C37">
        <w:t>world</w:t>
      </w:r>
      <w:r w:rsidR="003071CD" w:rsidRPr="00EB1C37">
        <w:t xml:space="preserve"> economy </w:t>
      </w:r>
      <w:r w:rsidR="004A0947" w:rsidRPr="00EB1C37">
        <w:t xml:space="preserve">in </w:t>
      </w:r>
      <w:r w:rsidR="00283D6F" w:rsidRPr="00EB1C37">
        <w:t>the 1</w:t>
      </w:r>
      <w:r w:rsidR="00283D6F" w:rsidRPr="00EB1C37">
        <w:rPr>
          <w:vertAlign w:val="superscript"/>
        </w:rPr>
        <w:t>st</w:t>
      </w:r>
      <w:r w:rsidR="00283D6F" w:rsidRPr="00EB1C37">
        <w:t xml:space="preserve"> quarter</w:t>
      </w:r>
      <w:r w:rsidR="004A0947" w:rsidRPr="00EB1C37">
        <w:t>.</w:t>
      </w:r>
      <w:r w:rsidR="00283D6F" w:rsidRPr="00EB1C37">
        <w:t xml:space="preserve"> </w:t>
      </w:r>
      <w:r w:rsidR="006A01A0">
        <w:t>A recession was declared in the U.S., marking February as the peak of an economic expansion that lasted 128 months from its beginning in June 2009.</w:t>
      </w:r>
      <w:r w:rsidR="00562791">
        <w:t xml:space="preserve"> </w:t>
      </w:r>
      <w:r w:rsidR="006A01A0">
        <w:t>T</w:t>
      </w:r>
      <w:r w:rsidR="00283D6F" w:rsidRPr="00EB1C37">
        <w:t xml:space="preserve">he </w:t>
      </w:r>
      <w:r w:rsidR="006A01A0">
        <w:t xml:space="preserve">national </w:t>
      </w:r>
      <w:r w:rsidR="00283D6F" w:rsidRPr="00EB1C37">
        <w:t xml:space="preserve">economic effects </w:t>
      </w:r>
      <w:r w:rsidR="006A01A0">
        <w:t xml:space="preserve">of COVID-19 </w:t>
      </w:r>
      <w:r w:rsidR="00283D6F" w:rsidRPr="00EB1C37">
        <w:t>reached an apex in April as unemployment rose to an all-time recorded high</w:t>
      </w:r>
      <w:r>
        <w:t xml:space="preserve">. </w:t>
      </w:r>
      <w:r w:rsidR="00F44A8F" w:rsidRPr="00EB1C37">
        <w:t>GDP</w:t>
      </w:r>
      <w:r w:rsidR="00283D6F" w:rsidRPr="00EB1C37">
        <w:t xml:space="preserve"> and consumer spending fell at their most rapid </w:t>
      </w:r>
      <w:r w:rsidR="004907DA" w:rsidRPr="00EB1C37">
        <w:t>documented</w:t>
      </w:r>
      <w:r w:rsidR="00283D6F" w:rsidRPr="00EB1C37">
        <w:t xml:space="preserve"> rates</w:t>
      </w:r>
      <w:r w:rsidR="004907DA">
        <w:t>,</w:t>
      </w:r>
      <w:r w:rsidR="00BD3FA1">
        <w:t xml:space="preserve"> despite </w:t>
      </w:r>
      <w:r w:rsidR="00A14CD4" w:rsidRPr="00EB1C37">
        <w:t>government</w:t>
      </w:r>
      <w:r w:rsidR="00BD3FA1">
        <w:t xml:space="preserve"> and</w:t>
      </w:r>
      <w:r w:rsidR="00A14CD4" w:rsidRPr="00EB1C37">
        <w:t xml:space="preserve"> central bank measures to </w:t>
      </w:r>
      <w:r w:rsidR="00283D6F" w:rsidRPr="00EB1C37">
        <w:t>cushion</w:t>
      </w:r>
      <w:r w:rsidR="00A14CD4" w:rsidRPr="00EB1C37">
        <w:t xml:space="preserve"> the fallout.</w:t>
      </w:r>
      <w:r w:rsidR="003A390C">
        <w:t xml:space="preserve"> </w:t>
      </w:r>
      <w:r w:rsidR="003A390C" w:rsidRPr="00EB1C37">
        <w:t xml:space="preserve">Most economic measures </w:t>
      </w:r>
      <w:r w:rsidR="003A390C">
        <w:t xml:space="preserve">began to </w:t>
      </w:r>
      <w:r w:rsidR="003A390C" w:rsidRPr="00EB1C37">
        <w:t xml:space="preserve">recuperate in May and June, but </w:t>
      </w:r>
      <w:r w:rsidR="003A390C">
        <w:t>at the end of the 2</w:t>
      </w:r>
      <w:r w:rsidR="003A390C" w:rsidRPr="00BD3FA1">
        <w:rPr>
          <w:vertAlign w:val="superscript"/>
        </w:rPr>
        <w:t>nd</w:t>
      </w:r>
      <w:r w:rsidR="003A390C">
        <w:t xml:space="preserve"> quarter, </w:t>
      </w:r>
      <w:r w:rsidR="003A390C" w:rsidRPr="00EB1C37">
        <w:t>the U.S. economy remained far less robust than before the pandemic.</w:t>
      </w:r>
    </w:p>
    <w:p w14:paraId="1DC53C15" w14:textId="7A537961" w:rsidR="001E26E8" w:rsidRDefault="001E26E8" w:rsidP="001E26E8">
      <w:r w:rsidRPr="00445A11">
        <w:t xml:space="preserve">By the end of the </w:t>
      </w:r>
      <w:r w:rsidR="00EB1C37" w:rsidRPr="00445A11">
        <w:t>2</w:t>
      </w:r>
      <w:r w:rsidR="00EB1C37" w:rsidRPr="00445A11">
        <w:rPr>
          <w:vertAlign w:val="superscript"/>
        </w:rPr>
        <w:t>nd</w:t>
      </w:r>
      <w:r w:rsidR="00EB1C37" w:rsidRPr="00445A11">
        <w:t xml:space="preserve"> </w:t>
      </w:r>
      <w:r w:rsidRPr="00445A11">
        <w:t xml:space="preserve">quarter of 2020, </w:t>
      </w:r>
      <w:r w:rsidR="00153FBB" w:rsidRPr="00445A11">
        <w:t>2,6</w:t>
      </w:r>
      <w:r w:rsidR="009F2830" w:rsidRPr="00445A11">
        <w:t>18</w:t>
      </w:r>
      <w:r w:rsidR="00153FBB" w:rsidRPr="00445A11">
        <w:t>,</w:t>
      </w:r>
      <w:r w:rsidR="009F2830" w:rsidRPr="00445A11">
        <w:t>817</w:t>
      </w:r>
      <w:r w:rsidRPr="00445A11">
        <w:t xml:space="preserve"> cases and </w:t>
      </w:r>
      <w:r w:rsidR="009F2830" w:rsidRPr="00445A11">
        <w:t>126</w:t>
      </w:r>
      <w:r w:rsidRPr="00445A11">
        <w:t>,</w:t>
      </w:r>
      <w:r w:rsidR="009F2830" w:rsidRPr="00445A11">
        <w:t>623</w:t>
      </w:r>
      <w:r w:rsidRPr="00445A11">
        <w:t xml:space="preserve"> deaths had been reported </w:t>
      </w:r>
      <w:r w:rsidR="00AF306C">
        <w:t xml:space="preserve">in the U.S. </w:t>
      </w:r>
      <w:r w:rsidRPr="00445A11">
        <w:t>from COVID-19</w:t>
      </w:r>
      <w:r w:rsidRPr="00445A11">
        <w:rPr>
          <w:rStyle w:val="FootnoteReference"/>
        </w:rPr>
        <w:footnoteReference w:id="1"/>
      </w:r>
      <w:r w:rsidRPr="00445A11">
        <w:t xml:space="preserve">. The viral disease has continued to spread exponentially, and as of </w:t>
      </w:r>
      <w:r w:rsidR="009F2830" w:rsidRPr="00445A11">
        <w:t>July 31</w:t>
      </w:r>
      <w:r w:rsidRPr="00445A11">
        <w:t xml:space="preserve">, 2020 there were </w:t>
      </w:r>
      <w:r w:rsidR="009F2830" w:rsidRPr="00445A11">
        <w:t>4</w:t>
      </w:r>
      <w:r w:rsidRPr="00445A11">
        <w:t>,</w:t>
      </w:r>
      <w:r w:rsidR="009F2830" w:rsidRPr="00445A11">
        <w:t>527</w:t>
      </w:r>
      <w:r w:rsidRPr="00445A11">
        <w:t>,</w:t>
      </w:r>
      <w:r w:rsidR="009F2830" w:rsidRPr="00445A11">
        <w:t>542</w:t>
      </w:r>
      <w:r w:rsidRPr="00445A11">
        <w:t xml:space="preserve"> confirmed cases and </w:t>
      </w:r>
      <w:r w:rsidR="009F2830" w:rsidRPr="00445A11">
        <w:t>152,119</w:t>
      </w:r>
      <w:r w:rsidRPr="00445A11">
        <w:t xml:space="preserve"> related deaths in the U.S. </w:t>
      </w:r>
    </w:p>
    <w:p w14:paraId="329EC1A7" w14:textId="122E0079" w:rsidR="001E26E8" w:rsidRDefault="001E26E8" w:rsidP="001E26E8">
      <w:r>
        <w:t>Below is a summary timeline of COVID-19 events in the U.S.</w:t>
      </w:r>
      <w:r w:rsidR="003A390C">
        <w:t xml:space="preserve"> during the 2</w:t>
      </w:r>
      <w:r w:rsidR="003A390C" w:rsidRPr="003A390C">
        <w:rPr>
          <w:vertAlign w:val="superscript"/>
        </w:rPr>
        <w:t>nd</w:t>
      </w:r>
      <w:r w:rsidR="003A390C">
        <w:t xml:space="preserve"> quarter of 2020</w:t>
      </w:r>
      <w:r>
        <w:t>:</w:t>
      </w:r>
    </w:p>
    <w:tbl>
      <w:tblPr>
        <w:tblStyle w:val="GridTable3-Accent1"/>
        <w:tblW w:w="0" w:type="auto"/>
        <w:tblLook w:val="0400" w:firstRow="0" w:lastRow="0" w:firstColumn="0" w:lastColumn="0" w:noHBand="0" w:noVBand="1"/>
      </w:tblPr>
      <w:tblGrid>
        <w:gridCol w:w="1975"/>
        <w:gridCol w:w="7375"/>
      </w:tblGrid>
      <w:tr w:rsidR="001E26E8" w:rsidRPr="005D1E7F" w14:paraId="217DAEB7"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514E8364" w14:textId="77777777" w:rsidR="001E26E8" w:rsidRPr="005D1E7F" w:rsidRDefault="001E26E8" w:rsidP="00D22D6A">
            <w:r w:rsidRPr="005D1E7F">
              <w:t>April 2, 2020</w:t>
            </w:r>
          </w:p>
        </w:tc>
        <w:tc>
          <w:tcPr>
            <w:tcW w:w="7375" w:type="dxa"/>
          </w:tcPr>
          <w:p w14:paraId="4C137509" w14:textId="77777777" w:rsidR="001E26E8" w:rsidRPr="005D1E7F" w:rsidRDefault="001E26E8" w:rsidP="00D22D6A">
            <w:r w:rsidRPr="005D1E7F">
              <w:t>Confirmed COVID-19 cases total more than 1 million worldwide</w:t>
            </w:r>
          </w:p>
        </w:tc>
      </w:tr>
      <w:tr w:rsidR="001E26E8" w:rsidRPr="005D1E7F" w14:paraId="07F511A0" w14:textId="77777777" w:rsidTr="00617E5C">
        <w:tc>
          <w:tcPr>
            <w:tcW w:w="1975" w:type="dxa"/>
          </w:tcPr>
          <w:p w14:paraId="6DA47127" w14:textId="77777777" w:rsidR="001E26E8" w:rsidRPr="005D1E7F" w:rsidRDefault="001E26E8" w:rsidP="00D22D6A">
            <w:r w:rsidRPr="005D1E7F">
              <w:t>April 3, 2020</w:t>
            </w:r>
          </w:p>
        </w:tc>
        <w:tc>
          <w:tcPr>
            <w:tcW w:w="7375" w:type="dxa"/>
          </w:tcPr>
          <w:p w14:paraId="5895DABB" w14:textId="6574E2BC" w:rsidR="001E26E8" w:rsidRPr="005D1E7F" w:rsidRDefault="001E26E8" w:rsidP="00D22D6A">
            <w:r w:rsidRPr="005D1E7F">
              <w:t>SBA Announces Paycheck Protection Program loans</w:t>
            </w:r>
          </w:p>
        </w:tc>
      </w:tr>
      <w:tr w:rsidR="001E26E8" w:rsidRPr="005D1E7F" w14:paraId="5B72A40F"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5FB1EADC" w14:textId="77777777" w:rsidR="001E26E8" w:rsidRPr="005D1E7F" w:rsidRDefault="001E26E8" w:rsidP="00D22D6A">
            <w:r w:rsidRPr="005D1E7F">
              <w:t>April 9, 2020</w:t>
            </w:r>
          </w:p>
        </w:tc>
        <w:tc>
          <w:tcPr>
            <w:tcW w:w="7375" w:type="dxa"/>
          </w:tcPr>
          <w:p w14:paraId="478BDB8E" w14:textId="77777777" w:rsidR="001E26E8" w:rsidRPr="005D1E7F" w:rsidRDefault="001E26E8" w:rsidP="00D22D6A">
            <w:r w:rsidRPr="005D1E7F">
              <w:t>Federal Reserve Announces $2.3 trillion in additional loans to support the economy</w:t>
            </w:r>
          </w:p>
        </w:tc>
      </w:tr>
      <w:tr w:rsidR="001E26E8" w:rsidRPr="005D1E7F" w14:paraId="1EE72446" w14:textId="77777777" w:rsidTr="00617E5C">
        <w:tc>
          <w:tcPr>
            <w:tcW w:w="1975" w:type="dxa"/>
          </w:tcPr>
          <w:p w14:paraId="580CCC9B" w14:textId="77777777" w:rsidR="001E26E8" w:rsidRPr="005D1E7F" w:rsidRDefault="001E26E8" w:rsidP="00D22D6A">
            <w:r w:rsidRPr="005D1E7F">
              <w:t>April 10, 2020</w:t>
            </w:r>
          </w:p>
        </w:tc>
        <w:tc>
          <w:tcPr>
            <w:tcW w:w="7375" w:type="dxa"/>
          </w:tcPr>
          <w:p w14:paraId="7E124B7E" w14:textId="549D44E0" w:rsidR="001E26E8" w:rsidRPr="005D1E7F" w:rsidRDefault="001E26E8" w:rsidP="00D22D6A">
            <w:r w:rsidRPr="005D1E7F">
              <w:t>Global death</w:t>
            </w:r>
            <w:r w:rsidR="00153FBB">
              <w:t xml:space="preserve"> toll</w:t>
            </w:r>
            <w:r w:rsidRPr="005D1E7F">
              <w:t xml:space="preserve"> from COVID-19 passes 100,000</w:t>
            </w:r>
          </w:p>
        </w:tc>
      </w:tr>
      <w:tr w:rsidR="001E26E8" w:rsidRPr="005D1E7F" w14:paraId="67E6634B"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246762E1" w14:textId="77777777" w:rsidR="001E26E8" w:rsidRPr="005D1E7F" w:rsidRDefault="001E26E8" w:rsidP="00D22D6A">
            <w:r w:rsidRPr="005D1E7F">
              <w:t>April 15, 2020</w:t>
            </w:r>
          </w:p>
        </w:tc>
        <w:tc>
          <w:tcPr>
            <w:tcW w:w="7375" w:type="dxa"/>
          </w:tcPr>
          <w:p w14:paraId="2D491639" w14:textId="77777777" w:rsidR="001E26E8" w:rsidRPr="005D1E7F" w:rsidRDefault="001E26E8" w:rsidP="00D22D6A">
            <w:r w:rsidRPr="005D1E7F">
              <w:t>Paycheck Protection Program funding exhausted</w:t>
            </w:r>
          </w:p>
        </w:tc>
      </w:tr>
      <w:tr w:rsidR="001E26E8" w:rsidRPr="005D1E7F" w14:paraId="4509AA5D" w14:textId="77777777" w:rsidTr="00617E5C">
        <w:tc>
          <w:tcPr>
            <w:tcW w:w="1975" w:type="dxa"/>
          </w:tcPr>
          <w:p w14:paraId="0C7C253E" w14:textId="77777777" w:rsidR="001E26E8" w:rsidRPr="005D1E7F" w:rsidRDefault="001E26E8" w:rsidP="00D22D6A">
            <w:r w:rsidRPr="005D1E7F">
              <w:t>April 15, 2020</w:t>
            </w:r>
          </w:p>
        </w:tc>
        <w:tc>
          <w:tcPr>
            <w:tcW w:w="7375" w:type="dxa"/>
          </w:tcPr>
          <w:p w14:paraId="11AD6BB5" w14:textId="77777777" w:rsidR="001E26E8" w:rsidRPr="005D1E7F" w:rsidRDefault="001E26E8" w:rsidP="00D22D6A">
            <w:r w:rsidRPr="005D1E7F">
              <w:t xml:space="preserve">Confirmed COVID-19 cases total more than 2 million worldwide </w:t>
            </w:r>
          </w:p>
        </w:tc>
      </w:tr>
      <w:tr w:rsidR="001E26E8" w:rsidRPr="005D1E7F" w14:paraId="12EFE977"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1ED980B0" w14:textId="77777777" w:rsidR="001E26E8" w:rsidRPr="005D1E7F" w:rsidRDefault="001E26E8" w:rsidP="00D22D6A">
            <w:r w:rsidRPr="005D1E7F">
              <w:t>April 16, 2020</w:t>
            </w:r>
          </w:p>
        </w:tc>
        <w:tc>
          <w:tcPr>
            <w:tcW w:w="7375" w:type="dxa"/>
          </w:tcPr>
          <w:p w14:paraId="192A9DAE" w14:textId="77777777" w:rsidR="001E26E8" w:rsidRPr="005D1E7F" w:rsidRDefault="001E26E8" w:rsidP="00D22D6A">
            <w:r w:rsidRPr="005D1E7F">
              <w:t>Federal Reserve opens Paycheck Protection Program Liquidity Facility</w:t>
            </w:r>
          </w:p>
        </w:tc>
      </w:tr>
      <w:tr w:rsidR="001E26E8" w:rsidRPr="005D1E7F" w14:paraId="6BB98FC9" w14:textId="77777777" w:rsidTr="00617E5C">
        <w:tc>
          <w:tcPr>
            <w:tcW w:w="1975" w:type="dxa"/>
          </w:tcPr>
          <w:p w14:paraId="18DC3820" w14:textId="77777777" w:rsidR="001E26E8" w:rsidRPr="005D1E7F" w:rsidRDefault="001E26E8" w:rsidP="00D22D6A">
            <w:r w:rsidRPr="005D1E7F">
              <w:t>April 16, 2020</w:t>
            </w:r>
          </w:p>
        </w:tc>
        <w:tc>
          <w:tcPr>
            <w:tcW w:w="7375" w:type="dxa"/>
          </w:tcPr>
          <w:p w14:paraId="5361D873" w14:textId="77777777" w:rsidR="001E26E8" w:rsidRPr="005D1E7F" w:rsidRDefault="001E26E8" w:rsidP="00D22D6A">
            <w:r w:rsidRPr="005D1E7F">
              <w:t>White House releases guidelines for easing social distancing restrictions</w:t>
            </w:r>
          </w:p>
        </w:tc>
      </w:tr>
      <w:tr w:rsidR="001E26E8" w:rsidRPr="005D1E7F" w14:paraId="6852656F"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48CE1452" w14:textId="77777777" w:rsidR="001E26E8" w:rsidRPr="005D1E7F" w:rsidRDefault="001E26E8" w:rsidP="00D22D6A">
            <w:r w:rsidRPr="005D1E7F">
              <w:t>April 21, 2020</w:t>
            </w:r>
          </w:p>
        </w:tc>
        <w:tc>
          <w:tcPr>
            <w:tcW w:w="7375" w:type="dxa"/>
          </w:tcPr>
          <w:p w14:paraId="24EE62D6" w14:textId="3CD04017" w:rsidR="001E26E8" w:rsidRPr="005D1E7F" w:rsidRDefault="001E26E8" w:rsidP="00D22D6A">
            <w:r w:rsidRPr="005D1E7F">
              <w:t>First confirmed COVID-19 death in the U.S. revised to February 6, in Califo</w:t>
            </w:r>
            <w:r w:rsidR="00E04D6B">
              <w:t>r</w:t>
            </w:r>
            <w:r w:rsidRPr="005D1E7F">
              <w:t>nia</w:t>
            </w:r>
          </w:p>
        </w:tc>
      </w:tr>
      <w:tr w:rsidR="00153FBB" w:rsidRPr="005D1E7F" w14:paraId="13F74343" w14:textId="77777777" w:rsidTr="00617E5C">
        <w:tc>
          <w:tcPr>
            <w:tcW w:w="1975" w:type="dxa"/>
          </w:tcPr>
          <w:p w14:paraId="12FE5C6B" w14:textId="6673EDC8" w:rsidR="00153FBB" w:rsidRPr="005D1E7F" w:rsidRDefault="00153FBB" w:rsidP="00D22D6A">
            <w:r>
              <w:t>April 24, 2020</w:t>
            </w:r>
          </w:p>
        </w:tc>
        <w:tc>
          <w:tcPr>
            <w:tcW w:w="7375" w:type="dxa"/>
          </w:tcPr>
          <w:p w14:paraId="432C4246" w14:textId="71901883" w:rsidR="00153FBB" w:rsidRPr="005D1E7F" w:rsidRDefault="00153FBB" w:rsidP="00D22D6A">
            <w:r>
              <w:t>Georgia becomes the first state to begin reopening nonessential businesses for in-person operations</w:t>
            </w:r>
          </w:p>
        </w:tc>
      </w:tr>
      <w:tr w:rsidR="001E26E8" w:rsidRPr="005D1E7F" w14:paraId="6712D885"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3C0A4E48" w14:textId="77777777" w:rsidR="001E26E8" w:rsidRPr="005D1E7F" w:rsidRDefault="001E26E8" w:rsidP="00D22D6A">
            <w:r w:rsidRPr="005D1E7F">
              <w:t>April 24, 2020</w:t>
            </w:r>
          </w:p>
        </w:tc>
        <w:tc>
          <w:tcPr>
            <w:tcW w:w="7375" w:type="dxa"/>
          </w:tcPr>
          <w:p w14:paraId="7269FCC4" w14:textId="77777777" w:rsidR="001E26E8" w:rsidRPr="005D1E7F" w:rsidRDefault="001E26E8" w:rsidP="00D22D6A">
            <w:r w:rsidRPr="005D1E7F">
              <w:t>Paycheck Protection Program and Health Care Enhancement Act signed with additional funding</w:t>
            </w:r>
          </w:p>
        </w:tc>
      </w:tr>
      <w:tr w:rsidR="001E26E8" w:rsidRPr="005D1E7F" w14:paraId="37548B6D" w14:textId="77777777" w:rsidTr="00617E5C">
        <w:tc>
          <w:tcPr>
            <w:tcW w:w="1975" w:type="dxa"/>
          </w:tcPr>
          <w:p w14:paraId="5909671E" w14:textId="77777777" w:rsidR="001E26E8" w:rsidRPr="005D1E7F" w:rsidRDefault="001E26E8" w:rsidP="00D22D6A">
            <w:r w:rsidRPr="005D1E7F">
              <w:t>April 28, 2020</w:t>
            </w:r>
          </w:p>
        </w:tc>
        <w:tc>
          <w:tcPr>
            <w:tcW w:w="7375" w:type="dxa"/>
          </w:tcPr>
          <w:p w14:paraId="58C5CCF4" w14:textId="77777777" w:rsidR="001E26E8" w:rsidRPr="005D1E7F" w:rsidRDefault="001E26E8" w:rsidP="00D22D6A">
            <w:r w:rsidRPr="005D1E7F">
              <w:t>U.S. becomes first country with 1 million confirmed cases of COVID-19</w:t>
            </w:r>
          </w:p>
        </w:tc>
      </w:tr>
      <w:tr w:rsidR="001E26E8" w:rsidRPr="005D1E7F" w14:paraId="68F1A162"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4175A5D2" w14:textId="77777777" w:rsidR="001E26E8" w:rsidRPr="005D1E7F" w:rsidRDefault="001E26E8" w:rsidP="00D22D6A">
            <w:r w:rsidRPr="005D1E7F">
              <w:lastRenderedPageBreak/>
              <w:t>April 28, 2020</w:t>
            </w:r>
          </w:p>
        </w:tc>
        <w:tc>
          <w:tcPr>
            <w:tcW w:w="7375" w:type="dxa"/>
          </w:tcPr>
          <w:p w14:paraId="59673F3B" w14:textId="77777777" w:rsidR="001E26E8" w:rsidRPr="005D1E7F" w:rsidRDefault="001E26E8" w:rsidP="00D22D6A">
            <w:r w:rsidRPr="005D1E7F">
              <w:t>White House invokes Defense Production Act to require continued operation of meat and poultry processors following outbreaks of COVID-19 at some facilities</w:t>
            </w:r>
          </w:p>
        </w:tc>
      </w:tr>
      <w:tr w:rsidR="00617E5C" w:rsidRPr="005D1E7F" w14:paraId="2DDBBD3A" w14:textId="77777777" w:rsidTr="00617E5C">
        <w:tc>
          <w:tcPr>
            <w:tcW w:w="1975" w:type="dxa"/>
          </w:tcPr>
          <w:p w14:paraId="102A940E" w14:textId="41C0BECA" w:rsidR="00617E5C" w:rsidRPr="005D1E7F" w:rsidRDefault="00617E5C" w:rsidP="00617E5C">
            <w:r w:rsidRPr="005D1E7F">
              <w:t>April 30, 2020</w:t>
            </w:r>
          </w:p>
        </w:tc>
        <w:tc>
          <w:tcPr>
            <w:tcW w:w="7375" w:type="dxa"/>
          </w:tcPr>
          <w:p w14:paraId="4C7E8C5E" w14:textId="1A64109F" w:rsidR="00617E5C" w:rsidRPr="005D1E7F" w:rsidRDefault="00617E5C" w:rsidP="00617E5C">
            <w:r w:rsidRPr="005D1E7F">
              <w:t>Federal Reserve Expands Access to Paycheck Protection Program Liquidity Facility</w:t>
            </w:r>
          </w:p>
        </w:tc>
      </w:tr>
      <w:tr w:rsidR="00617E5C" w:rsidRPr="005D1E7F" w14:paraId="67EA1DA8"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66A32798" w14:textId="5C4FAF10" w:rsidR="00617E5C" w:rsidRPr="005D1E7F" w:rsidRDefault="00617E5C" w:rsidP="00617E5C">
            <w:r>
              <w:t>May 11, 2020</w:t>
            </w:r>
          </w:p>
        </w:tc>
        <w:tc>
          <w:tcPr>
            <w:tcW w:w="7375" w:type="dxa"/>
          </w:tcPr>
          <w:p w14:paraId="1C32E78F" w14:textId="71AAE2DD" w:rsidR="00617E5C" w:rsidRPr="005D1E7F" w:rsidRDefault="00617E5C" w:rsidP="00617E5C">
            <w:r w:rsidRPr="00617E5C">
              <w:t>Federal Reserve Bank of New York announces Secondary Market Corporate Credit Facility will begin purchas</w:t>
            </w:r>
            <w:r>
              <w:t>ing</w:t>
            </w:r>
            <w:r w:rsidRPr="00617E5C">
              <w:t xml:space="preserve"> exchange-traded funds</w:t>
            </w:r>
          </w:p>
        </w:tc>
      </w:tr>
      <w:tr w:rsidR="002A375D" w:rsidRPr="005D1E7F" w14:paraId="144629CC" w14:textId="77777777" w:rsidTr="00617E5C">
        <w:tc>
          <w:tcPr>
            <w:tcW w:w="1975" w:type="dxa"/>
          </w:tcPr>
          <w:p w14:paraId="5F390F76" w14:textId="581D0FB6" w:rsidR="002A375D" w:rsidRDefault="002A375D" w:rsidP="00617E5C">
            <w:r>
              <w:t>May 20, 2020</w:t>
            </w:r>
          </w:p>
        </w:tc>
        <w:tc>
          <w:tcPr>
            <w:tcW w:w="7375" w:type="dxa"/>
          </w:tcPr>
          <w:p w14:paraId="2B1308D2" w14:textId="5945371E" w:rsidR="002A375D" w:rsidRDefault="002A375D" w:rsidP="00617E5C">
            <w:r>
              <w:t xml:space="preserve">Connecticut becomes the last state to begin </w:t>
            </w:r>
            <w:r w:rsidR="00153FBB">
              <w:t>reopening nonessential businesses for in-person operations</w:t>
            </w:r>
          </w:p>
        </w:tc>
      </w:tr>
      <w:tr w:rsidR="00617E5C" w:rsidRPr="005D1E7F" w14:paraId="1D1F9E66"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07DBB05E" w14:textId="6306781A" w:rsidR="00617E5C" w:rsidRPr="005D1E7F" w:rsidRDefault="00617E5C" w:rsidP="00617E5C">
            <w:r>
              <w:t>May 20, 2020</w:t>
            </w:r>
          </w:p>
        </w:tc>
        <w:tc>
          <w:tcPr>
            <w:tcW w:w="7375" w:type="dxa"/>
          </w:tcPr>
          <w:p w14:paraId="1209CD8F" w14:textId="3DBA5517" w:rsidR="00617E5C" w:rsidRPr="005D1E7F" w:rsidRDefault="00617E5C" w:rsidP="00617E5C">
            <w:r>
              <w:t xml:space="preserve">CDC provides </w:t>
            </w:r>
            <w:r w:rsidR="002A375D">
              <w:t xml:space="preserve">reopening </w:t>
            </w:r>
            <w:r>
              <w:t xml:space="preserve">guidance </w:t>
            </w:r>
            <w:r w:rsidRPr="00617E5C">
              <w:t>for communities, schools, workplaces, and events</w:t>
            </w:r>
          </w:p>
        </w:tc>
      </w:tr>
      <w:tr w:rsidR="00617E5C" w:rsidRPr="005D1E7F" w14:paraId="2947D1F5" w14:textId="77777777" w:rsidTr="00617E5C">
        <w:tc>
          <w:tcPr>
            <w:tcW w:w="1975" w:type="dxa"/>
          </w:tcPr>
          <w:p w14:paraId="2B14027A" w14:textId="21F57552" w:rsidR="00617E5C" w:rsidRPr="005D1E7F" w:rsidRDefault="00617E5C" w:rsidP="00617E5C">
            <w:r>
              <w:t>May 26, 2020</w:t>
            </w:r>
          </w:p>
        </w:tc>
        <w:tc>
          <w:tcPr>
            <w:tcW w:w="7375" w:type="dxa"/>
          </w:tcPr>
          <w:p w14:paraId="39AFD33E" w14:textId="051AD853" w:rsidR="00617E5C" w:rsidRPr="005D1E7F" w:rsidRDefault="00617E5C" w:rsidP="00617E5C">
            <w:r>
              <w:t>NYSE reopens trading floor after over 2 months of fully electronic trading</w:t>
            </w:r>
          </w:p>
        </w:tc>
      </w:tr>
      <w:tr w:rsidR="00617E5C" w:rsidRPr="005D1E7F" w14:paraId="57576E42"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434E7514" w14:textId="3D50B6FF" w:rsidR="00617E5C" w:rsidRPr="005D1E7F" w:rsidRDefault="00617E5C" w:rsidP="00617E5C">
            <w:r>
              <w:t>May 28, 2020</w:t>
            </w:r>
          </w:p>
        </w:tc>
        <w:tc>
          <w:tcPr>
            <w:tcW w:w="7375" w:type="dxa"/>
          </w:tcPr>
          <w:p w14:paraId="33EE4846" w14:textId="6E3F98ED" w:rsidR="00617E5C" w:rsidRPr="005D1E7F" w:rsidRDefault="00617E5C" w:rsidP="00617E5C">
            <w:r>
              <w:t>U.S. death toll from COVID-19 reaches 100,000</w:t>
            </w:r>
          </w:p>
        </w:tc>
      </w:tr>
      <w:tr w:rsidR="00617E5C" w:rsidRPr="005D1E7F" w14:paraId="1B8481EC" w14:textId="77777777" w:rsidTr="00617E5C">
        <w:tc>
          <w:tcPr>
            <w:tcW w:w="1975" w:type="dxa"/>
          </w:tcPr>
          <w:p w14:paraId="502DC918" w14:textId="6121108A" w:rsidR="00617E5C" w:rsidRPr="005D1E7F" w:rsidRDefault="00617E5C" w:rsidP="00617E5C">
            <w:r>
              <w:t>June 3, 2020</w:t>
            </w:r>
          </w:p>
        </w:tc>
        <w:tc>
          <w:tcPr>
            <w:tcW w:w="7375" w:type="dxa"/>
          </w:tcPr>
          <w:p w14:paraId="078885DF" w14:textId="2A16D18E" w:rsidR="00617E5C" w:rsidRPr="005D1E7F" w:rsidRDefault="00617E5C" w:rsidP="00617E5C">
            <w:r w:rsidRPr="00617E5C">
              <w:t xml:space="preserve">Federal Reserve </w:t>
            </w:r>
            <w:r>
              <w:t>expands</w:t>
            </w:r>
            <w:r w:rsidRPr="00617E5C">
              <w:t xml:space="preserve"> the number and type of entities eligible to directly use its Municipal Liquidity Facility</w:t>
            </w:r>
          </w:p>
        </w:tc>
      </w:tr>
      <w:tr w:rsidR="00617E5C" w:rsidRPr="005D1E7F" w14:paraId="2F1142B7"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423922EC" w14:textId="3B2AAF36" w:rsidR="00617E5C" w:rsidRPr="005D1E7F" w:rsidRDefault="00617E5C" w:rsidP="00617E5C">
            <w:r>
              <w:t>June 8, 2020</w:t>
            </w:r>
          </w:p>
        </w:tc>
        <w:tc>
          <w:tcPr>
            <w:tcW w:w="7375" w:type="dxa"/>
          </w:tcPr>
          <w:p w14:paraId="24FD9386" w14:textId="0F51C634" w:rsidR="00617E5C" w:rsidRPr="005D1E7F" w:rsidRDefault="00617E5C" w:rsidP="00617E5C">
            <w:r>
              <w:t>NBER declares a U.S. recession</w:t>
            </w:r>
            <w:r w:rsidR="006A01A0">
              <w:t xml:space="preserve"> beginning in February 2020, the peak of a </w:t>
            </w:r>
            <w:proofErr w:type="gramStart"/>
            <w:r w:rsidR="006A01A0">
              <w:t>128 month</w:t>
            </w:r>
            <w:proofErr w:type="gramEnd"/>
            <w:r w:rsidR="006A01A0">
              <w:t xml:space="preserve"> economic expansion that began in June 2009</w:t>
            </w:r>
          </w:p>
        </w:tc>
      </w:tr>
      <w:tr w:rsidR="00617E5C" w:rsidRPr="005D1E7F" w14:paraId="4804F409" w14:textId="77777777" w:rsidTr="00617E5C">
        <w:tc>
          <w:tcPr>
            <w:tcW w:w="1975" w:type="dxa"/>
          </w:tcPr>
          <w:p w14:paraId="4D2457A2" w14:textId="1EA93388" w:rsidR="00617E5C" w:rsidRPr="005D1E7F" w:rsidRDefault="006A01A0" w:rsidP="00617E5C">
            <w:r>
              <w:t>June 8, 2020</w:t>
            </w:r>
          </w:p>
        </w:tc>
        <w:tc>
          <w:tcPr>
            <w:tcW w:w="7375" w:type="dxa"/>
          </w:tcPr>
          <w:p w14:paraId="0642B420" w14:textId="2DB0A915" w:rsidR="00617E5C" w:rsidRPr="005D1E7F" w:rsidRDefault="006A01A0" w:rsidP="00617E5C">
            <w:r w:rsidRPr="006A01A0">
              <w:t xml:space="preserve">Federal Reserve expands its Main Street Lending Program to allow </w:t>
            </w:r>
            <w:r>
              <w:t xml:space="preserve">access to </w:t>
            </w:r>
            <w:r w:rsidRPr="006A01A0">
              <w:t>more small and medium-sized businesses</w:t>
            </w:r>
          </w:p>
        </w:tc>
      </w:tr>
      <w:tr w:rsidR="00153FBB" w:rsidRPr="005D1E7F" w14:paraId="746D57C4"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38AFAAA0" w14:textId="5885714B" w:rsidR="00153FBB" w:rsidRDefault="00153FBB" w:rsidP="00617E5C">
            <w:r>
              <w:t>June 11, 2020</w:t>
            </w:r>
          </w:p>
        </w:tc>
        <w:tc>
          <w:tcPr>
            <w:tcW w:w="7375" w:type="dxa"/>
          </w:tcPr>
          <w:p w14:paraId="463182A2" w14:textId="1F8D2E7B" w:rsidR="00153FBB" w:rsidRPr="006A01A0" w:rsidRDefault="00153FBB" w:rsidP="00617E5C">
            <w:r w:rsidRPr="005D1E7F">
              <w:t xml:space="preserve">Confirmed COVID-19 cases </w:t>
            </w:r>
            <w:r>
              <w:t xml:space="preserve">in the U.S. </w:t>
            </w:r>
            <w:r w:rsidRPr="005D1E7F">
              <w:t>total more than 2 million</w:t>
            </w:r>
          </w:p>
        </w:tc>
      </w:tr>
      <w:tr w:rsidR="00617E5C" w:rsidRPr="005D1E7F" w14:paraId="5F7EC8EF" w14:textId="77777777" w:rsidTr="00617E5C">
        <w:tc>
          <w:tcPr>
            <w:tcW w:w="1975" w:type="dxa"/>
          </w:tcPr>
          <w:p w14:paraId="0112D0E5" w14:textId="78584545" w:rsidR="00617E5C" w:rsidRPr="005D1E7F" w:rsidRDefault="006A01A0" w:rsidP="00617E5C">
            <w:r>
              <w:t>June 15, 2020</w:t>
            </w:r>
          </w:p>
        </w:tc>
        <w:tc>
          <w:tcPr>
            <w:tcW w:w="7375" w:type="dxa"/>
          </w:tcPr>
          <w:p w14:paraId="49E48994" w14:textId="4E9CECA7" w:rsidR="00617E5C" w:rsidRPr="005D1E7F" w:rsidRDefault="006A01A0" w:rsidP="00617E5C">
            <w:r w:rsidRPr="006A01A0">
              <w:t>Small Business Administration reopens the Economic Injury Disaster Loan</w:t>
            </w:r>
          </w:p>
        </w:tc>
      </w:tr>
      <w:tr w:rsidR="00617E5C" w:rsidRPr="005D1E7F" w14:paraId="71BB41F6"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1DEF59C9" w14:textId="5E7A0DA3" w:rsidR="00617E5C" w:rsidRPr="005D1E7F" w:rsidRDefault="006A01A0" w:rsidP="00617E5C">
            <w:r>
              <w:t>June 15, 2020</w:t>
            </w:r>
          </w:p>
        </w:tc>
        <w:tc>
          <w:tcPr>
            <w:tcW w:w="7375" w:type="dxa"/>
          </w:tcPr>
          <w:p w14:paraId="02542926" w14:textId="1B771630" w:rsidR="00617E5C" w:rsidRPr="005D1E7F" w:rsidRDefault="006A01A0" w:rsidP="00617E5C">
            <w:r w:rsidRPr="006A01A0">
              <w:t xml:space="preserve">The Federal Reserve </w:t>
            </w:r>
            <w:r>
              <w:t>expands</w:t>
            </w:r>
            <w:r w:rsidRPr="006A01A0">
              <w:t xml:space="preserve"> the Secondary Market Corporate Credit Facility</w:t>
            </w:r>
            <w:r>
              <w:t xml:space="preserve"> to</w:t>
            </w:r>
            <w:r w:rsidRPr="006A01A0">
              <w:t xml:space="preserve"> begin buying a broad and diversified portfolio of corporate bonds to support market liquidity</w:t>
            </w:r>
          </w:p>
        </w:tc>
      </w:tr>
      <w:tr w:rsidR="00617E5C" w:rsidRPr="005D1E7F" w14:paraId="0F91A0CD" w14:textId="77777777" w:rsidTr="00617E5C">
        <w:tc>
          <w:tcPr>
            <w:tcW w:w="1975" w:type="dxa"/>
          </w:tcPr>
          <w:p w14:paraId="37DE6C30" w14:textId="2D7A7939" w:rsidR="00617E5C" w:rsidRPr="005D1E7F" w:rsidRDefault="002A375D" w:rsidP="00617E5C">
            <w:r>
              <w:t>June 26, 2020</w:t>
            </w:r>
          </w:p>
        </w:tc>
        <w:tc>
          <w:tcPr>
            <w:tcW w:w="7375" w:type="dxa"/>
          </w:tcPr>
          <w:p w14:paraId="6AE9348B" w14:textId="0BF5E613" w:rsidR="00617E5C" w:rsidRPr="005D1E7F" w:rsidRDefault="002A375D" w:rsidP="00617E5C">
            <w:r>
              <w:t>Texas and Florida become the 1</w:t>
            </w:r>
            <w:r w:rsidRPr="002A375D">
              <w:rPr>
                <w:vertAlign w:val="superscript"/>
              </w:rPr>
              <w:t>st</w:t>
            </w:r>
            <w:r>
              <w:t xml:space="preserve"> states to reverse </w:t>
            </w:r>
            <w:r w:rsidR="00153FBB">
              <w:t xml:space="preserve">nonessential </w:t>
            </w:r>
            <w:r>
              <w:t>business re</w:t>
            </w:r>
            <w:r w:rsidR="00466612">
              <w:t>-</w:t>
            </w:r>
            <w:r>
              <w:t>openings</w:t>
            </w:r>
          </w:p>
        </w:tc>
      </w:tr>
      <w:tr w:rsidR="00617E5C" w:rsidRPr="005D1E7F" w14:paraId="51431087" w14:textId="77777777" w:rsidTr="00617E5C">
        <w:trPr>
          <w:cnfStyle w:val="000000100000" w:firstRow="0" w:lastRow="0" w:firstColumn="0" w:lastColumn="0" w:oddVBand="0" w:evenVBand="0" w:oddHBand="1" w:evenHBand="0" w:firstRowFirstColumn="0" w:firstRowLastColumn="0" w:lastRowFirstColumn="0" w:lastRowLastColumn="0"/>
        </w:trPr>
        <w:tc>
          <w:tcPr>
            <w:tcW w:w="1975" w:type="dxa"/>
          </w:tcPr>
          <w:p w14:paraId="6D0FBF1F" w14:textId="1EDA41E9" w:rsidR="00617E5C" w:rsidRPr="005D1E7F" w:rsidRDefault="002A375D" w:rsidP="00617E5C">
            <w:r>
              <w:t>June 29, 2020</w:t>
            </w:r>
          </w:p>
        </w:tc>
        <w:tc>
          <w:tcPr>
            <w:tcW w:w="7375" w:type="dxa"/>
          </w:tcPr>
          <w:p w14:paraId="10240791" w14:textId="17EB49E6" w:rsidR="00617E5C" w:rsidRPr="005D1E7F" w:rsidRDefault="002A375D" w:rsidP="00617E5C">
            <w:r w:rsidRPr="002A375D">
              <w:t xml:space="preserve">Federal Reserve Bank of New York </w:t>
            </w:r>
            <w:r>
              <w:t>launches</w:t>
            </w:r>
            <w:r w:rsidRPr="002A375D">
              <w:t xml:space="preserve"> Primary Market Corporate Credit Facility</w:t>
            </w:r>
            <w:r>
              <w:t>,</w:t>
            </w:r>
            <w:r w:rsidRPr="002A375D">
              <w:t xml:space="preserve"> a funding backstop for corporate debt to eligible issuers</w:t>
            </w:r>
          </w:p>
        </w:tc>
      </w:tr>
    </w:tbl>
    <w:p w14:paraId="380DE2B2" w14:textId="31409E04" w:rsidR="00F03302" w:rsidRDefault="00A615E8" w:rsidP="001E26E8">
      <w:pPr>
        <w:spacing w:before="160"/>
      </w:pPr>
      <w:r>
        <w:t xml:space="preserve">The Philadelphia Fed’s coincident index of economic activity in the U.S. </w:t>
      </w:r>
      <w:r w:rsidR="003A390C">
        <w:t>rose 2.7% in June 2020, continuing May’s rebound after a sharp drop in April. Still, the index was down</w:t>
      </w:r>
      <w:r>
        <w:t xml:space="preserve"> </w:t>
      </w:r>
      <w:r w:rsidR="0027585A">
        <w:t>5.0</w:t>
      </w:r>
      <w:r>
        <w:t xml:space="preserve">% </w:t>
      </w:r>
      <w:r w:rsidR="003A390C">
        <w:t>for</w:t>
      </w:r>
      <w:r>
        <w:t xml:space="preserve"> the </w:t>
      </w:r>
      <w:r w:rsidR="0027585A">
        <w:t>2</w:t>
      </w:r>
      <w:r w:rsidR="0027585A" w:rsidRPr="0027585A">
        <w:rPr>
          <w:vertAlign w:val="superscript"/>
        </w:rPr>
        <w:t>nd</w:t>
      </w:r>
      <w:r w:rsidR="0027585A">
        <w:t xml:space="preserve"> </w:t>
      </w:r>
      <w:r>
        <w:t>quarter</w:t>
      </w:r>
      <w:r w:rsidR="00AF420E">
        <w:t xml:space="preserve">. </w:t>
      </w:r>
      <w:r w:rsidR="003A390C" w:rsidRPr="00A615E8">
        <w:t xml:space="preserve">In </w:t>
      </w:r>
      <w:r w:rsidR="003A390C">
        <w:t>June</w:t>
      </w:r>
      <w:r w:rsidRPr="00A615E8">
        <w:t xml:space="preserve">, </w:t>
      </w:r>
      <w:r w:rsidR="00714B74">
        <w:t xml:space="preserve">state </w:t>
      </w:r>
      <w:r>
        <w:t>coincident</w:t>
      </w:r>
      <w:r w:rsidRPr="00A615E8">
        <w:t xml:space="preserve"> indexes</w:t>
      </w:r>
      <w:r w:rsidR="00714B74">
        <w:rPr>
          <w:rStyle w:val="FootnoteReference"/>
        </w:rPr>
        <w:footnoteReference w:id="2"/>
      </w:r>
      <w:r w:rsidRPr="00A615E8">
        <w:t xml:space="preserve"> </w:t>
      </w:r>
      <w:r>
        <w:t>showed</w:t>
      </w:r>
      <w:r w:rsidR="003A390C" w:rsidRPr="003A390C">
        <w:t xml:space="preserve"> </w:t>
      </w:r>
      <w:r w:rsidR="003A390C" w:rsidRPr="00A615E8">
        <w:t xml:space="preserve">increased </w:t>
      </w:r>
      <w:r w:rsidR="003A390C">
        <w:t>economic activity</w:t>
      </w:r>
      <w:r w:rsidR="003A390C" w:rsidRPr="00A615E8">
        <w:t xml:space="preserve"> in </w:t>
      </w:r>
      <w:r w:rsidR="003A390C">
        <w:t>4</w:t>
      </w:r>
      <w:r w:rsidR="003A390C" w:rsidRPr="00A615E8">
        <w:t xml:space="preserve">2 states, decreased </w:t>
      </w:r>
      <w:r w:rsidR="003A390C">
        <w:t xml:space="preserve">activity </w:t>
      </w:r>
      <w:r w:rsidR="003A390C" w:rsidRPr="00A615E8">
        <w:t xml:space="preserve">in </w:t>
      </w:r>
      <w:r w:rsidR="003A390C">
        <w:t>7</w:t>
      </w:r>
      <w:r w:rsidR="003A390C" w:rsidRPr="00A615E8">
        <w:t xml:space="preserve"> states, and stable </w:t>
      </w:r>
      <w:r w:rsidR="003A390C">
        <w:t xml:space="preserve">activity </w:t>
      </w:r>
      <w:r w:rsidR="003A390C" w:rsidRPr="00A615E8">
        <w:t xml:space="preserve">in </w:t>
      </w:r>
      <w:r w:rsidR="003A390C">
        <w:t>1</w:t>
      </w:r>
      <w:r w:rsidRPr="00A615E8">
        <w:t>.</w:t>
      </w:r>
      <w:r w:rsidR="003A390C" w:rsidRPr="003A390C">
        <w:t xml:space="preserve"> </w:t>
      </w:r>
      <w:r w:rsidR="003A390C">
        <w:t>Yet o</w:t>
      </w:r>
      <w:r w:rsidR="003A390C" w:rsidRPr="00A615E8">
        <w:t xml:space="preserve">ver the </w:t>
      </w:r>
      <w:r w:rsidR="003A390C">
        <w:t>entire quarter</w:t>
      </w:r>
      <w:r w:rsidRPr="00A615E8">
        <w:t xml:space="preserve">, </w:t>
      </w:r>
      <w:r>
        <w:t>coincident</w:t>
      </w:r>
      <w:r w:rsidRPr="00A615E8">
        <w:t xml:space="preserve"> indexes </w:t>
      </w:r>
      <w:r w:rsidR="003A390C">
        <w:t xml:space="preserve">decreased </w:t>
      </w:r>
      <w:r w:rsidR="003A390C" w:rsidRPr="00A615E8">
        <w:t xml:space="preserve">in </w:t>
      </w:r>
      <w:r w:rsidR="003A390C">
        <w:t>4</w:t>
      </w:r>
      <w:r w:rsidR="00466612">
        <w:t>7</w:t>
      </w:r>
      <w:r w:rsidR="003A390C" w:rsidRPr="00A615E8">
        <w:t xml:space="preserve"> states</w:t>
      </w:r>
      <w:r w:rsidR="00466612">
        <w:t xml:space="preserve">, </w:t>
      </w:r>
      <w:r w:rsidR="003A390C">
        <w:t>increased</w:t>
      </w:r>
      <w:r w:rsidR="003A390C" w:rsidRPr="00A615E8">
        <w:t xml:space="preserve"> in </w:t>
      </w:r>
      <w:r w:rsidR="003A390C">
        <w:t>2</w:t>
      </w:r>
      <w:r w:rsidR="00466612">
        <w:t xml:space="preserve"> states, and was unchanged in 1 state</w:t>
      </w:r>
      <w:r w:rsidRPr="00A615E8">
        <w:t>.</w:t>
      </w:r>
      <w:r>
        <w:t xml:space="preserve"> Coincident indexes reflect </w:t>
      </w:r>
      <w:r w:rsidR="00714B74">
        <w:t>unemployment, payroll employment, manufacturing hours, and wages and salaries</w:t>
      </w:r>
      <w:r w:rsidR="00A14CD4">
        <w:t>.</w:t>
      </w:r>
      <w:r w:rsidR="00714B74">
        <w:t xml:space="preserve"> </w:t>
      </w:r>
      <w:r w:rsidR="00442565">
        <w:t>Unemployment strongly influences the indexes; despite some rebounds in economic activity, unemployment remains high in most states.</w:t>
      </w:r>
    </w:p>
    <w:p w14:paraId="7739DC43" w14:textId="06639573" w:rsidR="00A96A6A" w:rsidRDefault="0027585A" w:rsidP="006D4E8F">
      <w:pPr>
        <w:jc w:val="center"/>
      </w:pPr>
      <w:r w:rsidRPr="0027585A">
        <w:rPr>
          <w:noProof/>
        </w:rPr>
        <w:lastRenderedPageBreak/>
        <w:t xml:space="preserve"> </w:t>
      </w:r>
      <w:r w:rsidR="00466612" w:rsidRPr="00466612">
        <w:drawing>
          <wp:inline distT="0" distB="0" distL="0" distR="0" wp14:anchorId="62E2C247" wp14:editId="23C77913">
            <wp:extent cx="5943600" cy="3424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14:paraId="022CFF26" w14:textId="11FE678D"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3"/>
      </w:r>
      <w:r w:rsidR="009E4D8D" w:rsidRPr="00CA74AC">
        <w:t xml:space="preserve"> </w:t>
      </w:r>
      <w:r w:rsidR="00442565">
        <w:t>fell</w:t>
      </w:r>
      <w:r w:rsidR="00DA3959">
        <w:t xml:space="preserve"> </w:t>
      </w:r>
      <w:r w:rsidR="00442565">
        <w:t>1.60% during</w:t>
      </w:r>
      <w:r w:rsidR="00DA3959">
        <w:t xml:space="preserve"> the </w:t>
      </w:r>
      <w:r w:rsidR="00442565">
        <w:t>2</w:t>
      </w:r>
      <w:r w:rsidR="00442565" w:rsidRPr="00442565">
        <w:rPr>
          <w:vertAlign w:val="superscript"/>
        </w:rPr>
        <w:t>nd</w:t>
      </w:r>
      <w:r w:rsidR="00442565">
        <w:t xml:space="preserve"> </w:t>
      </w:r>
      <w:r w:rsidR="00DA3959">
        <w:t>quarter of 2020</w:t>
      </w:r>
      <w:r>
        <w:t xml:space="preserve">, </w:t>
      </w:r>
      <w:r w:rsidR="00442565">
        <w:t>and 0.73%</w:t>
      </w:r>
      <w:r w:rsidR="009E4D8D" w:rsidRPr="00CA74AC">
        <w:t xml:space="preserve"> </w:t>
      </w:r>
      <w:r w:rsidR="00442565">
        <w:t>since the 2</w:t>
      </w:r>
      <w:r w:rsidR="00442565" w:rsidRPr="00442565">
        <w:rPr>
          <w:vertAlign w:val="superscript"/>
        </w:rPr>
        <w:t>nd</w:t>
      </w:r>
      <w:r w:rsidR="00442565">
        <w:t xml:space="preserve"> </w:t>
      </w:r>
      <w:r w:rsidR="00D01E9D">
        <w:t>quarter</w:t>
      </w:r>
      <w:r w:rsidR="00DA3959">
        <w:t xml:space="preserve"> a year ago</w:t>
      </w:r>
      <w:r w:rsidR="009E4D8D" w:rsidRPr="00CA74AC">
        <w:t>.</w:t>
      </w:r>
      <w:r w:rsidR="00E24F81" w:rsidRPr="00CA74AC">
        <w:t xml:space="preserve"> </w:t>
      </w:r>
      <w:r w:rsidR="00AB56C9">
        <w:t>After the index’s spike in</w:t>
      </w:r>
      <w:r w:rsidR="00C54129">
        <w:t xml:space="preserve"> March, </w:t>
      </w:r>
      <w:r w:rsidR="000E6060">
        <w:t>demand has weakened for the dollar as the</w:t>
      </w:r>
      <w:r w:rsidR="00C54129">
        <w:t xml:space="preserve"> U.S.</w:t>
      </w:r>
      <w:r w:rsidR="000E6060">
        <w:t xml:space="preserve"> had</w:t>
      </w:r>
      <w:r w:rsidR="00C54129">
        <w:t xml:space="preserve"> </w:t>
      </w:r>
      <w:r w:rsidR="000E6060">
        <w:t>straggled on the world stage in pandemic control, casting doubts over the sustainability of the national economic recovery</w:t>
      </w:r>
      <w:r w:rsidR="00E37A8F">
        <w:t>.</w:t>
      </w:r>
      <w:r w:rsidR="001C7617">
        <w:t xml:space="preserve"> </w:t>
      </w:r>
      <w:r w:rsidR="00AB56C9">
        <w:t xml:space="preserve">At the end of the </w:t>
      </w:r>
      <w:r w:rsidR="00E23CA2">
        <w:t>2</w:t>
      </w:r>
      <w:r w:rsidR="00E23CA2" w:rsidRPr="00E23CA2">
        <w:rPr>
          <w:vertAlign w:val="superscript"/>
        </w:rPr>
        <w:t>nd</w:t>
      </w:r>
      <w:r w:rsidR="00E23CA2">
        <w:t xml:space="preserve"> </w:t>
      </w:r>
      <w:r w:rsidR="00AB56C9">
        <w:t xml:space="preserve">quarter, the dollar’s fall decelerated as </w:t>
      </w:r>
      <w:r w:rsidR="000E6060">
        <w:t>strong signals of</w:t>
      </w:r>
      <w:r w:rsidR="00AB56C9">
        <w:t xml:space="preserve"> economic </w:t>
      </w:r>
      <w:r w:rsidR="000E6060">
        <w:t>reinvigoration</w:t>
      </w:r>
      <w:r w:rsidR="00AB56C9">
        <w:t xml:space="preserve"> mixed with </w:t>
      </w:r>
      <w:r w:rsidR="000E6060">
        <w:t xml:space="preserve">the </w:t>
      </w:r>
      <w:r w:rsidR="00AB56C9">
        <w:t>renewal of restrictions on in-person gathering in COVID-19 hotspots such as Texas, Florida, and California</w:t>
      </w:r>
      <w:r w:rsidR="00813396">
        <w:t>.</w:t>
      </w:r>
    </w:p>
    <w:p w14:paraId="5FD9C9E3" w14:textId="2D6C61CF" w:rsidR="004D1C9D" w:rsidRDefault="00466612" w:rsidP="006D4E8F">
      <w:pPr>
        <w:jc w:val="center"/>
      </w:pPr>
      <w:r>
        <w:rPr>
          <w:noProof/>
        </w:rPr>
        <w:lastRenderedPageBreak/>
        <w:drawing>
          <wp:inline distT="0" distB="0" distL="0" distR="0" wp14:anchorId="253EAFBB" wp14:editId="7E01FDA3">
            <wp:extent cx="4097020" cy="274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EF9" w14:textId="77777777" w:rsidR="002731EF" w:rsidRDefault="002731EF" w:rsidP="001475FF">
      <w:pPr>
        <w:pStyle w:val="Heading1"/>
      </w:pPr>
      <w:r>
        <w:t>Economic Highlights</w:t>
      </w:r>
    </w:p>
    <w:p w14:paraId="149D5EFA" w14:textId="1C815785" w:rsidR="002608F3" w:rsidRPr="00610140" w:rsidRDefault="002608F3" w:rsidP="00E528F7">
      <w:pPr>
        <w:pStyle w:val="ListParagraph"/>
        <w:numPr>
          <w:ilvl w:val="0"/>
          <w:numId w:val="3"/>
        </w:numPr>
      </w:pPr>
      <w:r w:rsidRPr="00610140">
        <w:t xml:space="preserve">Real GDP </w:t>
      </w:r>
      <w:r w:rsidR="001E26E8" w:rsidRPr="00610140">
        <w:t>fell</w:t>
      </w:r>
      <w:r w:rsidR="00AA37BC" w:rsidRPr="00610140">
        <w:t xml:space="preserve"> at</w:t>
      </w:r>
      <w:r w:rsidR="00F44A8F" w:rsidRPr="00610140">
        <w:t xml:space="preserve"> </w:t>
      </w:r>
      <w:r w:rsidRPr="00610140">
        <w:t xml:space="preserve">an annual rate of </w:t>
      </w:r>
      <w:r w:rsidR="0092347C" w:rsidRPr="00610140">
        <w:t>32.9</w:t>
      </w:r>
      <w:r w:rsidRPr="00610140">
        <w:t>%</w:t>
      </w:r>
      <w:r w:rsidR="00F44A8F" w:rsidRPr="00610140">
        <w:t xml:space="preserve"> in the </w:t>
      </w:r>
      <w:r w:rsidR="0092347C" w:rsidRPr="00610140">
        <w:t>2</w:t>
      </w:r>
      <w:r w:rsidR="0092347C" w:rsidRPr="00610140">
        <w:rPr>
          <w:vertAlign w:val="superscript"/>
        </w:rPr>
        <w:t>nd</w:t>
      </w:r>
      <w:r w:rsidR="0092347C" w:rsidRPr="00610140">
        <w:t xml:space="preserve"> </w:t>
      </w:r>
      <w:r w:rsidR="00F44A8F" w:rsidRPr="00610140">
        <w:t>quarter</w:t>
      </w:r>
      <w:r w:rsidR="001E26E8" w:rsidRPr="00610140">
        <w:t xml:space="preserve">, </w:t>
      </w:r>
      <w:r w:rsidR="0092347C" w:rsidRPr="00610140">
        <w:t>its largest single-quarter drop ever</w:t>
      </w:r>
      <w:r w:rsidRPr="00610140">
        <w:t>.</w:t>
      </w:r>
    </w:p>
    <w:p w14:paraId="149D5EFB" w14:textId="78BC3CBC" w:rsidR="002731EF" w:rsidRPr="00610140" w:rsidRDefault="003E4ACB" w:rsidP="00E528F7">
      <w:pPr>
        <w:pStyle w:val="ListParagraph"/>
        <w:numPr>
          <w:ilvl w:val="0"/>
          <w:numId w:val="3"/>
        </w:numPr>
      </w:pPr>
      <w:r w:rsidRPr="00610140">
        <w:t xml:space="preserve">Oil prices </w:t>
      </w:r>
      <w:r w:rsidR="0092347C" w:rsidRPr="00610140">
        <w:t xml:space="preserve">reached a 21-year low in April. </w:t>
      </w:r>
      <w:r w:rsidRPr="00610140">
        <w:t xml:space="preserve">WTI crude </w:t>
      </w:r>
      <w:r w:rsidR="0092347C" w:rsidRPr="00610140">
        <w:t>rebounded</w:t>
      </w:r>
      <w:r w:rsidR="00E37A8F" w:rsidRPr="00610140">
        <w:t xml:space="preserve"> to</w:t>
      </w:r>
      <w:r w:rsidRPr="00610140">
        <w:t xml:space="preserve"> </w:t>
      </w:r>
      <w:r w:rsidR="006575D2" w:rsidRPr="00610140">
        <w:t>$</w:t>
      </w:r>
      <w:r w:rsidR="0092347C" w:rsidRPr="00610140">
        <w:t>38.3</w:t>
      </w:r>
      <w:r w:rsidR="001E26E8" w:rsidRPr="00610140">
        <w:t>1</w:t>
      </w:r>
      <w:r w:rsidR="00FE67AA" w:rsidRPr="00610140">
        <w:t xml:space="preserve"> </w:t>
      </w:r>
      <w:r w:rsidR="00D851AB" w:rsidRPr="00610140">
        <w:t xml:space="preserve">per barrel in </w:t>
      </w:r>
      <w:r w:rsidR="0092347C" w:rsidRPr="00610140">
        <w:t>June</w:t>
      </w:r>
      <w:r w:rsidRPr="00610140">
        <w:t>.</w:t>
      </w:r>
    </w:p>
    <w:p w14:paraId="149D5EFC" w14:textId="0DA71F20" w:rsidR="00E24F81" w:rsidRPr="00610140" w:rsidRDefault="00E24F81" w:rsidP="00E528F7">
      <w:pPr>
        <w:pStyle w:val="ListParagraph"/>
        <w:numPr>
          <w:ilvl w:val="0"/>
          <w:numId w:val="3"/>
        </w:numPr>
      </w:pPr>
      <w:r w:rsidRPr="00610140">
        <w:t xml:space="preserve">The U.S. dollar index </w:t>
      </w:r>
      <w:r w:rsidR="0092347C" w:rsidRPr="00610140">
        <w:t>fell 1.6</w:t>
      </w:r>
      <w:r w:rsidRPr="00610140">
        <w:t xml:space="preserve">% in the </w:t>
      </w:r>
      <w:r w:rsidR="0092347C" w:rsidRPr="00610140">
        <w:t>2</w:t>
      </w:r>
      <w:r w:rsidR="0092347C" w:rsidRPr="00610140">
        <w:rPr>
          <w:vertAlign w:val="superscript"/>
        </w:rPr>
        <w:t>nd</w:t>
      </w:r>
      <w:r w:rsidR="0092347C" w:rsidRPr="00610140">
        <w:t xml:space="preserve"> </w:t>
      </w:r>
      <w:r w:rsidRPr="00610140">
        <w:t xml:space="preserve">quarter </w:t>
      </w:r>
      <w:r w:rsidR="001E26E8" w:rsidRPr="00610140">
        <w:t xml:space="preserve">and </w:t>
      </w:r>
      <w:r w:rsidR="0092347C" w:rsidRPr="00610140">
        <w:t>0.73</w:t>
      </w:r>
      <w:r w:rsidRPr="00610140">
        <w:t xml:space="preserve">% </w:t>
      </w:r>
      <w:r w:rsidR="00311E77" w:rsidRPr="00610140">
        <w:t>compared with</w:t>
      </w:r>
      <w:r w:rsidRPr="00610140">
        <w:t xml:space="preserve"> the same period last year.</w:t>
      </w:r>
    </w:p>
    <w:p w14:paraId="149D5EFD" w14:textId="4165857B" w:rsidR="0076717F" w:rsidRPr="00610140" w:rsidRDefault="00E23CA2" w:rsidP="00E528F7">
      <w:pPr>
        <w:pStyle w:val="ListParagraph"/>
        <w:numPr>
          <w:ilvl w:val="0"/>
          <w:numId w:val="3"/>
        </w:numPr>
      </w:pPr>
      <w:r>
        <w:t>Throughout</w:t>
      </w:r>
      <w:r w:rsidR="00E50993" w:rsidRPr="00610140">
        <w:t xml:space="preserve"> </w:t>
      </w:r>
      <w:r w:rsidR="0092347C" w:rsidRPr="00610140">
        <w:t>the 2</w:t>
      </w:r>
      <w:r w:rsidR="0092347C" w:rsidRPr="00610140">
        <w:rPr>
          <w:vertAlign w:val="superscript"/>
        </w:rPr>
        <w:t>nd</w:t>
      </w:r>
      <w:r w:rsidR="0092347C" w:rsidRPr="00610140">
        <w:t xml:space="preserve"> quarter</w:t>
      </w:r>
      <w:r w:rsidR="00E37A8F" w:rsidRPr="00610140">
        <w:t>,</w:t>
      </w:r>
      <w:r w:rsidR="00E50993" w:rsidRPr="00610140">
        <w:t xml:space="preserve"> the Federal Reserve </w:t>
      </w:r>
      <w:r w:rsidR="0092347C" w:rsidRPr="00610140">
        <w:t>held</w:t>
      </w:r>
      <w:r w:rsidR="00E37A8F" w:rsidRPr="00610140">
        <w:t xml:space="preserve"> the federal funds target rate </w:t>
      </w:r>
      <w:r w:rsidR="0092347C" w:rsidRPr="00610140">
        <w:t>at</w:t>
      </w:r>
      <w:r w:rsidR="00E37A8F" w:rsidRPr="00610140">
        <w:t xml:space="preserve"> a range of </w:t>
      </w:r>
      <w:r w:rsidR="001E26E8" w:rsidRPr="00610140">
        <w:t>0</w:t>
      </w:r>
      <w:r w:rsidR="005117CA" w:rsidRPr="00610140">
        <w:t>.</w:t>
      </w:r>
      <w:r w:rsidR="001E26E8" w:rsidRPr="00610140">
        <w:t>0</w:t>
      </w:r>
      <w:r w:rsidR="00FE67AA" w:rsidRPr="00610140">
        <w:t>0</w:t>
      </w:r>
      <w:r w:rsidR="00E37A8F" w:rsidRPr="00610140">
        <w:t xml:space="preserve"> to </w:t>
      </w:r>
      <w:r w:rsidR="001E26E8" w:rsidRPr="00610140">
        <w:t>0</w:t>
      </w:r>
      <w:r w:rsidR="00FE67AA" w:rsidRPr="00610140">
        <w:t>.</w:t>
      </w:r>
      <w:r w:rsidR="001E26E8" w:rsidRPr="00610140">
        <w:t>2</w:t>
      </w:r>
      <w:r w:rsidR="00FE67AA" w:rsidRPr="00610140">
        <w:t>5</w:t>
      </w:r>
      <w:r w:rsidR="00E37A8F" w:rsidRPr="00610140">
        <w:t xml:space="preserve"> percent</w:t>
      </w:r>
      <w:r w:rsidR="0035542E" w:rsidRPr="00610140">
        <w:t>.</w:t>
      </w:r>
    </w:p>
    <w:p w14:paraId="149D5EFE" w14:textId="3FBB4FE2" w:rsidR="003E4ACB" w:rsidRPr="00610140" w:rsidRDefault="00FE67AA" w:rsidP="00E528F7">
      <w:pPr>
        <w:pStyle w:val="ListParagraph"/>
        <w:numPr>
          <w:ilvl w:val="0"/>
          <w:numId w:val="3"/>
        </w:numPr>
      </w:pPr>
      <w:r w:rsidRPr="00610140">
        <w:t xml:space="preserve">Bond </w:t>
      </w:r>
      <w:r w:rsidR="001E26E8" w:rsidRPr="00610140">
        <w:t>yields</w:t>
      </w:r>
      <w:r w:rsidR="003E4ACB" w:rsidRPr="00610140">
        <w:t xml:space="preserve"> </w:t>
      </w:r>
      <w:r w:rsidR="00BE1260" w:rsidRPr="00610140">
        <w:t>remained low</w:t>
      </w:r>
      <w:r w:rsidR="00E37A8F" w:rsidRPr="00610140">
        <w:t xml:space="preserve"> </w:t>
      </w:r>
      <w:r w:rsidR="003E4ACB" w:rsidRPr="00610140">
        <w:t>during the quarter</w:t>
      </w:r>
      <w:r w:rsidR="001E26E8" w:rsidRPr="00610140">
        <w:t>,</w:t>
      </w:r>
      <w:r w:rsidR="003E4ACB" w:rsidRPr="00610140">
        <w:t xml:space="preserve"> with the 10-y</w:t>
      </w:r>
      <w:r w:rsidR="002F1C7B" w:rsidRPr="00610140">
        <w:t xml:space="preserve">ear U.S. treasury </w:t>
      </w:r>
      <w:r w:rsidR="00BD0BA8" w:rsidRPr="00610140">
        <w:t>yielding</w:t>
      </w:r>
      <w:r w:rsidR="002F1C7B" w:rsidRPr="00610140">
        <w:t xml:space="preserve"> </w:t>
      </w:r>
      <w:r w:rsidR="001E26E8" w:rsidRPr="00610140">
        <w:t>0</w:t>
      </w:r>
      <w:r w:rsidR="005117CA" w:rsidRPr="00610140">
        <w:t>.</w:t>
      </w:r>
      <w:r w:rsidR="00BE1260" w:rsidRPr="00610140">
        <w:t>66</w:t>
      </w:r>
      <w:r w:rsidR="003E4ACB" w:rsidRPr="00610140">
        <w:t xml:space="preserve">% </w:t>
      </w:r>
      <w:r w:rsidR="004D0515" w:rsidRPr="00610140">
        <w:t>and the 30-y</w:t>
      </w:r>
      <w:r w:rsidR="002F1C7B" w:rsidRPr="00610140">
        <w:t>ear U.S. treasury yielding</w:t>
      </w:r>
      <w:r w:rsidR="004D0515" w:rsidRPr="00610140">
        <w:t xml:space="preserve"> </w:t>
      </w:r>
      <w:r w:rsidR="001E26E8" w:rsidRPr="00610140">
        <w:t>1.</w:t>
      </w:r>
      <w:r w:rsidR="00BE1260" w:rsidRPr="00610140">
        <w:t>41</w:t>
      </w:r>
      <w:r w:rsidR="002F1C7B" w:rsidRPr="00610140">
        <w:t>%</w:t>
      </w:r>
      <w:r w:rsidR="004D0515" w:rsidRPr="00610140">
        <w:t>.</w:t>
      </w:r>
    </w:p>
    <w:p w14:paraId="149D5EFF" w14:textId="1817D92C" w:rsidR="003E4ACB" w:rsidRPr="00610140" w:rsidRDefault="00CD3F6E" w:rsidP="00E528F7">
      <w:pPr>
        <w:pStyle w:val="ListParagraph"/>
        <w:numPr>
          <w:ilvl w:val="0"/>
          <w:numId w:val="3"/>
        </w:numPr>
      </w:pPr>
      <w:r w:rsidRPr="00610140">
        <w:t>Consumer i</w:t>
      </w:r>
      <w:r w:rsidR="006E4B4F" w:rsidRPr="00610140">
        <w:t xml:space="preserve">nflation </w:t>
      </w:r>
      <w:r w:rsidR="00BE1260" w:rsidRPr="00610140">
        <w:t>rose 0.71% since last June</w:t>
      </w:r>
      <w:r w:rsidR="003E4ACB" w:rsidRPr="00610140">
        <w:t>.</w:t>
      </w:r>
    </w:p>
    <w:p w14:paraId="149D5F00" w14:textId="7B76C316" w:rsidR="003E4ACB" w:rsidRPr="00610140" w:rsidRDefault="00E736EF" w:rsidP="00E528F7">
      <w:pPr>
        <w:pStyle w:val="ListParagraph"/>
        <w:numPr>
          <w:ilvl w:val="0"/>
          <w:numId w:val="3"/>
        </w:numPr>
      </w:pPr>
      <w:r w:rsidRPr="00610140">
        <w:t xml:space="preserve">New </w:t>
      </w:r>
      <w:r w:rsidR="00BE1260" w:rsidRPr="00610140">
        <w:t>housing starts were down 6.5% over the 2</w:t>
      </w:r>
      <w:r w:rsidR="00BE1260" w:rsidRPr="00610140">
        <w:rPr>
          <w:vertAlign w:val="superscript"/>
        </w:rPr>
        <w:t>nd</w:t>
      </w:r>
      <w:r w:rsidR="00BE1260" w:rsidRPr="00610140">
        <w:t xml:space="preserve"> quarter and 25.3% since the beginning of 2020</w:t>
      </w:r>
      <w:r w:rsidR="0035542E" w:rsidRPr="00610140">
        <w:t>.</w:t>
      </w:r>
    </w:p>
    <w:p w14:paraId="72D69FBD" w14:textId="3BAC204D" w:rsidR="00F94484" w:rsidRPr="00610140" w:rsidRDefault="00E736EF" w:rsidP="00F94484">
      <w:pPr>
        <w:pStyle w:val="ListParagraph"/>
        <w:numPr>
          <w:ilvl w:val="0"/>
          <w:numId w:val="3"/>
        </w:numPr>
      </w:pPr>
      <w:r w:rsidRPr="00610140">
        <w:t xml:space="preserve">Unemployment </w:t>
      </w:r>
      <w:r w:rsidR="00BE1260" w:rsidRPr="00610140">
        <w:t>peaked at 14.7% in April 2020 before declining to 11.1% in June 2020</w:t>
      </w:r>
      <w:r w:rsidRPr="00610140">
        <w:t xml:space="preserve">, and payroll employment </w:t>
      </w:r>
      <w:r w:rsidR="00BE1260" w:rsidRPr="00610140">
        <w:t>fell by</w:t>
      </w:r>
      <w:r w:rsidRPr="00610140">
        <w:t xml:space="preserve"> </w:t>
      </w:r>
      <w:r w:rsidR="00BE1260" w:rsidRPr="00610140">
        <w:rPr>
          <w:color w:val="000000" w:themeColor="text1"/>
        </w:rPr>
        <w:t>nearly 13.3 million jobs throughout the 2</w:t>
      </w:r>
      <w:r w:rsidR="00BE1260" w:rsidRPr="00610140">
        <w:rPr>
          <w:color w:val="000000" w:themeColor="text1"/>
          <w:vertAlign w:val="superscript"/>
        </w:rPr>
        <w:t>nd</w:t>
      </w:r>
      <w:r w:rsidR="00BE1260" w:rsidRPr="00610140">
        <w:rPr>
          <w:color w:val="000000" w:themeColor="text1"/>
        </w:rPr>
        <w:t xml:space="preserve"> quarter</w:t>
      </w:r>
      <w:r w:rsidR="005917C1" w:rsidRPr="00610140">
        <w:t>.</w:t>
      </w:r>
    </w:p>
    <w:p w14:paraId="149D5F03" w14:textId="551A593E" w:rsidR="0076717F" w:rsidRPr="00F94484" w:rsidRDefault="00FC013E" w:rsidP="00F94484">
      <w:pPr>
        <w:pStyle w:val="ListParagraph"/>
        <w:numPr>
          <w:ilvl w:val="0"/>
          <w:numId w:val="3"/>
        </w:numPr>
      </w:pPr>
      <w:r w:rsidRPr="00610140">
        <w:t>U</w:t>
      </w:r>
      <w:r w:rsidR="00F74174" w:rsidRPr="00610140">
        <w:t>.</w:t>
      </w:r>
      <w:r w:rsidRPr="00610140">
        <w:t>S</w:t>
      </w:r>
      <w:r w:rsidR="00F74174" w:rsidRPr="00610140">
        <w:t>.</w:t>
      </w:r>
      <w:r w:rsidRPr="00610140">
        <w:t xml:space="preserve"> </w:t>
      </w:r>
      <w:r w:rsidR="00F94484" w:rsidRPr="00610140">
        <w:t xml:space="preserve">capital </w:t>
      </w:r>
      <w:r w:rsidRPr="00610140">
        <w:t>markets</w:t>
      </w:r>
      <w:r w:rsidR="00D928C8" w:rsidRPr="00610140">
        <w:t xml:space="preserve"> </w:t>
      </w:r>
      <w:r w:rsidR="00610140" w:rsidRPr="00610140">
        <w:t>rallied in the 2</w:t>
      </w:r>
      <w:r w:rsidR="00610140" w:rsidRPr="00610140">
        <w:rPr>
          <w:vertAlign w:val="superscript"/>
        </w:rPr>
        <w:t>nd</w:t>
      </w:r>
      <w:r w:rsidR="00610140" w:rsidRPr="00610140">
        <w:t xml:space="preserve"> quarter</w:t>
      </w:r>
      <w:r w:rsidR="00E736EF" w:rsidRPr="00610140">
        <w:t xml:space="preserve">, </w:t>
      </w:r>
      <w:r w:rsidR="006D518C" w:rsidRPr="00610140">
        <w:t>with</w:t>
      </w:r>
      <w:r w:rsidR="00D928C8" w:rsidRPr="00610140">
        <w:t xml:space="preserve"> the S&amp;P 500 </w:t>
      </w:r>
      <w:r w:rsidR="00610140" w:rsidRPr="00610140">
        <w:t>up</w:t>
      </w:r>
      <w:r w:rsidR="00E736EF" w:rsidRPr="00610140">
        <w:t xml:space="preserve"> 20.0</w:t>
      </w:r>
      <w:r w:rsidR="00FE67AA" w:rsidRPr="00610140">
        <w:t xml:space="preserve">% </w:t>
      </w:r>
      <w:r w:rsidR="00454F4B" w:rsidRPr="00610140">
        <w:t xml:space="preserve">and the </w:t>
      </w:r>
      <w:r w:rsidR="00610140" w:rsidRPr="00610140">
        <w:t>NASDAQ Composite</w:t>
      </w:r>
      <w:r w:rsidR="00454F4B" w:rsidRPr="00610140">
        <w:t xml:space="preserve"> </w:t>
      </w:r>
      <w:r w:rsidR="00610140" w:rsidRPr="00610140">
        <w:t>up</w:t>
      </w:r>
      <w:r w:rsidR="00E736EF" w:rsidRPr="00610140">
        <w:t xml:space="preserve"> </w:t>
      </w:r>
      <w:r w:rsidR="00610140" w:rsidRPr="00610140">
        <w:t>30</w:t>
      </w:r>
      <w:r w:rsidR="00E736EF" w:rsidRPr="00610140">
        <w:t>.</w:t>
      </w:r>
      <w:r w:rsidR="00610140" w:rsidRPr="00610140">
        <w:t>6</w:t>
      </w:r>
      <w:r w:rsidR="00454F4B" w:rsidRPr="00610140">
        <w:t>%</w:t>
      </w:r>
      <w:r w:rsidR="002608F3" w:rsidRPr="00610140">
        <w:t>.</w:t>
      </w:r>
      <w:r w:rsidR="0076717F">
        <w:br w:type="page"/>
      </w:r>
    </w:p>
    <w:p w14:paraId="149D5F04" w14:textId="77777777" w:rsidR="00057711" w:rsidRDefault="00057711" w:rsidP="00057711">
      <w:pPr>
        <w:pStyle w:val="Heading1"/>
      </w:pPr>
      <w:r>
        <w:lastRenderedPageBreak/>
        <w:t>Business Activity</w:t>
      </w:r>
    </w:p>
    <w:p w14:paraId="25413EE4" w14:textId="6AE6DABA" w:rsidR="00A96A6A" w:rsidRPr="00F27E28" w:rsidRDefault="0080028D" w:rsidP="00057711">
      <w:r w:rsidRPr="00F27E28">
        <w:t>According to the Bureau of Economic Analysis</w:t>
      </w:r>
      <w:r w:rsidR="002608F3" w:rsidRPr="00F27E28">
        <w:t xml:space="preserve"> (BEA)</w:t>
      </w:r>
      <w:r w:rsidRPr="00F27E28">
        <w:t>, real gross domestic product (GDP)</w:t>
      </w:r>
      <w:r w:rsidR="00A8559D" w:rsidRPr="00F27E28">
        <w:rPr>
          <w:rStyle w:val="FootnoteReference"/>
        </w:rPr>
        <w:footnoteReference w:id="4"/>
      </w:r>
      <w:r w:rsidRPr="00F27E28">
        <w:t xml:space="preserve"> </w:t>
      </w:r>
      <w:r w:rsidR="00BD0BA8" w:rsidRPr="00F27E28">
        <w:t xml:space="preserve">for the </w:t>
      </w:r>
      <w:r w:rsidR="00AB56C9">
        <w:t>2</w:t>
      </w:r>
      <w:r w:rsidR="00AB56C9" w:rsidRPr="00AB56C9">
        <w:rPr>
          <w:vertAlign w:val="superscript"/>
        </w:rPr>
        <w:t>nd</w:t>
      </w:r>
      <w:r w:rsidR="00AB56C9">
        <w:t xml:space="preserve"> </w:t>
      </w:r>
      <w:r w:rsidR="00BD0BA8" w:rsidRPr="00F27E28">
        <w:t xml:space="preserve">quarter of </w:t>
      </w:r>
      <w:r w:rsidR="00813396">
        <w:t>2020</w:t>
      </w:r>
      <w:r w:rsidR="00700166" w:rsidRPr="00F27E28">
        <w:t xml:space="preserve"> </w:t>
      </w:r>
      <w:r w:rsidR="005650CD">
        <w:t>plummeted</w:t>
      </w:r>
      <w:r w:rsidR="00BD0BA8" w:rsidRPr="00F27E28">
        <w:t xml:space="preserve"> </w:t>
      </w:r>
      <w:r w:rsidRPr="00F27E28">
        <w:t xml:space="preserve">at an annual rate of </w:t>
      </w:r>
      <w:r w:rsidR="005650CD">
        <w:t>32.9</w:t>
      </w:r>
      <w:r w:rsidR="00321AA2" w:rsidRPr="00F27E28">
        <w:t>%</w:t>
      </w:r>
      <w:r w:rsidR="001756EC" w:rsidRPr="00F27E28">
        <w:t>,</w:t>
      </w:r>
      <w:r w:rsidRPr="00F27E28">
        <w:t xml:space="preserve"> </w:t>
      </w:r>
      <w:r w:rsidR="005650CD">
        <w:t>its largest single-quarter drop ever, after</w:t>
      </w:r>
      <w:r w:rsidR="002F1660">
        <w:t xml:space="preserve"> </w:t>
      </w:r>
      <w:r w:rsidR="00E23CA2">
        <w:t>the prior</w:t>
      </w:r>
      <w:r w:rsidR="002F1660">
        <w:t xml:space="preserve"> quarter’s </w:t>
      </w:r>
      <w:r w:rsidR="005650CD">
        <w:t>decrease</w:t>
      </w:r>
      <w:r w:rsidR="002F1660">
        <w:t xml:space="preserve"> of </w:t>
      </w:r>
      <w:r w:rsidR="005650CD">
        <w:t>5.0</w:t>
      </w:r>
      <w:r w:rsidR="002F1660">
        <w:t>%</w:t>
      </w:r>
      <w:r w:rsidR="005650CD">
        <w:t>.</w:t>
      </w:r>
      <w:r w:rsidR="002F1660">
        <w:t xml:space="preserve"> </w:t>
      </w:r>
      <w:r w:rsidR="005650CD">
        <w:t>T</w:t>
      </w:r>
      <w:r w:rsidR="00B40AF8" w:rsidRPr="00F27E28">
        <w:t>he</w:t>
      </w:r>
      <w:r w:rsidR="00FF3086">
        <w:t xml:space="preserve"> drop was large enough to bring the</w:t>
      </w:r>
      <w:r w:rsidR="00B40AF8" w:rsidRPr="00F27E28">
        <w:t xml:space="preserve"> 30-year average</w:t>
      </w:r>
      <w:r w:rsidR="005650CD" w:rsidRPr="005650CD">
        <w:t xml:space="preserve"> </w:t>
      </w:r>
      <w:r w:rsidR="005650CD" w:rsidRPr="00F27E28">
        <w:t>annual</w:t>
      </w:r>
      <w:r w:rsidR="00B40AF8" w:rsidRPr="00F27E28">
        <w:t xml:space="preserve"> rate of </w:t>
      </w:r>
      <w:r w:rsidR="005650CD">
        <w:t xml:space="preserve">GDP growth </w:t>
      </w:r>
      <w:r w:rsidR="00FF3086">
        <w:t>down slightly to</w:t>
      </w:r>
      <w:r w:rsidR="005650CD">
        <w:t xml:space="preserve"> 2.1</w:t>
      </w:r>
      <w:r w:rsidRPr="004F67A9">
        <w:t>%.</w:t>
      </w:r>
      <w:r w:rsidR="001756EC" w:rsidRPr="00F27E28">
        <w:t xml:space="preserve"> </w:t>
      </w:r>
      <w:r w:rsidR="002F1660" w:rsidRPr="002F1660">
        <w:t xml:space="preserve">The </w:t>
      </w:r>
      <w:r w:rsidR="005650CD">
        <w:t>2</w:t>
      </w:r>
      <w:r w:rsidR="005650CD" w:rsidRPr="005650CD">
        <w:rPr>
          <w:vertAlign w:val="superscript"/>
        </w:rPr>
        <w:t>nd</w:t>
      </w:r>
      <w:r w:rsidR="002F1660">
        <w:t>-</w:t>
      </w:r>
      <w:r w:rsidR="002F1660" w:rsidRPr="002F1660">
        <w:t xml:space="preserve">quarter </w:t>
      </w:r>
      <w:r w:rsidR="005650CD">
        <w:t>decline</w:t>
      </w:r>
      <w:r w:rsidR="002F1660">
        <w:t xml:space="preserve"> in </w:t>
      </w:r>
      <w:r w:rsidR="002F1660" w:rsidRPr="002F1660">
        <w:t xml:space="preserve">GDP </w:t>
      </w:r>
      <w:r w:rsidR="002F1660">
        <w:t>reflected</w:t>
      </w:r>
      <w:r w:rsidR="002F1660" w:rsidRPr="002F1660">
        <w:t xml:space="preserve"> </w:t>
      </w:r>
      <w:r w:rsidR="005650CD">
        <w:t>sudden</w:t>
      </w:r>
      <w:r w:rsidR="002F1660">
        <w:t xml:space="preserve"> changes in economic activity resulting from </w:t>
      </w:r>
      <w:r w:rsidR="002F1660" w:rsidRPr="002F1660">
        <w:t>the COVID-19</w:t>
      </w:r>
      <w:r w:rsidR="00620094">
        <w:t xml:space="preserve"> pandemic</w:t>
      </w:r>
      <w:r w:rsidR="002F1660" w:rsidRPr="002F1660">
        <w:t xml:space="preserve">, </w:t>
      </w:r>
      <w:r w:rsidR="005650CD" w:rsidRPr="005650CD">
        <w:t xml:space="preserve">as </w:t>
      </w:r>
      <w:r w:rsidR="005650CD">
        <w:t>states’ restrictions on in-person activities</w:t>
      </w:r>
      <w:r w:rsidR="005650CD" w:rsidRPr="005650CD">
        <w:t xml:space="preserve"> </w:t>
      </w:r>
      <w:r w:rsidR="005650CD">
        <w:t>from March and April</w:t>
      </w:r>
      <w:r w:rsidR="005650CD" w:rsidRPr="005650CD">
        <w:t xml:space="preserve"> </w:t>
      </w:r>
      <w:r w:rsidR="005650CD">
        <w:t>shifted and eased throughout the country in Ma</w:t>
      </w:r>
      <w:r w:rsidR="00FF3086">
        <w:t>y</w:t>
      </w:r>
      <w:r w:rsidR="005650CD">
        <w:t xml:space="preserve"> and June. </w:t>
      </w:r>
      <w:r w:rsidR="00FF3086">
        <w:t>F</w:t>
      </w:r>
      <w:r w:rsidR="00584B8E">
        <w:t>inancial</w:t>
      </w:r>
      <w:r w:rsidR="005650CD" w:rsidRPr="005650CD">
        <w:t xml:space="preserve"> pandemic assistance </w:t>
      </w:r>
      <w:r w:rsidR="00584B8E">
        <w:t>from the federal government reached households, businesses, and states in the 2</w:t>
      </w:r>
      <w:r w:rsidR="00584B8E" w:rsidRPr="00584B8E">
        <w:rPr>
          <w:vertAlign w:val="superscript"/>
        </w:rPr>
        <w:t>nd</w:t>
      </w:r>
      <w:r w:rsidR="00584B8E">
        <w:t xml:space="preserve"> quarter </w:t>
      </w:r>
      <w:r w:rsidR="00AF306C">
        <w:t xml:space="preserve">of </w:t>
      </w:r>
      <w:r w:rsidR="00584B8E">
        <w:t>2020</w:t>
      </w:r>
      <w:r w:rsidR="002F1660" w:rsidRPr="002F1660">
        <w:t xml:space="preserve">. </w:t>
      </w:r>
      <w:r w:rsidR="002F1660">
        <w:t xml:space="preserve">Since the </w:t>
      </w:r>
      <w:r w:rsidR="00584B8E">
        <w:t>2</w:t>
      </w:r>
      <w:r w:rsidR="00584B8E" w:rsidRPr="00584B8E">
        <w:rPr>
          <w:vertAlign w:val="superscript"/>
        </w:rPr>
        <w:t>nd</w:t>
      </w:r>
      <w:r w:rsidR="00584B8E">
        <w:t xml:space="preserve"> </w:t>
      </w:r>
      <w:r w:rsidR="002F1660">
        <w:t>quarter last year</w:t>
      </w:r>
      <w:r w:rsidR="00A52E02">
        <w:t xml:space="preserve">, real GDP </w:t>
      </w:r>
      <w:r w:rsidR="00584B8E">
        <w:t>fell 9.5</w:t>
      </w:r>
      <w:r w:rsidR="00A52E02">
        <w:t xml:space="preserve">%, </w:t>
      </w:r>
      <w:r w:rsidR="00E736EF">
        <w:t xml:space="preserve">a </w:t>
      </w:r>
      <w:r w:rsidR="00584B8E">
        <w:t>series</w:t>
      </w:r>
      <w:r w:rsidR="00E736EF">
        <w:t xml:space="preserve"> low</w:t>
      </w:r>
      <w:r w:rsidR="00F27E28" w:rsidRPr="00F27E28">
        <w:t>.</w:t>
      </w:r>
    </w:p>
    <w:p w14:paraId="7810A9C6" w14:textId="2E4ADFA5" w:rsidR="00A96A6A" w:rsidRDefault="00AF306C" w:rsidP="005117CA">
      <w:pPr>
        <w:jc w:val="center"/>
      </w:pPr>
      <w:r>
        <w:rPr>
          <w:noProof/>
        </w:rPr>
        <w:drawing>
          <wp:inline distT="0" distB="0" distL="0" distR="0" wp14:anchorId="3C4736D3" wp14:editId="31EB633D">
            <wp:extent cx="4097020" cy="2749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6E9155B" w14:textId="78E8369F" w:rsidR="00D55969" w:rsidRDefault="00584B8E" w:rsidP="00CD643D">
      <w:r>
        <w:t>The 2</w:t>
      </w:r>
      <w:r w:rsidRPr="00584B8E">
        <w:rPr>
          <w:vertAlign w:val="superscript"/>
        </w:rPr>
        <w:t>nd</w:t>
      </w:r>
      <w:r>
        <w:t xml:space="preserve"> quarter GDP </w:t>
      </w:r>
      <w:r w:rsidR="000A2C4B">
        <w:t>drop</w:t>
      </w:r>
      <w:r>
        <w:t xml:space="preserve"> primarily reflected d</w:t>
      </w:r>
      <w:r w:rsidR="007A7FCF">
        <w:t xml:space="preserve">eclines in personal consumption </w:t>
      </w:r>
      <w:r>
        <w:t>spending, particularly spending on services such as health care, financial, and recreation services</w:t>
      </w:r>
      <w:r w:rsidR="00E474F0">
        <w:t xml:space="preserve">; </w:t>
      </w:r>
      <w:r>
        <w:t xml:space="preserve">private inventory investment; and </w:t>
      </w:r>
      <w:r w:rsidR="00E474F0">
        <w:t xml:space="preserve">both </w:t>
      </w:r>
      <w:r w:rsidR="007A7FCF">
        <w:t xml:space="preserve">nonresidential </w:t>
      </w:r>
      <w:r w:rsidR="00E474F0">
        <w:t xml:space="preserve">and residential </w:t>
      </w:r>
      <w:r w:rsidR="007A7FCF">
        <w:t>investment</w:t>
      </w:r>
      <w:r>
        <w:t>.</w:t>
      </w:r>
      <w:r w:rsidR="00CD643D">
        <w:t xml:space="preserve"> </w:t>
      </w:r>
      <w:r w:rsidR="007A7FCF">
        <w:t>Moderating the</w:t>
      </w:r>
      <w:r w:rsidR="008845A9">
        <w:t xml:space="preserve"> </w:t>
      </w:r>
      <w:r w:rsidR="007A7FCF">
        <w:t xml:space="preserve">contraction </w:t>
      </w:r>
      <w:r w:rsidR="009E4A2E">
        <w:t xml:space="preserve">in </w:t>
      </w:r>
      <w:r w:rsidR="008845A9">
        <w:t xml:space="preserve">GDP were </w:t>
      </w:r>
      <w:r w:rsidR="00E474F0">
        <w:t xml:space="preserve">increased federal government spending and a </w:t>
      </w:r>
      <w:r w:rsidR="000A2C4B">
        <w:t xml:space="preserve">steep </w:t>
      </w:r>
      <w:r w:rsidR="000A2C4B" w:rsidRPr="000A2C4B">
        <w:t>reduction</w:t>
      </w:r>
      <w:r w:rsidR="00E474F0">
        <w:t xml:space="preserve"> in</w:t>
      </w:r>
      <w:r w:rsidR="007A7FCF">
        <w:t xml:space="preserve"> imports, which more than offset a concurrent decrease in exports</w:t>
      </w:r>
      <w:r w:rsidR="00CD643D">
        <w:t>.</w:t>
      </w:r>
    </w:p>
    <w:p w14:paraId="74EC7CAF" w14:textId="49312F1D" w:rsidR="004D1C9D" w:rsidRDefault="00AF306C" w:rsidP="005117CA">
      <w:pPr>
        <w:jc w:val="center"/>
      </w:pPr>
      <w:r>
        <w:rPr>
          <w:noProof/>
        </w:rPr>
        <w:lastRenderedPageBreak/>
        <w:drawing>
          <wp:inline distT="0" distB="0" distL="0" distR="0" wp14:anchorId="1016BAD1" wp14:editId="3A46CCF2">
            <wp:extent cx="4224655" cy="348742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487420"/>
                    </a:xfrm>
                    <a:prstGeom prst="rect">
                      <a:avLst/>
                    </a:prstGeom>
                    <a:noFill/>
                  </pic:spPr>
                </pic:pic>
              </a:graphicData>
            </a:graphic>
          </wp:inline>
        </w:drawing>
      </w:r>
    </w:p>
    <w:p w14:paraId="31033888" w14:textId="7F8465D2" w:rsidR="004D1C9D" w:rsidRDefault="00EF008E" w:rsidP="00174BCD">
      <w:r w:rsidRPr="00F20F1B">
        <w:t xml:space="preserve">As of </w:t>
      </w:r>
      <w:r w:rsidR="00E474F0">
        <w:t>June</w:t>
      </w:r>
      <w:r w:rsidRPr="00F20F1B">
        <w:t>, the Industrial Production Index</w:t>
      </w:r>
      <w:r w:rsidR="006A114D">
        <w:rPr>
          <w:rStyle w:val="FootnoteReference"/>
        </w:rPr>
        <w:footnoteReference w:id="5"/>
      </w:r>
      <w:r w:rsidRPr="00F20F1B">
        <w:t xml:space="preserve"> </w:t>
      </w:r>
      <w:r w:rsidR="00B00E83">
        <w:t>stood</w:t>
      </w:r>
      <w:r w:rsidR="00DA5A96">
        <w:t xml:space="preserve"> at</w:t>
      </w:r>
      <w:r w:rsidR="008636F9">
        <w:t xml:space="preserve"> </w:t>
      </w:r>
      <w:r w:rsidR="00E474F0">
        <w:t>97</w:t>
      </w:r>
      <w:r w:rsidR="00DA5A96">
        <w:t>.</w:t>
      </w:r>
      <w:r w:rsidR="00E474F0">
        <w:t>46</w:t>
      </w:r>
      <w:r w:rsidR="00AA651C">
        <w:t xml:space="preserve">, </w:t>
      </w:r>
      <w:r w:rsidR="00E474F0">
        <w:t xml:space="preserve">down </w:t>
      </w:r>
      <w:r w:rsidR="00E528F9">
        <w:t>6.7</w:t>
      </w:r>
      <w:r w:rsidR="009E4A2E">
        <w:t xml:space="preserve">% over the </w:t>
      </w:r>
      <w:r w:rsidR="00E474F0">
        <w:t>2</w:t>
      </w:r>
      <w:r w:rsidR="00E474F0" w:rsidRPr="00E474F0">
        <w:rPr>
          <w:vertAlign w:val="superscript"/>
        </w:rPr>
        <w:t>nd</w:t>
      </w:r>
      <w:r w:rsidR="00E474F0">
        <w:t xml:space="preserve"> </w:t>
      </w:r>
      <w:r w:rsidR="009E4A2E">
        <w:t>quarter of 2020</w:t>
      </w:r>
      <w:r w:rsidR="001C1070">
        <w:t>.</w:t>
      </w:r>
      <w:r w:rsidR="008636F9">
        <w:t xml:space="preserve"> </w:t>
      </w:r>
      <w:r w:rsidR="00FA283E">
        <w:t>M</w:t>
      </w:r>
      <w:r w:rsidR="00DA5A96">
        <w:t>anufacturing</w:t>
      </w:r>
      <w:r w:rsidR="00FA283E">
        <w:t xml:space="preserve"> </w:t>
      </w:r>
      <w:r w:rsidR="008E1296">
        <w:t>shutdowns due to the COVID-19 pandemic, particularly motor vehicle</w:t>
      </w:r>
      <w:r w:rsidR="000A2C4B">
        <w:t>s</w:t>
      </w:r>
      <w:r w:rsidR="008E1296">
        <w:t xml:space="preserve"> and parts</w:t>
      </w:r>
      <w:r w:rsidR="00E474F0">
        <w:t>, aerospace, metals, and furniture</w:t>
      </w:r>
      <w:r w:rsidR="00E528F9">
        <w:t>,</w:t>
      </w:r>
      <w:r w:rsidR="00E528F9" w:rsidRPr="00E528F9">
        <w:t xml:space="preserve"> </w:t>
      </w:r>
      <w:r w:rsidR="00E528F9">
        <w:t>led a rapid drop in April, as industrial capacity utilization dipped below 65%, a record low</w:t>
      </w:r>
      <w:r w:rsidR="008E1296">
        <w:t>.</w:t>
      </w:r>
      <w:r w:rsidR="0041138E">
        <w:t xml:space="preserve"> </w:t>
      </w:r>
      <w:r w:rsidR="00FA283E">
        <w:t>T</w:t>
      </w:r>
      <w:r w:rsidR="001A6C86">
        <w:t>he</w:t>
      </w:r>
      <w:r w:rsidR="00332197">
        <w:t xml:space="preserve"> Industrial Production Index </w:t>
      </w:r>
      <w:r w:rsidR="00E528F9">
        <w:t xml:space="preserve">rebounded partially in May and June. The index </w:t>
      </w:r>
      <w:r w:rsidR="00FA283E">
        <w:t xml:space="preserve">was </w:t>
      </w:r>
      <w:r w:rsidR="00E528F9">
        <w:t>10.8</w:t>
      </w:r>
      <w:r w:rsidR="00FA283E">
        <w:t>% lower</w:t>
      </w:r>
      <w:r w:rsidR="00332197">
        <w:t xml:space="preserve"> </w:t>
      </w:r>
      <w:r w:rsidR="008E1296">
        <w:t xml:space="preserve">in </w:t>
      </w:r>
      <w:r w:rsidR="00E528F9">
        <w:t>June</w:t>
      </w:r>
      <w:r w:rsidR="008E1296">
        <w:t xml:space="preserve"> 2020</w:t>
      </w:r>
      <w:r w:rsidR="00046A04">
        <w:t xml:space="preserve"> than one year prior</w:t>
      </w:r>
      <w:r w:rsidR="00332197">
        <w:t>.</w:t>
      </w:r>
    </w:p>
    <w:p w14:paraId="149D5F1F" w14:textId="51BF3C3B" w:rsidR="00172307" w:rsidRDefault="00353F0A" w:rsidP="00BA7A2C">
      <w:pPr>
        <w:jc w:val="center"/>
      </w:pPr>
      <w:r>
        <w:rPr>
          <w:noProof/>
        </w:rPr>
        <w:drawing>
          <wp:inline distT="0" distB="0" distL="0" distR="0" wp14:anchorId="0026237D" wp14:editId="1E8AE6A6">
            <wp:extent cx="3816350" cy="2737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49D5F20" w14:textId="72147876" w:rsidR="00005111" w:rsidRPr="005261C1" w:rsidRDefault="00005111" w:rsidP="005261C1">
      <w:pPr>
        <w:pStyle w:val="Heading1"/>
      </w:pPr>
      <w:r w:rsidRPr="005261C1">
        <w:lastRenderedPageBreak/>
        <w:t>Interest Rates</w:t>
      </w:r>
    </w:p>
    <w:p w14:paraId="472CBB47" w14:textId="620ADC0D" w:rsidR="00A96A6A" w:rsidRPr="00AE64EF" w:rsidRDefault="008E1296" w:rsidP="00005111">
      <w:pPr>
        <w:rPr>
          <w:color w:val="000000" w:themeColor="text1"/>
        </w:rPr>
      </w:pPr>
      <w:r>
        <w:t>Short- and l</w:t>
      </w:r>
      <w:r w:rsidR="00022BB4">
        <w:t>ong-term treasury bond yields</w:t>
      </w:r>
      <w:r w:rsidR="00B65667">
        <w:rPr>
          <w:rStyle w:val="FootnoteReference"/>
        </w:rPr>
        <w:footnoteReference w:id="6"/>
      </w:r>
      <w:r w:rsidR="00022BB4">
        <w:t xml:space="preserve"> </w:t>
      </w:r>
      <w:r w:rsidR="00E528F9">
        <w:t>stagnated</w:t>
      </w:r>
      <w:r>
        <w:t xml:space="preserve"> </w:t>
      </w:r>
      <w:r w:rsidR="00E528F9">
        <w:t>throughout</w:t>
      </w:r>
      <w:r>
        <w:t xml:space="preserve"> the </w:t>
      </w:r>
      <w:r w:rsidR="00E528F9">
        <w:t>2</w:t>
      </w:r>
      <w:r w:rsidR="00E528F9" w:rsidRPr="00E528F9">
        <w:rPr>
          <w:vertAlign w:val="superscript"/>
        </w:rPr>
        <w:t>nd</w:t>
      </w:r>
      <w:r w:rsidR="00E528F9">
        <w:t xml:space="preserve"> </w:t>
      </w:r>
      <w:r>
        <w:t>quarter of 2020</w:t>
      </w:r>
      <w:r w:rsidR="0009699C">
        <w:t>,</w:t>
      </w:r>
      <w:r w:rsidR="005E7A94">
        <w:t xml:space="preserve"> </w:t>
      </w:r>
      <w:r w:rsidR="00E528F9">
        <w:t>remaining near the 1</w:t>
      </w:r>
      <w:r w:rsidR="00E528F9" w:rsidRPr="00E528F9">
        <w:rPr>
          <w:vertAlign w:val="superscript"/>
        </w:rPr>
        <w:t>st</w:t>
      </w:r>
      <w:r w:rsidR="00E528F9">
        <w:t xml:space="preserve"> quarter’s</w:t>
      </w:r>
      <w:r w:rsidR="00B524BD">
        <w:t xml:space="preserve"> historic lows as U.S. debt </w:t>
      </w:r>
      <w:r w:rsidR="00B34926">
        <w:t>remained generally favorable to</w:t>
      </w:r>
      <w:r w:rsidR="00B524BD">
        <w:t xml:space="preserve"> riskier </w:t>
      </w:r>
      <w:r w:rsidR="00B34926">
        <w:t xml:space="preserve">equity </w:t>
      </w:r>
      <w:r w:rsidR="00B524BD">
        <w:t>investments in the wake of</w:t>
      </w:r>
      <w:r w:rsidR="00B65667">
        <w:t xml:space="preserve"> economic </w:t>
      </w:r>
      <w:r w:rsidR="00B34926">
        <w:t>devastation due to</w:t>
      </w:r>
      <w:r w:rsidR="00B65667">
        <w:t xml:space="preserve"> the COVID-19 </w:t>
      </w:r>
      <w:r w:rsidR="0039196F">
        <w:t>crisis</w:t>
      </w:r>
      <w:r w:rsidR="00022BB4">
        <w:t xml:space="preserve">. </w:t>
      </w:r>
      <w:r w:rsidR="005E7A94">
        <w:t xml:space="preserve">The 1-year and 2-year annual treasury yields </w:t>
      </w:r>
      <w:r w:rsidR="00B34926">
        <w:t xml:space="preserve">both </w:t>
      </w:r>
      <w:r w:rsidR="00B65667">
        <w:t>ended the quarter</w:t>
      </w:r>
      <w:r w:rsidR="005E7A94">
        <w:t xml:space="preserve"> at </w:t>
      </w:r>
      <w:r w:rsidR="00B65667">
        <w:t>0.</w:t>
      </w:r>
      <w:r w:rsidR="00B34926">
        <w:t>16</w:t>
      </w:r>
      <w:r w:rsidR="005E7A94">
        <w:t>%. T</w:t>
      </w:r>
      <w:r w:rsidR="0061080D" w:rsidRPr="0005726F">
        <w:t xml:space="preserve">he </w:t>
      </w:r>
      <w:r w:rsidR="005E7A94">
        <w:t xml:space="preserve">benchmark </w:t>
      </w:r>
      <w:r w:rsidR="00022BB4">
        <w:t>1</w:t>
      </w:r>
      <w:r w:rsidR="0061080D" w:rsidRPr="0005726F">
        <w:t xml:space="preserve">0-year treasury </w:t>
      </w:r>
      <w:r w:rsidR="005E7A94">
        <w:t>yielded</w:t>
      </w:r>
      <w:r w:rsidR="0061080D" w:rsidRPr="0005726F">
        <w:t xml:space="preserve"> </w:t>
      </w:r>
      <w:r w:rsidR="00B65667">
        <w:t>0.</w:t>
      </w:r>
      <w:r w:rsidR="00B34926">
        <w:t>66</w:t>
      </w:r>
      <w:r w:rsidR="0061080D" w:rsidRPr="0005726F">
        <w:t>%</w:t>
      </w:r>
      <w:r w:rsidR="005E7A94">
        <w:t xml:space="preserve"> annually at the</w:t>
      </w:r>
      <w:r w:rsidR="00B65667">
        <w:t xml:space="preserve"> end of </w:t>
      </w:r>
      <w:r w:rsidR="00B34926">
        <w:t>June</w:t>
      </w:r>
      <w:r w:rsidR="00B65667">
        <w:t xml:space="preserve"> 2020</w:t>
      </w:r>
      <w:r w:rsidR="005E7A94">
        <w:t xml:space="preserve">, while </w:t>
      </w:r>
      <w:r w:rsidR="00D851AB" w:rsidRPr="0005726F">
        <w:t xml:space="preserve">the </w:t>
      </w:r>
      <w:r w:rsidR="00022BB4">
        <w:t>3</w:t>
      </w:r>
      <w:r w:rsidR="00D851AB" w:rsidRPr="0005726F">
        <w:t xml:space="preserve">0-year treasury </w:t>
      </w:r>
      <w:r w:rsidR="00B65667">
        <w:t>yielded</w:t>
      </w:r>
      <w:r w:rsidR="00D851AB" w:rsidRPr="0005726F">
        <w:t xml:space="preserve"> </w:t>
      </w:r>
      <w:r w:rsidR="00B65667">
        <w:t>1.</w:t>
      </w:r>
      <w:r w:rsidR="00B34926">
        <w:t>41</w:t>
      </w:r>
      <w:r w:rsidR="00D851AB" w:rsidRPr="0005726F">
        <w:t>%</w:t>
      </w:r>
      <w:r w:rsidR="00AE64EF" w:rsidRPr="007807DE">
        <w:rPr>
          <w:color w:val="000000" w:themeColor="text1"/>
        </w:rPr>
        <w:t>.</w:t>
      </w:r>
    </w:p>
    <w:p w14:paraId="0614E8BB" w14:textId="11DC9994" w:rsidR="004D1C9D" w:rsidRDefault="008E1296" w:rsidP="005117CA">
      <w:pPr>
        <w:jc w:val="center"/>
      </w:pPr>
      <w:r>
        <w:rPr>
          <w:noProof/>
        </w:rPr>
        <w:t xml:space="preserve"> </w:t>
      </w:r>
      <w:r w:rsidR="00353F0A">
        <w:rPr>
          <w:noProof/>
        </w:rPr>
        <w:drawing>
          <wp:inline distT="0" distB="0" distL="0" distR="0" wp14:anchorId="055FBC16" wp14:editId="6EFA42AB">
            <wp:extent cx="3493135" cy="2755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2755900"/>
                    </a:xfrm>
                    <a:prstGeom prst="rect">
                      <a:avLst/>
                    </a:prstGeom>
                    <a:noFill/>
                  </pic:spPr>
                </pic:pic>
              </a:graphicData>
            </a:graphic>
          </wp:inline>
        </w:drawing>
      </w:r>
    </w:p>
    <w:p w14:paraId="031CA932" w14:textId="3CBC68B1" w:rsidR="00B00681" w:rsidRDefault="00171C8E" w:rsidP="00005111">
      <w:r w:rsidRPr="004709B0">
        <w:t xml:space="preserve">In </w:t>
      </w:r>
      <w:r w:rsidR="00B34926">
        <w:t>the 2</w:t>
      </w:r>
      <w:r w:rsidR="00B34926" w:rsidRPr="00B34926">
        <w:rPr>
          <w:vertAlign w:val="superscript"/>
        </w:rPr>
        <w:t>nd</w:t>
      </w:r>
      <w:r w:rsidR="00B34926">
        <w:t xml:space="preserve"> quarter of 2020</w:t>
      </w:r>
      <w:r w:rsidR="00FE4D42">
        <w:t>,</w:t>
      </w:r>
      <w:r w:rsidRPr="004709B0">
        <w:t xml:space="preserve"> the Federal Reserve </w:t>
      </w:r>
      <w:r w:rsidR="00BA1CC0">
        <w:t>kept</w:t>
      </w:r>
      <w:r w:rsidR="003376CD" w:rsidRPr="004709B0">
        <w:t xml:space="preserve"> </w:t>
      </w:r>
      <w:r w:rsidR="00D851AB" w:rsidRPr="004709B0">
        <w:t>the federal funds target rate</w:t>
      </w:r>
      <w:r w:rsidR="00740863">
        <w:t xml:space="preserve"> </w:t>
      </w:r>
      <w:r w:rsidR="00B34926">
        <w:t>steady at</w:t>
      </w:r>
      <w:r w:rsidR="004709B0" w:rsidRPr="004709B0">
        <w:t xml:space="preserve"> </w:t>
      </w:r>
      <w:r w:rsidR="00624AEF">
        <w:t xml:space="preserve">a range of </w:t>
      </w:r>
      <w:r w:rsidR="00B65667">
        <w:t>0.0</w:t>
      </w:r>
      <w:r w:rsidR="005E7A94">
        <w:t>0</w:t>
      </w:r>
      <w:r w:rsidR="00624AEF">
        <w:t xml:space="preserve"> to </w:t>
      </w:r>
      <w:r w:rsidR="00B65667">
        <w:t>0.2</w:t>
      </w:r>
      <w:r w:rsidR="005E7A94">
        <w:t>5</w:t>
      </w:r>
      <w:r w:rsidR="004709B0" w:rsidRPr="004709B0">
        <w:t xml:space="preserve"> percent</w:t>
      </w:r>
      <w:r w:rsidR="00BA1CC0">
        <w:t>, pledging to hold that rate until the U.S. economy recovers from the pandemic-induced recession</w:t>
      </w:r>
      <w:r w:rsidR="000B0583">
        <w:t xml:space="preserve">. </w:t>
      </w:r>
      <w:r w:rsidR="003F5061">
        <w:t>The effective federal funds rate</w:t>
      </w:r>
      <w:r w:rsidR="003F5061">
        <w:rPr>
          <w:rStyle w:val="FootnoteReference"/>
        </w:rPr>
        <w:footnoteReference w:id="7"/>
      </w:r>
      <w:r w:rsidR="003F5061">
        <w:t xml:space="preserve"> as of </w:t>
      </w:r>
      <w:r w:rsidR="00BA1CC0">
        <w:t>June</w:t>
      </w:r>
      <w:r w:rsidR="00D55969">
        <w:t xml:space="preserve"> 3</w:t>
      </w:r>
      <w:r w:rsidR="00BA1CC0">
        <w:t>0</w:t>
      </w:r>
      <w:r w:rsidR="00BA1CC0" w:rsidRPr="00BA1CC0">
        <w:rPr>
          <w:vertAlign w:val="superscript"/>
        </w:rPr>
        <w:t>th</w:t>
      </w:r>
      <w:r w:rsidR="00BA1CC0">
        <w:t xml:space="preserve"> </w:t>
      </w:r>
      <w:r w:rsidR="00B00E83">
        <w:t>wa</w:t>
      </w:r>
      <w:r w:rsidR="003F5061">
        <w:t xml:space="preserve">s </w:t>
      </w:r>
      <w:r w:rsidR="00955094">
        <w:t>0.</w:t>
      </w:r>
      <w:r w:rsidR="00BA1CC0">
        <w:t>08</w:t>
      </w:r>
      <w:r w:rsidR="003F5061">
        <w:t>%.</w:t>
      </w:r>
    </w:p>
    <w:p w14:paraId="515AD2F7" w14:textId="137E6345" w:rsidR="004D1C9D" w:rsidRDefault="00353F0A" w:rsidP="00166C08">
      <w:pPr>
        <w:jc w:val="center"/>
      </w:pPr>
      <w:r>
        <w:rPr>
          <w:noProof/>
        </w:rPr>
        <w:lastRenderedPageBreak/>
        <w:drawing>
          <wp:inline distT="0" distB="0" distL="0" distR="0" wp14:anchorId="6BC15F15" wp14:editId="12384366">
            <wp:extent cx="3493135"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7D026DBE" w14:textId="2B21A2A7" w:rsidR="004D1C9D" w:rsidRDefault="005117CA" w:rsidP="005261C1">
      <w:r>
        <w:t>T</w:t>
      </w:r>
      <w:r w:rsidR="002978F9" w:rsidRPr="003376CD">
        <w:t xml:space="preserve">he yield on the </w:t>
      </w:r>
      <w:r w:rsidR="0039196F">
        <w:t xml:space="preserve">benchmark </w:t>
      </w:r>
      <w:r w:rsidR="002978F9" w:rsidRPr="003376CD">
        <w:t>10-year U.S. treasury</w:t>
      </w:r>
      <w:r w:rsidR="004759DB">
        <w:rPr>
          <w:rStyle w:val="FootnoteReference"/>
        </w:rPr>
        <w:footnoteReference w:id="8"/>
      </w:r>
      <w:r w:rsidR="002978F9" w:rsidRPr="003376CD">
        <w:t xml:space="preserve"> </w:t>
      </w:r>
      <w:r w:rsidR="00D22D6A">
        <w:t>fell 0.04</w:t>
      </w:r>
      <w:r>
        <w:t xml:space="preserve"> percentage points </w:t>
      </w:r>
      <w:r w:rsidR="00D22D6A">
        <w:t>during the 2</w:t>
      </w:r>
      <w:r w:rsidR="00D22D6A" w:rsidRPr="00D22D6A">
        <w:rPr>
          <w:vertAlign w:val="superscript"/>
        </w:rPr>
        <w:t>nd</w:t>
      </w:r>
      <w:r w:rsidR="00D22D6A">
        <w:t xml:space="preserve"> </w:t>
      </w:r>
      <w:r>
        <w:t>quarter</w:t>
      </w:r>
      <w:r w:rsidR="00B00E83">
        <w:t xml:space="preserve"> </w:t>
      </w:r>
      <w:r w:rsidR="000B0583">
        <w:t xml:space="preserve">to end </w:t>
      </w:r>
      <w:r w:rsidR="00D22D6A">
        <w:t>June</w:t>
      </w:r>
      <w:r w:rsidR="00CA112C">
        <w:t xml:space="preserve"> at </w:t>
      </w:r>
      <w:r w:rsidR="00955094">
        <w:t>0.</w:t>
      </w:r>
      <w:r w:rsidR="00D22D6A">
        <w:t>66</w:t>
      </w:r>
      <w:r w:rsidR="00CA112C">
        <w:t>%</w:t>
      </w:r>
      <w:r w:rsidR="00D22D6A">
        <w:t xml:space="preserve">, well </w:t>
      </w:r>
      <w:r w:rsidR="00071875" w:rsidRPr="003376CD">
        <w:t xml:space="preserve">below the average yield of </w:t>
      </w:r>
      <w:r w:rsidR="003376CD" w:rsidRPr="003376CD">
        <w:t>4.</w:t>
      </w:r>
      <w:r w:rsidR="00D22D6A">
        <w:t>38</w:t>
      </w:r>
      <w:r w:rsidR="004965CE" w:rsidRPr="003376CD">
        <w:t>% over the last 30 years</w:t>
      </w:r>
      <w:r w:rsidR="00CA112C">
        <w:t xml:space="preserve"> and</w:t>
      </w:r>
      <w:r w:rsidR="000874E3" w:rsidRPr="003376CD">
        <w:t xml:space="preserve"> the </w:t>
      </w:r>
      <w:r w:rsidR="006553D1">
        <w:t>2.</w:t>
      </w:r>
      <w:r w:rsidR="00D22D6A">
        <w:t>00</w:t>
      </w:r>
      <w:r w:rsidR="000874E3" w:rsidRPr="003376CD">
        <w:t xml:space="preserve">% </w:t>
      </w:r>
      <w:r w:rsidR="0016688A" w:rsidRPr="003376CD">
        <w:t xml:space="preserve">yield </w:t>
      </w:r>
      <w:r w:rsidR="00C9379B">
        <w:t xml:space="preserve">from </w:t>
      </w:r>
      <w:r w:rsidR="00F3628D">
        <w:t>the same period last year</w:t>
      </w:r>
      <w:r w:rsidR="00CB629F" w:rsidRPr="003376CD">
        <w:t>.</w:t>
      </w:r>
    </w:p>
    <w:p w14:paraId="67433862" w14:textId="5B6AE291" w:rsidR="004D1C9D" w:rsidRDefault="00353F0A" w:rsidP="005117CA">
      <w:pPr>
        <w:jc w:val="center"/>
      </w:pPr>
      <w:r>
        <w:rPr>
          <w:noProof/>
        </w:rPr>
        <w:drawing>
          <wp:inline distT="0" distB="0" distL="0" distR="0" wp14:anchorId="5698E7E9" wp14:editId="2A21529C">
            <wp:extent cx="3499485" cy="27495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9485" cy="2749550"/>
                    </a:xfrm>
                    <a:prstGeom prst="rect">
                      <a:avLst/>
                    </a:prstGeom>
                    <a:noFill/>
                  </pic:spPr>
                </pic:pic>
              </a:graphicData>
            </a:graphic>
          </wp:inline>
        </w:drawing>
      </w:r>
    </w:p>
    <w:p w14:paraId="62B8B6AA" w14:textId="77EF3D14" w:rsidR="00A96A6A" w:rsidRDefault="00F02B3A" w:rsidP="00460436">
      <w:r w:rsidRPr="007E5B14">
        <w:t xml:space="preserve">Corporate bond yields </w:t>
      </w:r>
      <w:r w:rsidR="00D22D6A">
        <w:t>fell steadily throughout</w:t>
      </w:r>
      <w:r w:rsidRPr="007E5B14">
        <w:t xml:space="preserve"> th</w:t>
      </w:r>
      <w:r w:rsidR="00D22D6A">
        <w:t>e</w:t>
      </w:r>
      <w:r w:rsidRPr="007E5B14">
        <w:t xml:space="preserve"> </w:t>
      </w:r>
      <w:r w:rsidR="00CD40BC">
        <w:t>2</w:t>
      </w:r>
      <w:r w:rsidR="00CD40BC" w:rsidRPr="00CD40BC">
        <w:rPr>
          <w:vertAlign w:val="superscript"/>
        </w:rPr>
        <w:t>nd</w:t>
      </w:r>
      <w:r w:rsidR="00CD40BC">
        <w:t xml:space="preserve"> </w:t>
      </w:r>
      <w:r w:rsidRPr="007E5B14">
        <w:t>quarter, with the Moody’s Baa Corpor</w:t>
      </w:r>
      <w:r w:rsidR="00102080" w:rsidRPr="007E5B14">
        <w:t xml:space="preserve">ate Bond Yield </w:t>
      </w:r>
      <w:r w:rsidR="004E3393" w:rsidRPr="007E5B14">
        <w:t>Index</w:t>
      </w:r>
      <w:r w:rsidR="004E5EC0">
        <w:rPr>
          <w:rStyle w:val="FootnoteReference"/>
        </w:rPr>
        <w:footnoteReference w:id="9"/>
      </w:r>
      <w:r w:rsidR="004E3393" w:rsidRPr="007E5B14">
        <w:t xml:space="preserve"> </w:t>
      </w:r>
      <w:r w:rsidR="00102080" w:rsidRPr="007E5B14">
        <w:t>ending the quarter</w:t>
      </w:r>
      <w:r w:rsidRPr="007E5B14">
        <w:t xml:space="preserve"> at </w:t>
      </w:r>
      <w:r w:rsidR="00D22D6A">
        <w:t>3.64</w:t>
      </w:r>
      <w:r w:rsidR="004965CE" w:rsidRPr="007E5B14">
        <w:t xml:space="preserve">% compared to </w:t>
      </w:r>
      <w:r w:rsidR="00D22D6A">
        <w:t>4.29</w:t>
      </w:r>
      <w:r w:rsidRPr="007E5B14">
        <w:t xml:space="preserve">% for the </w:t>
      </w:r>
      <w:r w:rsidR="00D22D6A">
        <w:t>1</w:t>
      </w:r>
      <w:r w:rsidR="00D22D6A" w:rsidRPr="00D22D6A">
        <w:rPr>
          <w:vertAlign w:val="superscript"/>
        </w:rPr>
        <w:t>st</w:t>
      </w:r>
      <w:r w:rsidR="00D22D6A">
        <w:t xml:space="preserve"> </w:t>
      </w:r>
      <w:r w:rsidRPr="007E5B14">
        <w:t>quarter</w:t>
      </w:r>
      <w:r w:rsidR="00823E2B">
        <w:t xml:space="preserve">. Rates </w:t>
      </w:r>
      <w:r w:rsidR="00285F67">
        <w:t>were below both</w:t>
      </w:r>
      <w:r w:rsidR="004965CE" w:rsidRPr="007E5B14">
        <w:t xml:space="preserve"> </w:t>
      </w:r>
      <w:r w:rsidR="00855A46" w:rsidRPr="00AF6040">
        <w:t>the index’s</w:t>
      </w:r>
      <w:r w:rsidRPr="00AF6040">
        <w:t xml:space="preserve"> </w:t>
      </w:r>
      <w:r w:rsidR="008A5F7F" w:rsidRPr="00AF6040">
        <w:t xml:space="preserve">average </w:t>
      </w:r>
      <w:r w:rsidR="00174B44" w:rsidRPr="00AF6040">
        <w:t xml:space="preserve">yield </w:t>
      </w:r>
      <w:r w:rsidR="006A0819">
        <w:t xml:space="preserve">of </w:t>
      </w:r>
      <w:r w:rsidR="00285F67">
        <w:t>6.</w:t>
      </w:r>
      <w:r w:rsidR="009A4508">
        <w:t>77</w:t>
      </w:r>
      <w:r w:rsidR="008A5F7F" w:rsidRPr="00AF6040">
        <w:t>%</w:t>
      </w:r>
      <w:r w:rsidR="004965CE" w:rsidRPr="00AF6040">
        <w:t xml:space="preserve"> for the last 30 years</w:t>
      </w:r>
      <w:r w:rsidR="00CD40BC" w:rsidRPr="00CD40BC">
        <w:t xml:space="preserve"> </w:t>
      </w:r>
      <w:r w:rsidR="00CD40BC">
        <w:t>and</w:t>
      </w:r>
      <w:r w:rsidR="00CD40BC" w:rsidRPr="007E5B14">
        <w:t xml:space="preserve"> the </w:t>
      </w:r>
      <w:r w:rsidR="00CD40BC">
        <w:t xml:space="preserve">4.46% yield from the </w:t>
      </w:r>
      <w:r w:rsidR="00CD40BC" w:rsidRPr="007E5B14">
        <w:t>same period last year</w:t>
      </w:r>
      <w:r w:rsidRPr="00AF6040">
        <w:t>.</w:t>
      </w:r>
    </w:p>
    <w:p w14:paraId="7CE57D35" w14:textId="7CED15EF" w:rsidR="005117CA" w:rsidRDefault="00EE17DC" w:rsidP="005117CA">
      <w:pPr>
        <w:jc w:val="center"/>
      </w:pPr>
      <w:r>
        <w:rPr>
          <w:noProof/>
        </w:rPr>
        <w:lastRenderedPageBreak/>
        <w:drawing>
          <wp:inline distT="0" distB="0" distL="0" distR="0" wp14:anchorId="7FBC1294" wp14:editId="5834CEC4">
            <wp:extent cx="3493135"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2F" w14:textId="479C442E" w:rsidR="00005111" w:rsidRDefault="00005111" w:rsidP="005261C1">
      <w:pPr>
        <w:pStyle w:val="Heading1"/>
      </w:pPr>
      <w:r>
        <w:t>Employment</w:t>
      </w:r>
    </w:p>
    <w:p w14:paraId="149D5F31" w14:textId="127AB4E1" w:rsidR="00C05052" w:rsidRPr="00D74F6D" w:rsidRDefault="00D839AA" w:rsidP="00B84330">
      <w:pPr>
        <w:rPr>
          <w:color w:val="000000" w:themeColor="text1"/>
        </w:rPr>
      </w:pPr>
      <w:r>
        <w:t>T</w:t>
      </w:r>
      <w:r w:rsidR="00D03F0F">
        <w:t xml:space="preserve">he </w:t>
      </w:r>
      <w:r w:rsidR="00F24605">
        <w:t>U</w:t>
      </w:r>
      <w:r w:rsidR="00BC00A7">
        <w:t>.</w:t>
      </w:r>
      <w:r w:rsidR="00F24605">
        <w:t>S</w:t>
      </w:r>
      <w:r w:rsidR="00BC00A7">
        <w:t>.</w:t>
      </w:r>
      <w:r w:rsidR="00F24605">
        <w:t xml:space="preserve"> </w:t>
      </w:r>
      <w:r w:rsidR="00D74F6D">
        <w:t>unemployment rate</w:t>
      </w:r>
      <w:r w:rsidR="00D03F0F">
        <w:t xml:space="preserve"> </w:t>
      </w:r>
      <w:r w:rsidR="001E15B0">
        <w:t>reached its highest level ever</w:t>
      </w:r>
      <w:r w:rsidR="00CD40BC">
        <w:t xml:space="preserve"> recorded</w:t>
      </w:r>
      <w:r w:rsidR="001E15B0">
        <w:t xml:space="preserve"> in April 2020 and remained in double-digits to end the quarter</w:t>
      </w:r>
      <w:r w:rsidR="00105413">
        <w:rPr>
          <w:color w:val="000000" w:themeColor="text1"/>
        </w:rPr>
        <w:t xml:space="preserve">. </w:t>
      </w:r>
      <w:r w:rsidR="0002760A">
        <w:rPr>
          <w:color w:val="000000" w:themeColor="text1"/>
        </w:rPr>
        <w:t>T</w:t>
      </w:r>
      <w:r w:rsidR="001E15B0">
        <w:rPr>
          <w:color w:val="000000" w:themeColor="text1"/>
        </w:rPr>
        <w:t xml:space="preserve">he U.S. lost </w:t>
      </w:r>
      <w:r w:rsidR="00D31166">
        <w:rPr>
          <w:color w:val="000000" w:themeColor="text1"/>
        </w:rPr>
        <w:t>nearly</w:t>
      </w:r>
      <w:r w:rsidR="001E15B0">
        <w:rPr>
          <w:color w:val="000000" w:themeColor="text1"/>
        </w:rPr>
        <w:t xml:space="preserve"> </w:t>
      </w:r>
      <w:r w:rsidR="00D31166">
        <w:rPr>
          <w:color w:val="000000" w:themeColor="text1"/>
        </w:rPr>
        <w:t>13.3</w:t>
      </w:r>
      <w:r w:rsidR="001E15B0">
        <w:rPr>
          <w:color w:val="000000" w:themeColor="text1"/>
        </w:rPr>
        <w:t xml:space="preserve"> million jobs </w:t>
      </w:r>
      <w:r w:rsidR="00D31166">
        <w:rPr>
          <w:color w:val="000000" w:themeColor="text1"/>
        </w:rPr>
        <w:t>throughout the 2</w:t>
      </w:r>
      <w:r w:rsidR="00D31166" w:rsidRPr="00D31166">
        <w:rPr>
          <w:color w:val="000000" w:themeColor="text1"/>
          <w:vertAlign w:val="superscript"/>
        </w:rPr>
        <w:t>nd</w:t>
      </w:r>
      <w:r w:rsidR="00D31166">
        <w:rPr>
          <w:color w:val="000000" w:themeColor="text1"/>
        </w:rPr>
        <w:t xml:space="preserve"> quarter</w:t>
      </w:r>
      <w:r w:rsidR="001E15B0">
        <w:rPr>
          <w:color w:val="000000" w:themeColor="text1"/>
        </w:rPr>
        <w:t>, as t</w:t>
      </w:r>
      <w:r w:rsidR="00102080" w:rsidRPr="00865CE8">
        <w:rPr>
          <w:color w:val="000000" w:themeColor="text1"/>
        </w:rPr>
        <w:t xml:space="preserve">otal </w:t>
      </w:r>
      <w:r w:rsidR="00DB663A" w:rsidRPr="00D74F6D">
        <w:rPr>
          <w:color w:val="000000" w:themeColor="text1"/>
        </w:rPr>
        <w:t>nonfarm payrolls</w:t>
      </w:r>
      <w:r w:rsidR="0052077C" w:rsidRPr="00D74F6D">
        <w:rPr>
          <w:rStyle w:val="FootnoteReference"/>
          <w:color w:val="000000" w:themeColor="text1"/>
        </w:rPr>
        <w:footnoteReference w:id="10"/>
      </w:r>
      <w:r w:rsidR="00DB663A" w:rsidRPr="00D74F6D">
        <w:rPr>
          <w:color w:val="000000" w:themeColor="text1"/>
        </w:rPr>
        <w:t xml:space="preserve"> </w:t>
      </w:r>
      <w:r w:rsidR="00D31166">
        <w:rPr>
          <w:color w:val="000000" w:themeColor="text1"/>
        </w:rPr>
        <w:t xml:space="preserve">plunged </w:t>
      </w:r>
      <w:r w:rsidR="00CD40BC">
        <w:rPr>
          <w:color w:val="000000" w:themeColor="text1"/>
        </w:rPr>
        <w:t xml:space="preserve">by </w:t>
      </w:r>
      <w:r w:rsidR="00D31166">
        <w:rPr>
          <w:color w:val="000000" w:themeColor="text1"/>
        </w:rPr>
        <w:t>20.8 million in April, then partially recovered in May and June</w:t>
      </w:r>
      <w:r w:rsidR="003E18DF">
        <w:rPr>
          <w:color w:val="000000" w:themeColor="text1"/>
        </w:rPr>
        <w:t xml:space="preserve"> </w:t>
      </w:r>
      <w:r w:rsidR="00CD40BC">
        <w:rPr>
          <w:color w:val="000000" w:themeColor="text1"/>
        </w:rPr>
        <w:t>when</w:t>
      </w:r>
      <w:r w:rsidR="003E18DF">
        <w:rPr>
          <w:color w:val="000000" w:themeColor="text1"/>
        </w:rPr>
        <w:t xml:space="preserve"> states began to ease restrictions on </w:t>
      </w:r>
      <w:r w:rsidR="00CD40BC">
        <w:rPr>
          <w:color w:val="000000" w:themeColor="text1"/>
        </w:rPr>
        <w:t xml:space="preserve">nonessential </w:t>
      </w:r>
      <w:r w:rsidR="003E18DF">
        <w:rPr>
          <w:color w:val="000000" w:themeColor="text1"/>
        </w:rPr>
        <w:t>in-person</w:t>
      </w:r>
      <w:r w:rsidR="00CD40BC">
        <w:rPr>
          <w:color w:val="000000" w:themeColor="text1"/>
        </w:rPr>
        <w:t xml:space="preserve"> activities</w:t>
      </w:r>
      <w:r w:rsidR="00572F03">
        <w:rPr>
          <w:color w:val="000000" w:themeColor="text1"/>
        </w:rPr>
        <w:t xml:space="preserve">. </w:t>
      </w:r>
      <w:r w:rsidR="00F70A8F">
        <w:rPr>
          <w:color w:val="000000" w:themeColor="text1"/>
        </w:rPr>
        <w:t>The largest losses were in leisure &amp; hospitality, especially eating &amp; drinking places; health care</w:t>
      </w:r>
      <w:r w:rsidR="00CD40BC">
        <w:rPr>
          <w:color w:val="000000" w:themeColor="text1"/>
        </w:rPr>
        <w:t xml:space="preserve"> and social assistance</w:t>
      </w:r>
      <w:r w:rsidR="00F70A8F">
        <w:rPr>
          <w:color w:val="000000" w:themeColor="text1"/>
        </w:rPr>
        <w:t>; professional services; and retail trade</w:t>
      </w:r>
      <w:r w:rsidR="00B97C78">
        <w:rPr>
          <w:color w:val="000000" w:themeColor="text1"/>
        </w:rPr>
        <w:t>.</w:t>
      </w:r>
      <w:r w:rsidR="00572F03">
        <w:rPr>
          <w:color w:val="000000" w:themeColor="text1"/>
        </w:rPr>
        <w:t xml:space="preserve"> </w:t>
      </w:r>
      <w:r w:rsidR="00F70A8F">
        <w:rPr>
          <w:color w:val="000000" w:themeColor="text1"/>
        </w:rPr>
        <w:t xml:space="preserve">Leisure and hospitality led the </w:t>
      </w:r>
      <w:proofErr w:type="gramStart"/>
      <w:r w:rsidR="00F70A8F">
        <w:rPr>
          <w:color w:val="000000" w:themeColor="text1"/>
        </w:rPr>
        <w:t>late-spring</w:t>
      </w:r>
      <w:proofErr w:type="gramEnd"/>
      <w:r w:rsidR="00F70A8F">
        <w:rPr>
          <w:color w:val="000000" w:themeColor="text1"/>
        </w:rPr>
        <w:t xml:space="preserve"> rebounds, but </w:t>
      </w:r>
      <w:r w:rsidR="003E18DF">
        <w:rPr>
          <w:color w:val="000000" w:themeColor="text1"/>
        </w:rPr>
        <w:t xml:space="preserve">remained more than 3 million jobs lower than pre-COVID reports. </w:t>
      </w:r>
      <w:r w:rsidR="00572F03">
        <w:rPr>
          <w:color w:val="000000" w:themeColor="text1"/>
        </w:rPr>
        <w:t xml:space="preserve">Payrolls were </w:t>
      </w:r>
      <w:r w:rsidR="00BE1260">
        <w:rPr>
          <w:color w:val="000000" w:themeColor="text1"/>
        </w:rPr>
        <w:t xml:space="preserve">up 4.8 million in June; still </w:t>
      </w:r>
      <w:r w:rsidR="003E18DF">
        <w:rPr>
          <w:color w:val="000000" w:themeColor="text1"/>
        </w:rPr>
        <w:t>13.0</w:t>
      </w:r>
      <w:r w:rsidR="00572F03">
        <w:rPr>
          <w:color w:val="000000" w:themeColor="text1"/>
        </w:rPr>
        <w:t xml:space="preserve"> million </w:t>
      </w:r>
      <w:r w:rsidR="003E18DF">
        <w:rPr>
          <w:color w:val="000000" w:themeColor="text1"/>
        </w:rPr>
        <w:t>below</w:t>
      </w:r>
      <w:r w:rsidR="00572F03">
        <w:rPr>
          <w:color w:val="000000" w:themeColor="text1"/>
        </w:rPr>
        <w:t xml:space="preserve"> </w:t>
      </w:r>
      <w:r w:rsidR="003E18DF">
        <w:rPr>
          <w:color w:val="000000" w:themeColor="text1"/>
        </w:rPr>
        <w:t>last June’s levels</w:t>
      </w:r>
      <w:r w:rsidR="00572F03">
        <w:rPr>
          <w:color w:val="000000" w:themeColor="text1"/>
        </w:rPr>
        <w:t>.</w:t>
      </w:r>
    </w:p>
    <w:p w14:paraId="149D5F33" w14:textId="622160B2" w:rsidR="00B84330" w:rsidRDefault="00EE17DC" w:rsidP="004D099A">
      <w:pPr>
        <w:jc w:val="center"/>
      </w:pPr>
      <w:r>
        <w:rPr>
          <w:noProof/>
        </w:rPr>
        <w:drawing>
          <wp:inline distT="0" distB="0" distL="0" distR="0" wp14:anchorId="1412B137" wp14:editId="589EE0C2">
            <wp:extent cx="3846830" cy="27432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6830" cy="2743200"/>
                    </a:xfrm>
                    <a:prstGeom prst="rect">
                      <a:avLst/>
                    </a:prstGeom>
                    <a:noFill/>
                  </pic:spPr>
                </pic:pic>
              </a:graphicData>
            </a:graphic>
          </wp:inline>
        </w:drawing>
      </w:r>
    </w:p>
    <w:p w14:paraId="0D3BFDA8" w14:textId="4CF5CD54" w:rsidR="00A96A6A" w:rsidRDefault="00D74F6D" w:rsidP="00005111">
      <w:r>
        <w:lastRenderedPageBreak/>
        <w:t>The</w:t>
      </w:r>
      <w:r w:rsidR="00C05052" w:rsidRPr="00925F58">
        <w:t xml:space="preserve"> unemp</w:t>
      </w:r>
      <w:r w:rsidR="00F81F49" w:rsidRPr="00925F58">
        <w:t>loyment rate</w:t>
      </w:r>
      <w:r w:rsidR="00C937ED">
        <w:rPr>
          <w:rStyle w:val="FootnoteReference"/>
        </w:rPr>
        <w:footnoteReference w:id="11"/>
      </w:r>
      <w:r w:rsidR="00F81F49" w:rsidRPr="00925F58">
        <w:t xml:space="preserve"> </w:t>
      </w:r>
      <w:r w:rsidR="003E18DF">
        <w:t>peaked at 14.7%</w:t>
      </w:r>
      <w:r w:rsidR="001E15B0">
        <w:t xml:space="preserve"> in April 2020</w:t>
      </w:r>
      <w:r w:rsidR="003E18DF">
        <w:t xml:space="preserve"> </w:t>
      </w:r>
      <w:r w:rsidR="001E15B0">
        <w:t>before easing to 11.1% in June 2020</w:t>
      </w:r>
      <w:r w:rsidR="001E15B0">
        <w:rPr>
          <w:color w:val="000000" w:themeColor="text1"/>
        </w:rPr>
        <w:t>.</w:t>
      </w:r>
      <w:r w:rsidR="001E15B0">
        <w:t xml:space="preserve"> </w:t>
      </w:r>
      <w:r w:rsidR="003E18DF">
        <w:t xml:space="preserve">Those reporting temporary layoffs fell by 4.8 million in June, yet </w:t>
      </w:r>
      <w:r w:rsidR="00982654">
        <w:t xml:space="preserve">those experiencing </w:t>
      </w:r>
      <w:r w:rsidR="003E18DF">
        <w:t>permanent job loss</w:t>
      </w:r>
      <w:r w:rsidR="00982654">
        <w:t>es</w:t>
      </w:r>
      <w:r w:rsidR="003E18DF">
        <w:t xml:space="preserve"> </w:t>
      </w:r>
      <w:r w:rsidR="00982654">
        <w:t xml:space="preserve">rose 0.6 million. </w:t>
      </w:r>
      <w:r w:rsidR="00D57C94">
        <w:t>T</w:t>
      </w:r>
      <w:r>
        <w:t xml:space="preserve">he </w:t>
      </w:r>
      <w:r w:rsidR="00982654">
        <w:t xml:space="preserve">June unemployment </w:t>
      </w:r>
      <w:r>
        <w:t xml:space="preserve">rate was </w:t>
      </w:r>
      <w:r w:rsidR="00237E71">
        <w:t>up</w:t>
      </w:r>
      <w:r w:rsidR="00F81F49" w:rsidRPr="00925F58">
        <w:t xml:space="preserve"> </w:t>
      </w:r>
      <w:r w:rsidR="00982654">
        <w:t>7.4</w:t>
      </w:r>
      <w:r w:rsidR="00072C36">
        <w:t xml:space="preserve">% </w:t>
      </w:r>
      <w:r w:rsidR="001744C6" w:rsidRPr="00925F58">
        <w:t xml:space="preserve">from the same period a year ago </w:t>
      </w:r>
      <w:r w:rsidR="00982654">
        <w:t>and well above</w:t>
      </w:r>
      <w:r w:rsidR="001744C6" w:rsidRPr="00925F58">
        <w:t xml:space="preserve"> the 30-year average </w:t>
      </w:r>
      <w:r w:rsidR="00D644B7" w:rsidRPr="00925F58">
        <w:t xml:space="preserve">unemployment rate </w:t>
      </w:r>
      <w:r w:rsidR="001744C6" w:rsidRPr="00925F58">
        <w:t xml:space="preserve">of </w:t>
      </w:r>
      <w:r w:rsidR="00D501BC" w:rsidRPr="00925F58">
        <w:t>5.</w:t>
      </w:r>
      <w:r w:rsidR="00982654">
        <w:t>9</w:t>
      </w:r>
      <w:r w:rsidR="001744C6" w:rsidRPr="00925F58">
        <w:t>%</w:t>
      </w:r>
      <w:r w:rsidR="008C798A">
        <w:t>.</w:t>
      </w:r>
    </w:p>
    <w:p w14:paraId="1926EEEC" w14:textId="29F5BDA0" w:rsidR="0017576B" w:rsidRDefault="00EE17DC" w:rsidP="00D57C94">
      <w:pPr>
        <w:jc w:val="center"/>
      </w:pPr>
      <w:r>
        <w:rPr>
          <w:noProof/>
        </w:rPr>
        <w:drawing>
          <wp:inline distT="0" distB="0" distL="0" distR="0" wp14:anchorId="784B3855" wp14:editId="480CB12C">
            <wp:extent cx="3493135"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8" w14:textId="77777777" w:rsidR="00005111" w:rsidRDefault="00005111" w:rsidP="001475FF">
      <w:pPr>
        <w:pStyle w:val="Heading1"/>
      </w:pPr>
      <w:r>
        <w:t>Inflation</w:t>
      </w:r>
    </w:p>
    <w:p w14:paraId="149D5F3A" w14:textId="5A6AC60D" w:rsidR="00172307" w:rsidRDefault="00C90C6F" w:rsidP="00005111">
      <w:r>
        <w:t xml:space="preserve">Inflation </w:t>
      </w:r>
      <w:r w:rsidR="00982654">
        <w:t>rebounded at the end of the 2</w:t>
      </w:r>
      <w:r w:rsidR="00982654" w:rsidRPr="00982654">
        <w:rPr>
          <w:vertAlign w:val="superscript"/>
        </w:rPr>
        <w:t>nd</w:t>
      </w:r>
      <w:r w:rsidR="00982654">
        <w:t xml:space="preserve"> quarter, </w:t>
      </w:r>
      <w:r w:rsidR="00C50E71">
        <w:t>led by</w:t>
      </w:r>
      <w:r w:rsidR="00982654">
        <w:t xml:space="preserve"> higher prices for </w:t>
      </w:r>
      <w:r w:rsidR="00C50E71">
        <w:t>gasoline and food</w:t>
      </w:r>
      <w:r w:rsidR="00982654">
        <w:t xml:space="preserve"> as </w:t>
      </w:r>
      <w:r w:rsidR="00C50E71">
        <w:t>business and consumer</w:t>
      </w:r>
      <w:r w:rsidR="00982654">
        <w:t xml:space="preserve"> activity perked up in June</w:t>
      </w:r>
      <w:r w:rsidR="001E7445">
        <w:t>.</w:t>
      </w:r>
      <w:r w:rsidR="00982654">
        <w:t xml:space="preserve"> Still, economists expect inflation to remain mild throughout the current economic crisis</w:t>
      </w:r>
      <w:r w:rsidR="00C50E71">
        <w:t>.</w:t>
      </w:r>
      <w:r w:rsidR="001E7445">
        <w:t xml:space="preserve"> </w:t>
      </w:r>
      <w:r w:rsidR="00C50E71">
        <w:t>T</w:t>
      </w:r>
      <w:r w:rsidR="006F7FB2" w:rsidRPr="0016088B">
        <w:t>he Consumer Price Index (CPI)</w:t>
      </w:r>
      <w:r w:rsidR="0076678E">
        <w:rPr>
          <w:rStyle w:val="FootnoteReference"/>
        </w:rPr>
        <w:footnoteReference w:id="12"/>
      </w:r>
      <w:r w:rsidR="006F7FB2" w:rsidRPr="0016088B">
        <w:t xml:space="preserve"> </w:t>
      </w:r>
      <w:r w:rsidR="00CD3F6E">
        <w:t xml:space="preserve">has </w:t>
      </w:r>
      <w:r w:rsidR="006F7FB2" w:rsidRPr="0016088B">
        <w:t xml:space="preserve">increased </w:t>
      </w:r>
      <w:r w:rsidR="0016088B" w:rsidRPr="0016088B">
        <w:t xml:space="preserve">by </w:t>
      </w:r>
      <w:r w:rsidR="00982654">
        <w:t>0.71</w:t>
      </w:r>
      <w:r w:rsidR="0016088B" w:rsidRPr="0016088B">
        <w:t>%</w:t>
      </w:r>
      <w:r w:rsidR="00CD3F6E">
        <w:t xml:space="preserve"> since</w:t>
      </w:r>
      <w:r>
        <w:t xml:space="preserve"> </w:t>
      </w:r>
      <w:r w:rsidR="00072C36">
        <w:t xml:space="preserve">last </w:t>
      </w:r>
      <w:r w:rsidR="00982654">
        <w:t>June</w:t>
      </w:r>
      <w:r w:rsidR="006F7FB2" w:rsidRPr="0016088B">
        <w:t>.</w:t>
      </w:r>
      <w:r w:rsidR="00B071DB" w:rsidRPr="0016088B">
        <w:t xml:space="preserve"> </w:t>
      </w:r>
      <w:r w:rsidR="00BD3693">
        <w:t xml:space="preserve">According to </w:t>
      </w:r>
      <w:r w:rsidR="001E6FCC">
        <w:t xml:space="preserve">the </w:t>
      </w:r>
      <w:r w:rsidR="00BD3693">
        <w:t>Federal Reserve Bank of New York’s S</w:t>
      </w:r>
      <w:r w:rsidR="00A82B9E">
        <w:t>urvey of Consumer Expectations,</w:t>
      </w:r>
      <w:r w:rsidR="00BD3693">
        <w:t xml:space="preserve"> inflation</w:t>
      </w:r>
      <w:r w:rsidR="00A82B9E">
        <w:t xml:space="preserve"> </w:t>
      </w:r>
      <w:r w:rsidR="001E7445">
        <w:t>expectations</w:t>
      </w:r>
      <w:r w:rsidR="008155BA">
        <w:rPr>
          <w:rStyle w:val="FootnoteReference"/>
        </w:rPr>
        <w:footnoteReference w:id="13"/>
      </w:r>
      <w:r w:rsidR="00E274D8">
        <w:t xml:space="preserve"> </w:t>
      </w:r>
      <w:r w:rsidR="00C50E71">
        <w:t>softened in June to 2.7</w:t>
      </w:r>
      <w:r w:rsidR="009C74AB">
        <w:t xml:space="preserve">% </w:t>
      </w:r>
      <w:r w:rsidR="00E274D8">
        <w:t xml:space="preserve">for the </w:t>
      </w:r>
      <w:r w:rsidR="00BD3693">
        <w:t>one</w:t>
      </w:r>
      <w:r w:rsidR="00E274D8">
        <w:t>-</w:t>
      </w:r>
      <w:r w:rsidR="00BD3693">
        <w:t>year</w:t>
      </w:r>
      <w:r>
        <w:t xml:space="preserve"> </w:t>
      </w:r>
      <w:r w:rsidR="009C74AB">
        <w:t xml:space="preserve">horizon </w:t>
      </w:r>
      <w:r w:rsidR="00E274D8">
        <w:t>and</w:t>
      </w:r>
      <w:r w:rsidR="001A4F9E">
        <w:t xml:space="preserve"> </w:t>
      </w:r>
      <w:r w:rsidR="009C74AB">
        <w:t>2.</w:t>
      </w:r>
      <w:r w:rsidR="00C50E71">
        <w:t>5</w:t>
      </w:r>
      <w:r w:rsidR="009C74AB">
        <w:t xml:space="preserve">% for the </w:t>
      </w:r>
      <w:r w:rsidR="00E274D8">
        <w:t>three-year</w:t>
      </w:r>
      <w:r w:rsidR="009C74AB">
        <w:t xml:space="preserve"> horizon</w:t>
      </w:r>
      <w:r w:rsidR="00BD3693">
        <w:t xml:space="preserve">. </w:t>
      </w:r>
    </w:p>
    <w:p w14:paraId="149D5F3C" w14:textId="36201BFC" w:rsidR="00B94E68" w:rsidRDefault="00EE17DC" w:rsidP="0026599C">
      <w:pPr>
        <w:jc w:val="center"/>
      </w:pPr>
      <w:r>
        <w:rPr>
          <w:noProof/>
        </w:rPr>
        <w:lastRenderedPageBreak/>
        <w:drawing>
          <wp:inline distT="0" distB="0" distL="0" distR="0" wp14:anchorId="1C32CA7B" wp14:editId="0EC1A693">
            <wp:extent cx="3493135"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E" w14:textId="12D830E7" w:rsidR="00A11CAC" w:rsidRDefault="006F7FB2" w:rsidP="006F7FB2">
      <w:r w:rsidRPr="004E4B6F">
        <w:t>Prices at the prod</w:t>
      </w:r>
      <w:r w:rsidR="000E6A61" w:rsidRPr="004E4B6F">
        <w:t>ucer level</w:t>
      </w:r>
      <w:r w:rsidR="00E274D8">
        <w:t xml:space="preserve"> </w:t>
      </w:r>
      <w:r w:rsidR="00C50E71">
        <w:t>dropped in April before partially rebounding for the remainder of the quarter</w:t>
      </w:r>
      <w:r w:rsidR="0042476E">
        <w:t>,</w:t>
      </w:r>
      <w:r w:rsidR="00FE5B60">
        <w:t xml:space="preserve"> with </w:t>
      </w:r>
      <w:r w:rsidR="00C50E71">
        <w:t>June</w:t>
      </w:r>
      <w:r w:rsidR="00FE5B60">
        <w:t xml:space="preserve"> price</w:t>
      </w:r>
      <w:r w:rsidR="002435D7">
        <w:t>s</w:t>
      </w:r>
      <w:r w:rsidR="00FE5B60">
        <w:t xml:space="preserve"> </w:t>
      </w:r>
      <w:r w:rsidR="00C50E71">
        <w:t>up</w:t>
      </w:r>
      <w:r w:rsidR="00FE5B60">
        <w:t xml:space="preserve"> </w:t>
      </w:r>
      <w:r w:rsidR="00C50E71">
        <w:t xml:space="preserve">0.90% </w:t>
      </w:r>
      <w:r w:rsidR="00FE5B60">
        <w:t>for</w:t>
      </w:r>
      <w:r w:rsidR="008155BA">
        <w:t xml:space="preserve"> </w:t>
      </w:r>
      <w:r w:rsidR="00C50E71">
        <w:t>all commodities</w:t>
      </w:r>
      <w:r w:rsidR="008155BA">
        <w:t>, especially fuels</w:t>
      </w:r>
      <w:r w:rsidR="00C50E71">
        <w:t xml:space="preserve"> </w:t>
      </w:r>
      <w:r w:rsidR="00FD35EB">
        <w:t>and accommodations</w:t>
      </w:r>
      <w:r w:rsidR="00FE5B60">
        <w:t>. T</w:t>
      </w:r>
      <w:r w:rsidRPr="004E4B6F">
        <w:t>he Producer Pr</w:t>
      </w:r>
      <w:r w:rsidR="00174B44" w:rsidRPr="004E4B6F">
        <w:t>ice Index (PPI)</w:t>
      </w:r>
      <w:r w:rsidR="00CB1375">
        <w:rPr>
          <w:rStyle w:val="FootnoteReference"/>
        </w:rPr>
        <w:footnoteReference w:id="14"/>
      </w:r>
      <w:r w:rsidR="00174B44" w:rsidRPr="004E4B6F">
        <w:t xml:space="preserve"> </w:t>
      </w:r>
      <w:r w:rsidR="0042476E">
        <w:t xml:space="preserve">for all commodities </w:t>
      </w:r>
      <w:r w:rsidR="002435D7">
        <w:t>was</w:t>
      </w:r>
      <w:r w:rsidR="007B7D73" w:rsidRPr="004E4B6F">
        <w:t xml:space="preserve"> </w:t>
      </w:r>
      <w:r w:rsidR="00C50E71">
        <w:t>4.59</w:t>
      </w:r>
      <w:r w:rsidR="00174B44" w:rsidRPr="004E4B6F">
        <w:t>%</w:t>
      </w:r>
      <w:r w:rsidRPr="004E4B6F">
        <w:t xml:space="preserve"> </w:t>
      </w:r>
      <w:r w:rsidR="002435D7">
        <w:t xml:space="preserve">lower </w:t>
      </w:r>
      <w:r w:rsidR="0039736B">
        <w:t xml:space="preserve">in </w:t>
      </w:r>
      <w:r w:rsidR="00C50E71">
        <w:t>June</w:t>
      </w:r>
      <w:r w:rsidR="0039736B">
        <w:t xml:space="preserve"> </w:t>
      </w:r>
      <w:r w:rsidRPr="004E4B6F">
        <w:t>compared to the same period last year</w:t>
      </w:r>
      <w:r w:rsidR="00FE5B60">
        <w:t>, falling</w:t>
      </w:r>
      <w:r w:rsidR="00E274D8">
        <w:t xml:space="preserve"> well</w:t>
      </w:r>
      <w:r w:rsidR="0039736B">
        <w:t xml:space="preserve"> </w:t>
      </w:r>
      <w:r w:rsidR="008155BA">
        <w:t>short of</w:t>
      </w:r>
      <w:r w:rsidR="001E7445">
        <w:t xml:space="preserve"> </w:t>
      </w:r>
      <w:r w:rsidR="0031179D" w:rsidRPr="004E4B6F">
        <w:t xml:space="preserve">the 30-year average of </w:t>
      </w:r>
      <w:r w:rsidR="00FE5B60">
        <w:t>a</w:t>
      </w:r>
      <w:r w:rsidR="00FD35EB">
        <w:t xml:space="preserve"> 1.95</w:t>
      </w:r>
      <w:r w:rsidR="0031179D" w:rsidRPr="004E4B6F">
        <w:t>%</w:t>
      </w:r>
      <w:r w:rsidR="00FE5B60">
        <w:t xml:space="preserve"> annual increase</w:t>
      </w:r>
      <w:r w:rsidR="0031179D" w:rsidRPr="004E4B6F">
        <w:t xml:space="preserve">. </w:t>
      </w:r>
    </w:p>
    <w:p w14:paraId="149D5F40" w14:textId="13165E66" w:rsidR="00B94E68" w:rsidRDefault="00EE17DC" w:rsidP="00166C08">
      <w:pPr>
        <w:jc w:val="center"/>
      </w:pPr>
      <w:r>
        <w:rPr>
          <w:noProof/>
        </w:rPr>
        <w:drawing>
          <wp:inline distT="0" distB="0" distL="0" distR="0" wp14:anchorId="123413B4" wp14:editId="6AC14238">
            <wp:extent cx="3493135"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491A6E5E" w14:textId="0B5A3BBB" w:rsidR="00F03302" w:rsidRDefault="00FD35EB" w:rsidP="00F03302">
      <w:r>
        <w:t>D</w:t>
      </w:r>
      <w:r w:rsidR="00F03302">
        <w:t xml:space="preserve">uring the </w:t>
      </w:r>
      <w:r w:rsidR="00AF306C">
        <w:t>2</w:t>
      </w:r>
      <w:r w:rsidR="00AF306C" w:rsidRPr="00AF306C">
        <w:rPr>
          <w:vertAlign w:val="superscript"/>
        </w:rPr>
        <w:t>nd</w:t>
      </w:r>
      <w:r w:rsidR="00AF306C">
        <w:t xml:space="preserve"> </w:t>
      </w:r>
      <w:r w:rsidR="00F03302">
        <w:t>quarter</w:t>
      </w:r>
      <w:r w:rsidR="0074137C">
        <w:t>, U.S. crude oil</w:t>
      </w:r>
      <w:r w:rsidR="0074137C">
        <w:rPr>
          <w:rStyle w:val="FootnoteReference"/>
        </w:rPr>
        <w:footnoteReference w:id="15"/>
      </w:r>
      <w:r w:rsidR="0074137C">
        <w:t xml:space="preserve"> </w:t>
      </w:r>
      <w:r w:rsidR="00660C7A">
        <w:t xml:space="preserve">prices </w:t>
      </w:r>
      <w:r w:rsidR="0074137C">
        <w:t>reach</w:t>
      </w:r>
      <w:r>
        <w:t>ed</w:t>
      </w:r>
      <w:r w:rsidR="0074137C">
        <w:t xml:space="preserve"> a </w:t>
      </w:r>
      <w:r>
        <w:t>21</w:t>
      </w:r>
      <w:r w:rsidR="0074137C">
        <w:t>-year low</w:t>
      </w:r>
      <w:r>
        <w:t xml:space="preserve"> in April before beginning their recovery</w:t>
      </w:r>
      <w:r w:rsidR="00660C7A">
        <w:t>, supported by output restrictions</w:t>
      </w:r>
      <w:r w:rsidR="0074137C">
        <w:t>.</w:t>
      </w:r>
      <w:r w:rsidR="00F03302">
        <w:t xml:space="preserve"> </w:t>
      </w:r>
      <w:r w:rsidR="00660C7A">
        <w:t>Additionally, d</w:t>
      </w:r>
      <w:r w:rsidR="0074137C">
        <w:t>emand for oil</w:t>
      </w:r>
      <w:r w:rsidR="00660C7A">
        <w:t xml:space="preserve"> began a gradual</w:t>
      </w:r>
      <w:r w:rsidR="0074137C">
        <w:t xml:space="preserve"> worldwide </w:t>
      </w:r>
      <w:r w:rsidR="00660C7A">
        <w:t>rebound during</w:t>
      </w:r>
      <w:r w:rsidR="0074137C">
        <w:t xml:space="preserve"> the </w:t>
      </w:r>
      <w:r w:rsidR="00660C7A">
        <w:t>May and June</w:t>
      </w:r>
      <w:r w:rsidR="0074137C">
        <w:t xml:space="preserve"> as </w:t>
      </w:r>
      <w:r w:rsidR="00660C7A">
        <w:t>many countries worldwide eased travel and in-</w:t>
      </w:r>
      <w:r w:rsidR="00660C7A">
        <w:lastRenderedPageBreak/>
        <w:t xml:space="preserve">person business constraints imposed to control the </w:t>
      </w:r>
      <w:r w:rsidR="0074137C">
        <w:t>COVID-19 pandemic</w:t>
      </w:r>
      <w:r w:rsidR="00F03302">
        <w:t>. Crude oil prices</w:t>
      </w:r>
      <w:r w:rsidR="0074137C">
        <w:t xml:space="preserve"> </w:t>
      </w:r>
      <w:r w:rsidR="00F03302">
        <w:t xml:space="preserve">ended the quarter at </w:t>
      </w:r>
      <w:r w:rsidR="0074137C">
        <w:t>$</w:t>
      </w:r>
      <w:r>
        <w:t>38</w:t>
      </w:r>
      <w:r w:rsidR="0074137C">
        <w:t>.</w:t>
      </w:r>
      <w:r>
        <w:t>3</w:t>
      </w:r>
      <w:r w:rsidR="0074137C">
        <w:t xml:space="preserve">1 </w:t>
      </w:r>
      <w:r w:rsidR="00F03302">
        <w:t xml:space="preserve">per barrel in </w:t>
      </w:r>
      <w:r>
        <w:t>June</w:t>
      </w:r>
      <w:r w:rsidR="00F03302">
        <w:t xml:space="preserve">, </w:t>
      </w:r>
      <w:r>
        <w:t>up</w:t>
      </w:r>
      <w:r w:rsidR="00F03302">
        <w:t xml:space="preserve"> </w:t>
      </w:r>
      <w:r>
        <w:t>3</w:t>
      </w:r>
      <w:r w:rsidR="00F03302">
        <w:t>1</w:t>
      </w:r>
      <w:r w:rsidR="0074137C">
        <w:t>.2</w:t>
      </w:r>
      <w:r w:rsidR="00F03302">
        <w:t>% from the previous quarter</w:t>
      </w:r>
      <w:r>
        <w:t xml:space="preserve"> yet</w:t>
      </w:r>
      <w:r w:rsidR="00F03302">
        <w:t xml:space="preserve"> </w:t>
      </w:r>
      <w:r w:rsidR="001E6FCC">
        <w:t xml:space="preserve">still </w:t>
      </w:r>
      <w:r>
        <w:t>2</w:t>
      </w:r>
      <w:r w:rsidR="0074137C">
        <w:t>9.</w:t>
      </w:r>
      <w:r>
        <w:t>9</w:t>
      </w:r>
      <w:r w:rsidR="00F03302" w:rsidRPr="00892D49">
        <w:t xml:space="preserve">% </w:t>
      </w:r>
      <w:r w:rsidR="0074137C">
        <w:t>lower</w:t>
      </w:r>
      <w:r w:rsidR="00F03302">
        <w:t xml:space="preserve"> than</w:t>
      </w:r>
      <w:r w:rsidR="00F03302" w:rsidRPr="00892D49">
        <w:t xml:space="preserve"> last </w:t>
      </w:r>
      <w:r>
        <w:t>June</w:t>
      </w:r>
      <w:r w:rsidR="00F03302">
        <w:t>.</w:t>
      </w:r>
    </w:p>
    <w:p w14:paraId="51050840" w14:textId="616F66F6" w:rsidR="00F03302" w:rsidRDefault="00EE17DC" w:rsidP="00166C08">
      <w:pPr>
        <w:jc w:val="center"/>
      </w:pPr>
      <w:r>
        <w:rPr>
          <w:noProof/>
        </w:rPr>
        <w:drawing>
          <wp:inline distT="0" distB="0" distL="0" distR="0" wp14:anchorId="2645D3EE" wp14:editId="6D11DD9B">
            <wp:extent cx="360934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149D5F41" w14:textId="77777777" w:rsidR="00005111" w:rsidRDefault="00005111" w:rsidP="001475FF">
      <w:pPr>
        <w:pStyle w:val="Heading1"/>
      </w:pPr>
      <w:r>
        <w:t>Housing</w:t>
      </w:r>
    </w:p>
    <w:p w14:paraId="7135DBE1" w14:textId="49DA903F" w:rsidR="00A96A6A" w:rsidRDefault="00B0395F">
      <w:r w:rsidRPr="0094654A">
        <w:t xml:space="preserve">During the </w:t>
      </w:r>
      <w:r w:rsidR="00660C7A">
        <w:t>2</w:t>
      </w:r>
      <w:r w:rsidR="00660C7A" w:rsidRPr="00660C7A">
        <w:rPr>
          <w:vertAlign w:val="superscript"/>
        </w:rPr>
        <w:t>nd</w:t>
      </w:r>
      <w:r w:rsidR="00660C7A">
        <w:t xml:space="preserve"> </w:t>
      </w:r>
      <w:r w:rsidRPr="0094654A">
        <w:t>quarter, the h</w:t>
      </w:r>
      <w:r w:rsidR="00CD0AEC" w:rsidRPr="0094654A">
        <w:t xml:space="preserve">ousing </w:t>
      </w:r>
      <w:r w:rsidRPr="0094654A">
        <w:t xml:space="preserve">market </w:t>
      </w:r>
      <w:r w:rsidR="00B135D7">
        <w:t>also felt the effects of nonessential business restrictions</w:t>
      </w:r>
      <w:r w:rsidR="009A36DD">
        <w:t xml:space="preserve"> and economic contraction</w:t>
      </w:r>
      <w:r w:rsidR="00536754">
        <w:t>, with n</w:t>
      </w:r>
      <w:r w:rsidRPr="0094654A">
        <w:t>ew home starts</w:t>
      </w:r>
      <w:r w:rsidR="00C828B0">
        <w:rPr>
          <w:rStyle w:val="FootnoteReference"/>
        </w:rPr>
        <w:footnoteReference w:id="16"/>
      </w:r>
      <w:r w:rsidRPr="0094654A">
        <w:t xml:space="preserve"> </w:t>
      </w:r>
      <w:r w:rsidR="00B135D7">
        <w:t xml:space="preserve">dropping </w:t>
      </w:r>
      <w:r w:rsidR="00660C7A">
        <w:t xml:space="preserve">below 1 million in April before partially recovering </w:t>
      </w:r>
      <w:r w:rsidR="00B135D7">
        <w:t>to 1.</w:t>
      </w:r>
      <w:r w:rsidR="00660C7A">
        <w:t>19</w:t>
      </w:r>
      <w:r w:rsidRPr="0094654A">
        <w:t xml:space="preserve"> million in </w:t>
      </w:r>
      <w:r w:rsidR="00660C7A">
        <w:t>June</w:t>
      </w:r>
      <w:r w:rsidRPr="0094654A">
        <w:t xml:space="preserve">. </w:t>
      </w:r>
      <w:r w:rsidR="00536754">
        <w:t>T</w:t>
      </w:r>
      <w:r w:rsidR="0028237E">
        <w:t xml:space="preserve">otal </w:t>
      </w:r>
      <w:r w:rsidR="00536754">
        <w:t xml:space="preserve">new </w:t>
      </w:r>
      <w:r w:rsidR="0028237E">
        <w:t xml:space="preserve">housing starts were </w:t>
      </w:r>
      <w:r w:rsidR="00B135D7">
        <w:t xml:space="preserve">down </w:t>
      </w:r>
      <w:r w:rsidR="00660C7A">
        <w:t>6.5</w:t>
      </w:r>
      <w:r w:rsidR="0028237E">
        <w:t xml:space="preserve">% over </w:t>
      </w:r>
      <w:r w:rsidR="00BE1260">
        <w:t>the 2</w:t>
      </w:r>
      <w:r w:rsidR="00BE1260" w:rsidRPr="00BE1260">
        <w:rPr>
          <w:vertAlign w:val="superscript"/>
        </w:rPr>
        <w:t>nd</w:t>
      </w:r>
      <w:r w:rsidR="0028237E">
        <w:t xml:space="preserve"> quarter</w:t>
      </w:r>
      <w:r w:rsidR="00660C7A">
        <w:t xml:space="preserve"> and 25.3% since the beginning of 2020</w:t>
      </w:r>
      <w:r w:rsidR="0028237E">
        <w:t xml:space="preserve">. </w:t>
      </w:r>
      <w:r w:rsidR="00F277D7">
        <w:t xml:space="preserve">Though caution lingered as COVID-19 infection rates rose in </w:t>
      </w:r>
      <w:r w:rsidR="001E6FCC">
        <w:t>some parts of the country</w:t>
      </w:r>
      <w:r w:rsidR="00F277D7">
        <w:t xml:space="preserve"> in late June, mortgage rates at 50-year lows and building permit applications up 2.1% were bright spots for the homebuilding industry</w:t>
      </w:r>
      <w:r w:rsidRPr="0094654A">
        <w:t xml:space="preserve">. </w:t>
      </w:r>
      <w:r w:rsidR="003B0615">
        <w:t xml:space="preserve">New home starts </w:t>
      </w:r>
      <w:r w:rsidR="00660C7A">
        <w:t>remained</w:t>
      </w:r>
      <w:r w:rsidR="00B135D7">
        <w:t xml:space="preserve"> below</w:t>
      </w:r>
      <w:r w:rsidR="00424E74" w:rsidRPr="0094654A">
        <w:t xml:space="preserve"> the 30-year average of 1.</w:t>
      </w:r>
      <w:r w:rsidR="00B135D7">
        <w:t>30</w:t>
      </w:r>
      <w:r w:rsidR="00424E74" w:rsidRPr="0094654A">
        <w:t xml:space="preserve"> </w:t>
      </w:r>
      <w:r w:rsidR="00424E74" w:rsidRPr="004F1527">
        <w:t>million</w:t>
      </w:r>
      <w:r w:rsidR="00D55969">
        <w:t xml:space="preserve"> units per month</w:t>
      </w:r>
      <w:r w:rsidR="00660C7A" w:rsidRPr="00660C7A">
        <w:t xml:space="preserve"> </w:t>
      </w:r>
      <w:r w:rsidR="00660C7A">
        <w:t>throughout the 2</w:t>
      </w:r>
      <w:r w:rsidR="00660C7A" w:rsidRPr="00660C7A">
        <w:rPr>
          <w:vertAlign w:val="superscript"/>
        </w:rPr>
        <w:t>nd</w:t>
      </w:r>
      <w:r w:rsidR="00660C7A">
        <w:t xml:space="preserve"> quarter of 2020</w:t>
      </w:r>
      <w:r w:rsidR="00424E74" w:rsidRPr="004F1527">
        <w:t>.</w:t>
      </w:r>
      <w:r w:rsidR="00F80395">
        <w:t xml:space="preserve"> </w:t>
      </w:r>
    </w:p>
    <w:p w14:paraId="149D5F44" w14:textId="586C1391" w:rsidR="00B5315D" w:rsidRDefault="00EE17DC" w:rsidP="001B4B76">
      <w:pPr>
        <w:jc w:val="center"/>
      </w:pPr>
      <w:r>
        <w:rPr>
          <w:noProof/>
        </w:rPr>
        <w:lastRenderedPageBreak/>
        <w:drawing>
          <wp:inline distT="0" distB="0" distL="0" distR="0" wp14:anchorId="59826A5C" wp14:editId="524FBF55">
            <wp:extent cx="3816350"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0" cy="2743200"/>
                    </a:xfrm>
                    <a:prstGeom prst="rect">
                      <a:avLst/>
                    </a:prstGeom>
                    <a:noFill/>
                  </pic:spPr>
                </pic:pic>
              </a:graphicData>
            </a:graphic>
          </wp:inline>
        </w:drawing>
      </w:r>
    </w:p>
    <w:p w14:paraId="149D5F46" w14:textId="69331EB5" w:rsidR="00A96795" w:rsidRDefault="00A223EC" w:rsidP="000A1224">
      <w:r>
        <w:t xml:space="preserve">The cost </w:t>
      </w:r>
      <w:r w:rsidR="00BC00A7">
        <w:t xml:space="preserve">of financing </w:t>
      </w:r>
      <w:r>
        <w:t xml:space="preserve">for </w:t>
      </w:r>
      <w:r w:rsidR="001B4B76">
        <w:t xml:space="preserve">would-be homebuyers </w:t>
      </w:r>
      <w:r w:rsidR="00F277D7">
        <w:t>continued to decline</w:t>
      </w:r>
      <w:r w:rsidR="003B0615">
        <w:t xml:space="preserve"> </w:t>
      </w:r>
      <w:r w:rsidR="00670FB1">
        <w:t>during</w:t>
      </w:r>
      <w:r w:rsidR="00394236">
        <w:t xml:space="preserve"> the </w:t>
      </w:r>
      <w:r w:rsidR="00F277D7">
        <w:t>2</w:t>
      </w:r>
      <w:r w:rsidR="00F277D7" w:rsidRPr="00F277D7">
        <w:rPr>
          <w:vertAlign w:val="superscript"/>
        </w:rPr>
        <w:t>nd</w:t>
      </w:r>
      <w:r w:rsidR="00F277D7">
        <w:t xml:space="preserve"> </w:t>
      </w:r>
      <w:r w:rsidR="00394236">
        <w:t>quarter</w:t>
      </w:r>
      <w:r w:rsidR="0026329B">
        <w:t xml:space="preserve"> </w:t>
      </w:r>
      <w:r w:rsidR="001B4B76">
        <w:t>as the 30-year fixed-rate mortgage</w:t>
      </w:r>
      <w:r w:rsidR="00250313">
        <w:rPr>
          <w:rStyle w:val="FootnoteReference"/>
        </w:rPr>
        <w:footnoteReference w:id="17"/>
      </w:r>
      <w:r w:rsidR="001B4B76">
        <w:t xml:space="preserve"> </w:t>
      </w:r>
      <w:r w:rsidR="009A36DD">
        <w:t>slid</w:t>
      </w:r>
      <w:r w:rsidR="0026329B">
        <w:t xml:space="preserve"> to </w:t>
      </w:r>
      <w:r w:rsidR="0028237E">
        <w:t>3.</w:t>
      </w:r>
      <w:r w:rsidR="00F277D7">
        <w:t>13</w:t>
      </w:r>
      <w:r w:rsidR="00BE4FA9">
        <w:t>%</w:t>
      </w:r>
      <w:r w:rsidR="003B0615">
        <w:t xml:space="preserve"> to end </w:t>
      </w:r>
      <w:r w:rsidR="00F277D7">
        <w:t>June</w:t>
      </w:r>
      <w:r w:rsidR="00364347">
        <w:t xml:space="preserve"> </w:t>
      </w:r>
      <w:r w:rsidR="003B0615">
        <w:t>20</w:t>
      </w:r>
      <w:r w:rsidR="00364347">
        <w:t>20</w:t>
      </w:r>
      <w:r w:rsidR="001B4B76">
        <w:t>.</w:t>
      </w:r>
      <w:r w:rsidR="00A730DC">
        <w:t xml:space="preserve"> </w:t>
      </w:r>
      <w:r w:rsidR="00670FB1">
        <w:t>The</w:t>
      </w:r>
      <w:r w:rsidR="00A730DC">
        <w:t xml:space="preserve"> Fed </w:t>
      </w:r>
      <w:r w:rsidR="00F277D7">
        <w:t>held target interest rates at 0.00% to 0.25% throughout the 2</w:t>
      </w:r>
      <w:r w:rsidR="00F277D7" w:rsidRPr="00F277D7">
        <w:rPr>
          <w:vertAlign w:val="superscript"/>
        </w:rPr>
        <w:t>nd</w:t>
      </w:r>
      <w:r w:rsidR="00F277D7">
        <w:t xml:space="preserve"> quarter</w:t>
      </w:r>
      <w:r w:rsidR="00A730DC">
        <w:t>.</w:t>
      </w:r>
    </w:p>
    <w:p w14:paraId="0D0A69F6" w14:textId="377D089D" w:rsidR="00A96A6A" w:rsidRDefault="00EE17DC" w:rsidP="00453708">
      <w:pPr>
        <w:jc w:val="center"/>
      </w:pPr>
      <w:r>
        <w:rPr>
          <w:noProof/>
        </w:rPr>
        <w:drawing>
          <wp:inline distT="0" distB="0" distL="0" distR="0" wp14:anchorId="4FE0F226" wp14:editId="52BCFE85">
            <wp:extent cx="3816350" cy="27374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D2DE37C" w14:textId="74B2BE66" w:rsidR="00A96A6A" w:rsidRDefault="00B767AE" w:rsidP="00773B5B">
      <w:r>
        <w:t>The S&amp;</w:t>
      </w:r>
      <w:r w:rsidR="00BD1AF4">
        <w:t>P Case-Shiller Home Price Index (20-city)</w:t>
      </w:r>
      <w:r w:rsidR="00B2585A">
        <w:rPr>
          <w:rStyle w:val="FootnoteReference"/>
        </w:rPr>
        <w:footnoteReference w:id="18"/>
      </w:r>
      <w:r w:rsidR="00BD1AF4">
        <w:t xml:space="preserve"> </w:t>
      </w:r>
      <w:r w:rsidR="00BE4FA9">
        <w:t>for</w:t>
      </w:r>
      <w:r w:rsidR="00BD1AF4">
        <w:t xml:space="preserve"> </w:t>
      </w:r>
      <w:r w:rsidR="006F49C7">
        <w:t>May</w:t>
      </w:r>
      <w:r w:rsidR="00BD1AF4">
        <w:t xml:space="preserve"> </w:t>
      </w:r>
      <w:r w:rsidR="00111974">
        <w:t>2020</w:t>
      </w:r>
      <w:r w:rsidR="00BD1AF4">
        <w:t xml:space="preserve"> </w:t>
      </w:r>
      <w:r w:rsidR="001868CB">
        <w:t>increased</w:t>
      </w:r>
      <w:r w:rsidR="00E2306A">
        <w:t xml:space="preserve"> </w:t>
      </w:r>
      <w:r w:rsidR="001868CB">
        <w:t xml:space="preserve">by </w:t>
      </w:r>
      <w:r w:rsidR="009A36DD">
        <w:t>3.</w:t>
      </w:r>
      <w:r w:rsidR="006F49C7">
        <w:t>7</w:t>
      </w:r>
      <w:r w:rsidR="00E2306A">
        <w:t>%</w:t>
      </w:r>
      <w:r w:rsidR="003A0447">
        <w:t xml:space="preserve"> over the year</w:t>
      </w:r>
      <w:r w:rsidR="00933213">
        <w:t xml:space="preserve">, with </w:t>
      </w:r>
      <w:r w:rsidR="00C737DC">
        <w:t xml:space="preserve">the </w:t>
      </w:r>
      <w:r w:rsidR="006F49C7">
        <w:t>strongest</w:t>
      </w:r>
      <w:r w:rsidR="00C737DC">
        <w:t xml:space="preserve"> gains </w:t>
      </w:r>
      <w:r w:rsidR="006F49C7">
        <w:t xml:space="preserve">again </w:t>
      </w:r>
      <w:r w:rsidR="00C737DC">
        <w:t xml:space="preserve">in </w:t>
      </w:r>
      <w:r w:rsidR="006F49C7">
        <w:t>Phoenix, Seattle, and Tampa</w:t>
      </w:r>
      <w:r w:rsidR="0096732C">
        <w:t>.</w:t>
      </w:r>
      <w:r w:rsidR="00933213">
        <w:t xml:space="preserve"> </w:t>
      </w:r>
      <w:r w:rsidR="006F49C7">
        <w:t>The 20-city composite lagged the national index. Pandemic-induced d</w:t>
      </w:r>
      <w:r w:rsidR="00B432FD" w:rsidRPr="00B432FD">
        <w:t>emand</w:t>
      </w:r>
      <w:r w:rsidR="006F49C7">
        <w:t xml:space="preserve"> for homes outside of major cities, combined with</w:t>
      </w:r>
      <w:r w:rsidR="00B432FD" w:rsidRPr="00B432FD">
        <w:t xml:space="preserve"> </w:t>
      </w:r>
      <w:r w:rsidR="006F49C7">
        <w:t>historically</w:t>
      </w:r>
      <w:r w:rsidR="00B432FD" w:rsidRPr="00B432FD">
        <w:t xml:space="preserve"> low mortgage rates</w:t>
      </w:r>
      <w:r w:rsidR="006F49C7">
        <w:t xml:space="preserve"> and constrained supply, buoyed home prices </w:t>
      </w:r>
      <w:r w:rsidR="006F49C7">
        <w:lastRenderedPageBreak/>
        <w:t>after initial slackening in the earlier stages of COVID-19’s spread</w:t>
      </w:r>
      <w:r w:rsidR="00B432FD" w:rsidRPr="00B432FD">
        <w:t>.</w:t>
      </w:r>
      <w:r w:rsidR="00B432FD">
        <w:t xml:space="preserve"> </w:t>
      </w:r>
      <w:r w:rsidR="00873466">
        <w:t xml:space="preserve">Last </w:t>
      </w:r>
      <w:r w:rsidR="006F49C7">
        <w:t>May</w:t>
      </w:r>
      <w:r w:rsidR="00873466">
        <w:t xml:space="preserve">, home prices were increasing at a </w:t>
      </w:r>
      <w:r w:rsidR="009A36DD">
        <w:t>2.</w:t>
      </w:r>
      <w:r w:rsidR="006F49C7">
        <w:t>3</w:t>
      </w:r>
      <w:r w:rsidR="00873466">
        <w:t>% annual rate.</w:t>
      </w:r>
    </w:p>
    <w:p w14:paraId="149D5F4C" w14:textId="338A45E3" w:rsidR="0064538F" w:rsidRDefault="00EE17DC" w:rsidP="002775DB">
      <w:pPr>
        <w:jc w:val="center"/>
      </w:pPr>
      <w:r>
        <w:rPr>
          <w:noProof/>
        </w:rPr>
        <w:drawing>
          <wp:inline distT="0" distB="0" distL="0" distR="0" wp14:anchorId="64551559" wp14:editId="2D3DB660">
            <wp:extent cx="3493135"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4D" w14:textId="52E84594" w:rsidR="00005111" w:rsidRDefault="0079609A" w:rsidP="001475FF">
      <w:pPr>
        <w:pStyle w:val="Heading1"/>
      </w:pPr>
      <w:r>
        <w:t>Consumer Spending</w:t>
      </w:r>
    </w:p>
    <w:p w14:paraId="149D5F51" w14:textId="40430C89" w:rsidR="0079609A" w:rsidRDefault="00873466" w:rsidP="00A04AD3">
      <w:r>
        <w:t>T</w:t>
      </w:r>
      <w:r w:rsidR="0079609A" w:rsidRPr="00FD4516">
        <w:t>he</w:t>
      </w:r>
      <w:r w:rsidR="0079609A" w:rsidRPr="00971553">
        <w:t xml:space="preserve"> level of Personal Consumption Expenditures (PCE)</w:t>
      </w:r>
      <w:r w:rsidR="00421F60">
        <w:rPr>
          <w:rStyle w:val="FootnoteReference"/>
        </w:rPr>
        <w:footnoteReference w:id="19"/>
      </w:r>
      <w:r w:rsidR="0079609A" w:rsidRPr="00971553">
        <w:t xml:space="preserve"> </w:t>
      </w:r>
      <w:r w:rsidR="00B432FD">
        <w:t>fell</w:t>
      </w:r>
      <w:r w:rsidR="0079609A" w:rsidRPr="00971553">
        <w:t xml:space="preserve"> </w:t>
      </w:r>
      <w:r w:rsidR="00914EA8">
        <w:t xml:space="preserve">by </w:t>
      </w:r>
      <w:r w:rsidR="006F49C7">
        <w:t>12.9</w:t>
      </w:r>
      <w:r w:rsidR="00306B1D">
        <w:t xml:space="preserve">% in </w:t>
      </w:r>
      <w:r w:rsidR="006F49C7">
        <w:t>April</w:t>
      </w:r>
      <w:r w:rsidR="00B2629D">
        <w:t>—the steepest monthly drop on record</w:t>
      </w:r>
      <w:r w:rsidR="00E37950">
        <w:t xml:space="preserve"> and nearly double the previous record in March</w:t>
      </w:r>
      <w:r w:rsidR="00B2629D">
        <w:t>—</w:t>
      </w:r>
      <w:r w:rsidR="00E37950">
        <w:t xml:space="preserve">before </w:t>
      </w:r>
      <w:r w:rsidR="00CB3DAF">
        <w:t>partially recuperating</w:t>
      </w:r>
      <w:r w:rsidR="00E37950">
        <w:t xml:space="preserve"> in May and June. PCE rose 5.63% in June but remained 4.84</w:t>
      </w:r>
      <w:r w:rsidR="0079609A" w:rsidRPr="00971553">
        <w:t xml:space="preserve">% </w:t>
      </w:r>
      <w:r w:rsidR="00E37950">
        <w:t>below</w:t>
      </w:r>
      <w:r w:rsidR="005C532B">
        <w:t xml:space="preserve"> </w:t>
      </w:r>
      <w:r w:rsidR="00306B1D">
        <w:t xml:space="preserve">the previous </w:t>
      </w:r>
      <w:r w:rsidR="00E37950">
        <w:t>June’s level</w:t>
      </w:r>
      <w:r w:rsidR="002F6282">
        <w:t xml:space="preserve">. </w:t>
      </w:r>
      <w:r w:rsidR="006F0678">
        <w:t>June’s s</w:t>
      </w:r>
      <w:r w:rsidR="00306B1D">
        <w:t xml:space="preserve">pending </w:t>
      </w:r>
      <w:r w:rsidR="006F0678">
        <w:t>gains were led by clothing &amp; footwear,</w:t>
      </w:r>
      <w:r w:rsidR="00306B1D">
        <w:t xml:space="preserve"> health</w:t>
      </w:r>
      <w:r w:rsidR="006F0678">
        <w:t xml:space="preserve"> </w:t>
      </w:r>
      <w:r w:rsidR="00306B1D">
        <w:t xml:space="preserve">care, </w:t>
      </w:r>
      <w:r w:rsidR="006F0678">
        <w:t>and food services and accommodations</w:t>
      </w:r>
      <w:r w:rsidR="002A0B80">
        <w:t xml:space="preserve">. </w:t>
      </w:r>
      <w:r w:rsidR="006F0678">
        <w:t>Optimism inspired by May and June’s strong upswing in spending was tempered by a resurgence of new COVID-19 infections late in the quarter.</w:t>
      </w:r>
    </w:p>
    <w:p w14:paraId="419D69CE" w14:textId="43D39B6A" w:rsidR="00A96A6A" w:rsidRDefault="00EE17DC" w:rsidP="00CF06AE">
      <w:pPr>
        <w:jc w:val="center"/>
      </w:pPr>
      <w:r>
        <w:rPr>
          <w:noProof/>
        </w:rPr>
        <w:lastRenderedPageBreak/>
        <w:drawing>
          <wp:inline distT="0" distB="0" distL="0" distR="0" wp14:anchorId="32B5E0CE" wp14:editId="1E91360F">
            <wp:extent cx="3493135"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53" w14:textId="5FE02320" w:rsidR="0079609A" w:rsidRDefault="00515DB3" w:rsidP="00F92FD1">
      <w:r>
        <w:t xml:space="preserve">Automotive companies </w:t>
      </w:r>
      <w:r w:rsidR="00695980">
        <w:t xml:space="preserve">reported </w:t>
      </w:r>
      <w:r w:rsidR="008B37F0" w:rsidRPr="008B37F0">
        <w:t>1</w:t>
      </w:r>
      <w:r w:rsidR="006F0678">
        <w:t>3</w:t>
      </w:r>
      <w:r w:rsidR="00BA05F4">
        <w:t>.</w:t>
      </w:r>
      <w:r w:rsidR="006F0678">
        <w:t>1</w:t>
      </w:r>
      <w:r w:rsidR="0079609A" w:rsidRPr="008B37F0">
        <w:t xml:space="preserve"> million autos and light trucks sold</w:t>
      </w:r>
      <w:r w:rsidR="00933E80">
        <w:rPr>
          <w:rStyle w:val="FootnoteReference"/>
        </w:rPr>
        <w:footnoteReference w:id="20"/>
      </w:r>
      <w:r w:rsidR="0079609A" w:rsidRPr="008B37F0">
        <w:t xml:space="preserve"> in </w:t>
      </w:r>
      <w:r w:rsidR="006F0678">
        <w:t>June</w:t>
      </w:r>
      <w:r w:rsidR="008B3E4E">
        <w:t>,</w:t>
      </w:r>
      <w:r w:rsidR="005B40E5">
        <w:t xml:space="preserve"> </w:t>
      </w:r>
      <w:r w:rsidR="006F0678">
        <w:t>up</w:t>
      </w:r>
      <w:r w:rsidR="008B3E4E">
        <w:t xml:space="preserve"> </w:t>
      </w:r>
      <w:r w:rsidR="006F0678">
        <w:t>0.9</w:t>
      </w:r>
      <w:r w:rsidR="0079609A" w:rsidRPr="008B37F0">
        <w:t xml:space="preserve"> million </w:t>
      </w:r>
      <w:r w:rsidR="00155E88">
        <w:t xml:space="preserve">units </w:t>
      </w:r>
      <w:r w:rsidR="00CF06AE">
        <w:t xml:space="preserve">from </w:t>
      </w:r>
      <w:r w:rsidR="006F0678">
        <w:t>May</w:t>
      </w:r>
      <w:r w:rsidR="002361FB">
        <w:t xml:space="preserve"> </w:t>
      </w:r>
      <w:r w:rsidR="00BA05F4">
        <w:t>and</w:t>
      </w:r>
      <w:r w:rsidR="002361FB">
        <w:t xml:space="preserve"> </w:t>
      </w:r>
      <w:r w:rsidR="006F0678">
        <w:t>4.3</w:t>
      </w:r>
      <w:r w:rsidR="00155E88">
        <w:t xml:space="preserve"> million </w:t>
      </w:r>
      <w:r w:rsidR="006F0678">
        <w:t>from April’s record low</w:t>
      </w:r>
      <w:r w:rsidR="00155E88">
        <w:t>.</w:t>
      </w:r>
      <w:r w:rsidR="0079609A" w:rsidRPr="008B37F0">
        <w:t xml:space="preserve"> </w:t>
      </w:r>
      <w:r w:rsidR="006F0678">
        <w:t>June sales remained</w:t>
      </w:r>
      <w:r w:rsidR="0079609A" w:rsidRPr="008B37F0">
        <w:t xml:space="preserve"> </w:t>
      </w:r>
      <w:r w:rsidR="00E71440">
        <w:t>4</w:t>
      </w:r>
      <w:r w:rsidR="00B2629D">
        <w:t>.</w:t>
      </w:r>
      <w:r w:rsidR="006F0678">
        <w:t>2</w:t>
      </w:r>
      <w:r w:rsidR="0079609A" w:rsidRPr="008B37F0">
        <w:t xml:space="preserve"> million units </w:t>
      </w:r>
      <w:r w:rsidR="00B2629D">
        <w:t>below</w:t>
      </w:r>
      <w:r w:rsidR="008B37F0" w:rsidRPr="008B37F0">
        <w:t xml:space="preserve"> the </w:t>
      </w:r>
      <w:r w:rsidR="006F0678">
        <w:t xml:space="preserve">year-ago levels and 2.3 million units below the </w:t>
      </w:r>
      <w:r w:rsidR="008B37F0" w:rsidRPr="008B37F0">
        <w:t>30-year average of 15.</w:t>
      </w:r>
      <w:r w:rsidR="008B3E4E">
        <w:t>3</w:t>
      </w:r>
      <w:r w:rsidR="0079609A" w:rsidRPr="008B37F0">
        <w:t xml:space="preserve"> million</w:t>
      </w:r>
      <w:r w:rsidR="00354195">
        <w:t xml:space="preserve"> units per month</w:t>
      </w:r>
      <w:r w:rsidR="00F92FD1">
        <w:t>.</w:t>
      </w:r>
    </w:p>
    <w:p w14:paraId="571A905C" w14:textId="7B332F3B" w:rsidR="002E3647" w:rsidRDefault="002D4C10" w:rsidP="003A679B">
      <w:pPr>
        <w:jc w:val="center"/>
      </w:pPr>
      <w:r>
        <w:rPr>
          <w:noProof/>
        </w:rPr>
        <w:drawing>
          <wp:inline distT="0" distB="0" distL="0" distR="0" wp14:anchorId="2C6079CE" wp14:editId="63C0EC39">
            <wp:extent cx="4090670" cy="27432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59B475FF" w14:textId="3EAB03F9" w:rsidR="002E3647" w:rsidRDefault="008A581A" w:rsidP="00354195">
      <w:r w:rsidRPr="002E3647">
        <w:t>The c</w:t>
      </w:r>
      <w:r w:rsidR="008C5503" w:rsidRPr="002E3647">
        <w:t>onsumer sentiment</w:t>
      </w:r>
      <w:r w:rsidR="00291FFB" w:rsidRPr="002E3647">
        <w:rPr>
          <w:rStyle w:val="FootnoteReference"/>
        </w:rPr>
        <w:footnoteReference w:id="21"/>
      </w:r>
      <w:r w:rsidR="008C5503" w:rsidRPr="002E3647">
        <w:t xml:space="preserve"> </w:t>
      </w:r>
      <w:r w:rsidRPr="002E3647">
        <w:t>index ended</w:t>
      </w:r>
      <w:r w:rsidR="008C5503" w:rsidRPr="002E3647">
        <w:t xml:space="preserve"> </w:t>
      </w:r>
      <w:r w:rsidR="00E71440">
        <w:t xml:space="preserve">the </w:t>
      </w:r>
      <w:r w:rsidR="006F0678">
        <w:t>2</w:t>
      </w:r>
      <w:r w:rsidR="006F0678" w:rsidRPr="006F0678">
        <w:rPr>
          <w:vertAlign w:val="superscript"/>
        </w:rPr>
        <w:t>nd</w:t>
      </w:r>
      <w:r w:rsidR="006F0678">
        <w:t xml:space="preserve"> </w:t>
      </w:r>
      <w:r w:rsidR="00E71440">
        <w:t>quarter</w:t>
      </w:r>
      <w:r w:rsidRPr="002E3647">
        <w:t xml:space="preserve"> at </w:t>
      </w:r>
      <w:r w:rsidR="006F0678">
        <w:t>78</w:t>
      </w:r>
      <w:r w:rsidR="003A679B">
        <w:t>.</w:t>
      </w:r>
      <w:r w:rsidR="00B2629D">
        <w:t>1</w:t>
      </w:r>
      <w:r w:rsidR="006C6752">
        <w:t xml:space="preserve">, rebounding </w:t>
      </w:r>
      <w:r w:rsidR="005D6316">
        <w:t>6.3 points</w:t>
      </w:r>
      <w:r w:rsidR="006C6752">
        <w:t xml:space="preserve"> in June</w:t>
      </w:r>
      <w:r w:rsidR="006F0678">
        <w:t xml:space="preserve"> after </w:t>
      </w:r>
      <w:r w:rsidR="006C6752">
        <w:t>hitting a nearly 8.5-year low of 71.8 in April</w:t>
      </w:r>
      <w:r w:rsidRPr="002E3647">
        <w:t xml:space="preserve">. </w:t>
      </w:r>
      <w:r w:rsidR="009D3151">
        <w:t xml:space="preserve">While strong, </w:t>
      </w:r>
      <w:r w:rsidR="006C6752">
        <w:t>June’s rebound</w:t>
      </w:r>
      <w:r w:rsidR="00DB12EF">
        <w:t xml:space="preserve"> </w:t>
      </w:r>
      <w:r w:rsidR="006C6752">
        <w:t>fell</w:t>
      </w:r>
      <w:r w:rsidR="00DB12EF">
        <w:t xml:space="preserve"> slightly</w:t>
      </w:r>
      <w:r w:rsidR="006C6752">
        <w:t xml:space="preserve"> </w:t>
      </w:r>
      <w:r w:rsidR="006C6752">
        <w:lastRenderedPageBreak/>
        <w:t>short</w:t>
      </w:r>
      <w:r w:rsidR="00DB12EF">
        <w:t xml:space="preserve"> </w:t>
      </w:r>
      <w:r w:rsidR="006C6752">
        <w:t>of</w:t>
      </w:r>
      <w:r w:rsidR="00DB12EF">
        <w:t xml:space="preserve"> economists’</w:t>
      </w:r>
      <w:r w:rsidR="006C6752">
        <w:t xml:space="preserve"> expectations</w:t>
      </w:r>
      <w:r w:rsidR="006970E9" w:rsidRPr="002E3647">
        <w:t xml:space="preserve">. </w:t>
      </w:r>
      <w:r w:rsidR="009D3151">
        <w:t>June’s</w:t>
      </w:r>
      <w:r w:rsidR="006970E9" w:rsidRPr="002E3647">
        <w:t xml:space="preserve"> consumer sentiment </w:t>
      </w:r>
      <w:r w:rsidR="003A679B">
        <w:t xml:space="preserve">reading </w:t>
      </w:r>
      <w:r w:rsidR="006970E9" w:rsidRPr="002E3647">
        <w:t xml:space="preserve">was </w:t>
      </w:r>
      <w:r w:rsidR="00DB12EF">
        <w:t>well below</w:t>
      </w:r>
      <w:r w:rsidR="003A679B">
        <w:t xml:space="preserve"> </w:t>
      </w:r>
      <w:r w:rsidR="00316E8F">
        <w:t xml:space="preserve">its level of </w:t>
      </w:r>
      <w:r w:rsidR="00A073CB">
        <w:t>98.</w:t>
      </w:r>
      <w:r w:rsidR="009D3151">
        <w:t>2</w:t>
      </w:r>
      <w:r w:rsidR="00316E8F">
        <w:t xml:space="preserve"> one year prior</w:t>
      </w:r>
      <w:r w:rsidR="00DB12EF">
        <w:t xml:space="preserve"> </w:t>
      </w:r>
      <w:r w:rsidR="009D3151">
        <w:t>and</w:t>
      </w:r>
      <w:r w:rsidR="006970E9" w:rsidRPr="002E3647">
        <w:t xml:space="preserve"> the 30-year average of </w:t>
      </w:r>
      <w:r w:rsidRPr="002E3647">
        <w:t>87.</w:t>
      </w:r>
      <w:r w:rsidR="009D3151">
        <w:t>5</w:t>
      </w:r>
      <w:r w:rsidR="00291FFB" w:rsidRPr="002E3647">
        <w:t>.</w:t>
      </w:r>
    </w:p>
    <w:p w14:paraId="182CF22B" w14:textId="157074E7" w:rsidR="000D5719" w:rsidRDefault="002D4C10" w:rsidP="002E3647">
      <w:pPr>
        <w:jc w:val="center"/>
      </w:pPr>
      <w:r>
        <w:rPr>
          <w:noProof/>
        </w:rPr>
        <w:drawing>
          <wp:inline distT="0" distB="0" distL="0" distR="0" wp14:anchorId="197165E5" wp14:editId="272A1B92">
            <wp:extent cx="4090670" cy="27432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149D5F56" w14:textId="77777777" w:rsidR="0091664E" w:rsidRDefault="0091664E" w:rsidP="0091664E">
      <w:pPr>
        <w:pStyle w:val="Heading1"/>
      </w:pPr>
      <w:r>
        <w:t>Capital Markets</w:t>
      </w:r>
    </w:p>
    <w:p w14:paraId="79C54A89" w14:textId="142E66A3" w:rsidR="002E3647" w:rsidRDefault="009D3151" w:rsidP="00B875CA">
      <w:r>
        <w:t>T</w:t>
      </w:r>
      <w:r w:rsidR="00842094">
        <w:t xml:space="preserve">he </w:t>
      </w:r>
      <w:r w:rsidR="00FB7EF9">
        <w:t>U</w:t>
      </w:r>
      <w:r w:rsidR="00BC00A7">
        <w:t>.</w:t>
      </w:r>
      <w:r w:rsidR="00FB7EF9">
        <w:t>S</w:t>
      </w:r>
      <w:r w:rsidR="00BC00A7">
        <w:t>.</w:t>
      </w:r>
      <w:r w:rsidR="00FB7EF9">
        <w:t xml:space="preserve"> </w:t>
      </w:r>
      <w:r w:rsidR="008B3E4E">
        <w:t xml:space="preserve">stock </w:t>
      </w:r>
      <w:r w:rsidR="00842094">
        <w:t xml:space="preserve">market </w:t>
      </w:r>
      <w:r w:rsidR="00D8538D">
        <w:t>rallied strongly during the 2</w:t>
      </w:r>
      <w:r w:rsidR="00D8538D" w:rsidRPr="00D8538D">
        <w:rPr>
          <w:vertAlign w:val="superscript"/>
        </w:rPr>
        <w:t>nd</w:t>
      </w:r>
      <w:r w:rsidR="00D8538D">
        <w:t xml:space="preserve"> quarter</w:t>
      </w:r>
      <w:r w:rsidR="00842094">
        <w:t xml:space="preserve">, </w:t>
      </w:r>
      <w:r w:rsidR="00D8538D">
        <w:t>after beginning 2020 with its worst quarter since 2008’s Great Recession</w:t>
      </w:r>
      <w:r w:rsidR="00F27237">
        <w:t xml:space="preserve">. </w:t>
      </w:r>
      <w:r w:rsidR="00D8538D">
        <w:t>Economic stimulus moves by the Fed and Congress</w:t>
      </w:r>
      <w:r w:rsidR="00CB3DAF">
        <w:t>,</w:t>
      </w:r>
      <w:r w:rsidR="00D8538D">
        <w:t xml:space="preserve"> combined with a lull in new COVID-19 infections and renewed economic activity</w:t>
      </w:r>
      <w:r w:rsidR="00CB3DAF">
        <w:t xml:space="preserve">, brought </w:t>
      </w:r>
      <w:r w:rsidR="00D8538D">
        <w:t>hope and confidence back</w:t>
      </w:r>
      <w:r w:rsidR="00CB3DAF">
        <w:t xml:space="preserve"> to investors</w:t>
      </w:r>
      <w:r w:rsidR="00822897">
        <w:t>.</w:t>
      </w:r>
      <w:r w:rsidR="00D8538D">
        <w:t xml:space="preserve"> The rally began to level off in late </w:t>
      </w:r>
      <w:proofErr w:type="gramStart"/>
      <w:r w:rsidR="00D8538D">
        <w:t>June, when</w:t>
      </w:r>
      <w:proofErr w:type="gramEnd"/>
      <w:r w:rsidR="00D8538D">
        <w:t xml:space="preserve"> </w:t>
      </w:r>
      <w:r w:rsidR="00CB3DAF">
        <w:t>parts</w:t>
      </w:r>
      <w:r w:rsidR="00D8538D">
        <w:t xml:space="preserve"> of the U.S. began to see a resurgence of new viral infections</w:t>
      </w:r>
      <w:r w:rsidR="00822897">
        <w:t xml:space="preserve"> </w:t>
      </w:r>
      <w:r w:rsidR="00D8538D">
        <w:t xml:space="preserve">and some states were forced to renew restrictions for public health reasons. </w:t>
      </w:r>
      <w:r w:rsidR="002A14C5">
        <w:t xml:space="preserve">The </w:t>
      </w:r>
      <w:r w:rsidR="00D8538D">
        <w:t>NASDAQ Composite</w:t>
      </w:r>
      <w:r w:rsidR="002A14C5">
        <w:t xml:space="preserve"> </w:t>
      </w:r>
      <w:r w:rsidR="00180CA9">
        <w:t>jumped 30.6</w:t>
      </w:r>
      <w:r w:rsidR="002A14C5">
        <w:t xml:space="preserve">% in the </w:t>
      </w:r>
      <w:r w:rsidR="00180CA9">
        <w:t>2</w:t>
      </w:r>
      <w:r w:rsidR="00180CA9" w:rsidRPr="00180CA9">
        <w:rPr>
          <w:vertAlign w:val="superscript"/>
        </w:rPr>
        <w:t>nd</w:t>
      </w:r>
      <w:r w:rsidR="00180CA9">
        <w:t xml:space="preserve"> </w:t>
      </w:r>
      <w:r w:rsidR="002A14C5">
        <w:t xml:space="preserve">quarter and </w:t>
      </w:r>
      <w:r w:rsidR="00CB3DAF">
        <w:t xml:space="preserve">was </w:t>
      </w:r>
      <w:r w:rsidR="00180CA9">
        <w:t>2</w:t>
      </w:r>
      <w:r w:rsidR="005D6316">
        <w:t>4.3</w:t>
      </w:r>
      <w:r w:rsidR="002A14C5">
        <w:t xml:space="preserve">% </w:t>
      </w:r>
      <w:r w:rsidR="00CB3DAF">
        <w:t xml:space="preserve">higher </w:t>
      </w:r>
      <w:r w:rsidR="009C4651">
        <w:t xml:space="preserve">over the </w:t>
      </w:r>
      <w:r w:rsidR="005D6316">
        <w:t>last 12 months</w:t>
      </w:r>
      <w:r w:rsidR="002A14C5">
        <w:t xml:space="preserve">. </w:t>
      </w:r>
      <w:r w:rsidR="004B3923">
        <w:t>T</w:t>
      </w:r>
      <w:r w:rsidR="00822897">
        <w:t xml:space="preserve">he </w:t>
      </w:r>
      <w:r w:rsidR="00180CA9">
        <w:t xml:space="preserve">S&amp;P </w:t>
      </w:r>
      <w:r w:rsidR="00CB3DAF">
        <w:t xml:space="preserve">500 </w:t>
      </w:r>
      <w:r w:rsidR="00180CA9">
        <w:t>climbed 20.0</w:t>
      </w:r>
      <w:r w:rsidR="004B3923">
        <w:t xml:space="preserve">% </w:t>
      </w:r>
      <w:r w:rsidR="00CB3DAF">
        <w:t xml:space="preserve">during </w:t>
      </w:r>
      <w:r w:rsidR="002F3ADD">
        <w:t xml:space="preserve">the </w:t>
      </w:r>
      <w:r w:rsidR="00180CA9">
        <w:t>2</w:t>
      </w:r>
      <w:r w:rsidR="00180CA9" w:rsidRPr="00180CA9">
        <w:rPr>
          <w:vertAlign w:val="superscript"/>
        </w:rPr>
        <w:t>nd</w:t>
      </w:r>
      <w:r w:rsidR="00180CA9">
        <w:t xml:space="preserve"> </w:t>
      </w:r>
      <w:r w:rsidR="002F3ADD">
        <w:t xml:space="preserve">quarter </w:t>
      </w:r>
      <w:r w:rsidR="005D6316">
        <w:t>and was 4.6%</w:t>
      </w:r>
      <w:r w:rsidR="002F3ADD">
        <w:t xml:space="preserve"> </w:t>
      </w:r>
      <w:r w:rsidR="005D6316">
        <w:t xml:space="preserve">higher </w:t>
      </w:r>
      <w:r w:rsidR="002F3ADD">
        <w:t>over the</w:t>
      </w:r>
      <w:r w:rsidR="005D6316">
        <w:t xml:space="preserve"> last 12 months</w:t>
      </w:r>
      <w:r w:rsidR="002F3ADD">
        <w:t>.</w:t>
      </w:r>
      <w:r w:rsidR="002A14C5">
        <w:t xml:space="preserve"> </w:t>
      </w:r>
      <w:r w:rsidR="00180CA9">
        <w:t xml:space="preserve">With the transportation sector particularly hard-hit by the pandemic, The Dow Jones Transportation Average gained 18.6% </w:t>
      </w:r>
      <w:r w:rsidR="00CB3DAF">
        <w:t>over</w:t>
      </w:r>
      <w:r w:rsidR="00180CA9">
        <w:t xml:space="preserve"> the quarter, yet still fell 12.</w:t>
      </w:r>
      <w:r w:rsidR="005D6316">
        <w:t>7</w:t>
      </w:r>
      <w:r w:rsidR="00180CA9">
        <w:t>% short of its year-ago level.</w:t>
      </w:r>
    </w:p>
    <w:p w14:paraId="3C77E48B" w14:textId="6F628660" w:rsidR="002E3647" w:rsidRDefault="00AF306C" w:rsidP="002308A9">
      <w:pPr>
        <w:jc w:val="center"/>
      </w:pPr>
      <w:r w:rsidRPr="00AF306C">
        <w:drawing>
          <wp:inline distT="0" distB="0" distL="0" distR="0" wp14:anchorId="332161A8" wp14:editId="39B8535A">
            <wp:extent cx="5343525" cy="1533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1533525"/>
                    </a:xfrm>
                    <a:prstGeom prst="rect">
                      <a:avLst/>
                    </a:prstGeom>
                    <a:noFill/>
                    <a:ln>
                      <a:noFill/>
                    </a:ln>
                  </pic:spPr>
                </pic:pic>
              </a:graphicData>
            </a:graphic>
          </wp:inline>
        </w:drawing>
      </w:r>
    </w:p>
    <w:p w14:paraId="3743084E" w14:textId="2B78BD3F" w:rsidR="00857079" w:rsidRDefault="00617DFF" w:rsidP="00BB3B04">
      <w:pPr>
        <w:jc w:val="center"/>
        <w:rPr>
          <w:color w:val="FF0000"/>
        </w:rPr>
      </w:pPr>
      <w:r>
        <w:rPr>
          <w:noProof/>
          <w:color w:val="FF0000"/>
        </w:rPr>
        <w:lastRenderedPageBreak/>
        <w:drawing>
          <wp:inline distT="0" distB="0" distL="0" distR="0" wp14:anchorId="000D26D0" wp14:editId="1F58C48B">
            <wp:extent cx="4097020" cy="2749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3E9D1768" w14:textId="04CA4D0A" w:rsidR="0007515A" w:rsidRDefault="00100DF8" w:rsidP="00354195">
      <w:r>
        <w:t>Stock market v</w:t>
      </w:r>
      <w:r w:rsidR="0007515A">
        <w:t>olatility</w:t>
      </w:r>
      <w:r w:rsidR="0007515A">
        <w:rPr>
          <w:rStyle w:val="FootnoteReference"/>
        </w:rPr>
        <w:footnoteReference w:id="22"/>
      </w:r>
      <w:r>
        <w:t xml:space="preserve"> ended the </w:t>
      </w:r>
      <w:r w:rsidR="00180CA9">
        <w:t>2</w:t>
      </w:r>
      <w:r w:rsidR="00180CA9" w:rsidRPr="00180CA9">
        <w:rPr>
          <w:vertAlign w:val="superscript"/>
        </w:rPr>
        <w:t>nd</w:t>
      </w:r>
      <w:r w:rsidR="00180CA9">
        <w:t xml:space="preserve"> </w:t>
      </w:r>
      <w:r>
        <w:t xml:space="preserve">quarter at </w:t>
      </w:r>
      <w:r w:rsidR="00180CA9">
        <w:t>30</w:t>
      </w:r>
      <w:r w:rsidR="004B3923">
        <w:t>.</w:t>
      </w:r>
      <w:r w:rsidR="00180CA9">
        <w:t>4</w:t>
      </w:r>
      <w:r>
        <w:t xml:space="preserve">, </w:t>
      </w:r>
      <w:r w:rsidR="00180CA9">
        <w:t xml:space="preserve">down </w:t>
      </w:r>
      <w:r w:rsidR="005D6316">
        <w:t>52.3 points</w:t>
      </w:r>
      <w:r>
        <w:t xml:space="preserve"> </w:t>
      </w:r>
      <w:r w:rsidR="005D6316">
        <w:t>from</w:t>
      </w:r>
      <w:r>
        <w:t xml:space="preserve"> </w:t>
      </w:r>
      <w:r w:rsidR="005D6316">
        <w:t xml:space="preserve">the peak </w:t>
      </w:r>
      <w:r>
        <w:t>last quarter</w:t>
      </w:r>
      <w:r w:rsidR="00180CA9">
        <w:t xml:space="preserve">, yet </w:t>
      </w:r>
      <w:r w:rsidR="00FC4EEE">
        <w:t>well above</w:t>
      </w:r>
      <w:r>
        <w:t xml:space="preserve"> the 10-year average of </w:t>
      </w:r>
      <w:r w:rsidR="004B3923">
        <w:t>1</w:t>
      </w:r>
      <w:r w:rsidR="00180CA9">
        <w:t>9</w:t>
      </w:r>
      <w:r w:rsidR="002F3ADD">
        <w:t>.</w:t>
      </w:r>
      <w:r w:rsidR="000E5860">
        <w:t>7</w:t>
      </w:r>
      <w:r>
        <w:t xml:space="preserve">. </w:t>
      </w:r>
      <w:r w:rsidR="00D44971">
        <w:t>T</w:t>
      </w:r>
      <w:r>
        <w:t>he volatility index, a proxy for investor anxiety derived from tracking options prices on S&amp;P 500 stocks</w:t>
      </w:r>
      <w:r w:rsidR="00C01B26">
        <w:t xml:space="preserve">, </w:t>
      </w:r>
      <w:r w:rsidR="00180CA9">
        <w:t>fell throughout the 2</w:t>
      </w:r>
      <w:r w:rsidR="00180CA9" w:rsidRPr="00180CA9">
        <w:rPr>
          <w:vertAlign w:val="superscript"/>
        </w:rPr>
        <w:t>nd</w:t>
      </w:r>
      <w:r w:rsidR="00180CA9">
        <w:t xml:space="preserve"> quarter after hitting</w:t>
      </w:r>
      <w:r w:rsidR="00D44971">
        <w:t xml:space="preserve"> a</w:t>
      </w:r>
      <w:r w:rsidR="004B6D7A">
        <w:t xml:space="preserve">n all-time high </w:t>
      </w:r>
      <w:r w:rsidR="00D44971">
        <w:t xml:space="preserve">in </w:t>
      </w:r>
      <w:r w:rsidR="004B6D7A">
        <w:t>mid-March</w:t>
      </w:r>
      <w:r w:rsidR="00D44971">
        <w:t xml:space="preserve"> </w:t>
      </w:r>
      <w:r w:rsidR="00FC4EEE">
        <w:t xml:space="preserve">amid </w:t>
      </w:r>
      <w:r w:rsidR="00180CA9">
        <w:t xml:space="preserve">economic uncertainty inspired by </w:t>
      </w:r>
      <w:r w:rsidR="00FC4EEE">
        <w:t>the COVID-19 pandemic</w:t>
      </w:r>
      <w:r w:rsidR="004B6D7A">
        <w:t>.</w:t>
      </w:r>
    </w:p>
    <w:p w14:paraId="0420E509" w14:textId="5BCBDE23" w:rsidR="00100DF8" w:rsidRPr="00354195" w:rsidRDefault="002D4C10" w:rsidP="00FD0160">
      <w:pPr>
        <w:jc w:val="center"/>
      </w:pPr>
      <w:r>
        <w:rPr>
          <w:noProof/>
        </w:rPr>
        <w:drawing>
          <wp:inline distT="0" distB="0" distL="0" distR="0" wp14:anchorId="7BA96940" wp14:editId="4D0F375E">
            <wp:extent cx="4097020" cy="2749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F93" w14:textId="77777777" w:rsidR="00E44639" w:rsidRDefault="00E44639" w:rsidP="00E44639">
      <w:pPr>
        <w:pStyle w:val="Heading1"/>
      </w:pPr>
      <w:r>
        <w:lastRenderedPageBreak/>
        <w:t>Outlook</w:t>
      </w:r>
    </w:p>
    <w:p w14:paraId="149D5F95" w14:textId="3807D6A9" w:rsidR="0022226D" w:rsidRDefault="003071CD" w:rsidP="00E44639">
      <w:r>
        <w:t xml:space="preserve">In </w:t>
      </w:r>
      <w:r w:rsidR="0049182B">
        <w:t>June</w:t>
      </w:r>
      <w:r>
        <w:t xml:space="preserve"> 20</w:t>
      </w:r>
      <w:r w:rsidR="0049182B">
        <w:t>20</w:t>
      </w:r>
      <w:r>
        <w:t xml:space="preserve">, the FOMC </w:t>
      </w:r>
      <w:r w:rsidR="0049182B">
        <w:t>projected</w:t>
      </w:r>
      <w:r w:rsidR="00F60736" w:rsidRPr="00090DA6">
        <w:t xml:space="preserve"> real GDP </w:t>
      </w:r>
      <w:r w:rsidR="004907DA">
        <w:t xml:space="preserve">to </w:t>
      </w:r>
      <w:r w:rsidR="0049182B">
        <w:t>decline</w:t>
      </w:r>
      <w:r w:rsidR="00BF5CE2">
        <w:rPr>
          <w:rStyle w:val="FootnoteReference"/>
        </w:rPr>
        <w:footnoteReference w:id="23"/>
      </w:r>
      <w:r w:rsidR="00F60736" w:rsidRPr="00090DA6">
        <w:t xml:space="preserve"> </w:t>
      </w:r>
      <w:r w:rsidR="0049182B">
        <w:t xml:space="preserve">6.55% </w:t>
      </w:r>
      <w:r w:rsidR="004907DA">
        <w:t>during</w:t>
      </w:r>
      <w:r w:rsidR="0049182B">
        <w:t xml:space="preserve"> 2020, followed by</w:t>
      </w:r>
      <w:r w:rsidR="00F60736" w:rsidRPr="00090DA6">
        <w:t xml:space="preserve"> </w:t>
      </w:r>
      <w:r w:rsidR="0049182B">
        <w:t>5.25</w:t>
      </w:r>
      <w:r w:rsidR="00F60736" w:rsidRPr="00090DA6">
        <w:t>%</w:t>
      </w:r>
      <w:r w:rsidR="0049182B">
        <w:t xml:space="preserve"> growth in</w:t>
      </w:r>
      <w:r w:rsidR="00F60736" w:rsidRPr="00090DA6">
        <w:t xml:space="preserve"> 20</w:t>
      </w:r>
      <w:r w:rsidR="00090DA6" w:rsidRPr="00090DA6">
        <w:t>2</w:t>
      </w:r>
      <w:r w:rsidR="000D646D">
        <w:t>1</w:t>
      </w:r>
      <w:r w:rsidR="0049182B">
        <w:t>, slowing to 3.75% in</w:t>
      </w:r>
      <w:r w:rsidR="000D646D">
        <w:t xml:space="preserve"> 202</w:t>
      </w:r>
      <w:r w:rsidR="00140FEE">
        <w:t>2</w:t>
      </w:r>
      <w:r w:rsidR="00F60736" w:rsidRPr="00090DA6">
        <w:t>. They expect</w:t>
      </w:r>
      <w:r>
        <w:t>ed</w:t>
      </w:r>
      <w:r w:rsidR="00F60736" w:rsidRPr="00090DA6">
        <w:t xml:space="preserve"> growth in Personal Consumption Expendit</w:t>
      </w:r>
      <w:r w:rsidR="00090DA6" w:rsidRPr="00090DA6">
        <w:t>ures (PCE)</w:t>
      </w:r>
      <w:r w:rsidR="005D3CEF">
        <w:rPr>
          <w:rStyle w:val="FootnoteReference"/>
        </w:rPr>
        <w:footnoteReference w:id="24"/>
      </w:r>
      <w:r w:rsidR="00090DA6" w:rsidRPr="00090DA6">
        <w:t xml:space="preserve"> to </w:t>
      </w:r>
      <w:r w:rsidR="0049182B">
        <w:t>cool</w:t>
      </w:r>
      <w:r w:rsidR="00090DA6" w:rsidRPr="00090DA6">
        <w:t xml:space="preserve"> </w:t>
      </w:r>
      <w:r w:rsidR="00F60736" w:rsidRPr="00090DA6">
        <w:t xml:space="preserve">to </w:t>
      </w:r>
      <w:r w:rsidR="0049182B">
        <w:t>0.80% in 2020, then bounce back to 1.70</w:t>
      </w:r>
      <w:r w:rsidR="00090DA6" w:rsidRPr="00090DA6">
        <w:t xml:space="preserve">% by </w:t>
      </w:r>
      <w:r w:rsidR="00AB6F46">
        <w:t>202</w:t>
      </w:r>
      <w:r w:rsidR="00140FEE">
        <w:t>2</w:t>
      </w:r>
      <w:r w:rsidR="00F60736" w:rsidRPr="00090DA6">
        <w:t>. The</w:t>
      </w:r>
      <w:r w:rsidR="004907DA">
        <w:t>y</w:t>
      </w:r>
      <w:r w:rsidR="00F60736" w:rsidRPr="00090DA6">
        <w:t xml:space="preserve"> forecast th</w:t>
      </w:r>
      <w:r w:rsidR="004907DA">
        <w:t>at th</w:t>
      </w:r>
      <w:r w:rsidR="00F60736" w:rsidRPr="00090DA6">
        <w:t>e unemployment rate</w:t>
      </w:r>
      <w:r w:rsidR="00E72196">
        <w:rPr>
          <w:rStyle w:val="FootnoteReference"/>
        </w:rPr>
        <w:footnoteReference w:id="25"/>
      </w:r>
      <w:r w:rsidR="00F60736" w:rsidRPr="00090DA6">
        <w:t xml:space="preserve"> </w:t>
      </w:r>
      <w:r w:rsidR="004907DA">
        <w:t>will</w:t>
      </w:r>
      <w:r w:rsidR="00F60736" w:rsidRPr="00090DA6">
        <w:t xml:space="preserve"> </w:t>
      </w:r>
      <w:r w:rsidR="004907DA">
        <w:t xml:space="preserve">end 2020 at </w:t>
      </w:r>
      <w:r w:rsidR="0049182B">
        <w:t>9.50</w:t>
      </w:r>
      <w:r w:rsidR="00F60736" w:rsidRPr="00090DA6">
        <w:t>%</w:t>
      </w:r>
      <w:r w:rsidR="0049182B">
        <w:t xml:space="preserve">, easing to 5.45% </w:t>
      </w:r>
      <w:r w:rsidR="00F11B2B">
        <w:t>by</w:t>
      </w:r>
      <w:r w:rsidR="00F60736" w:rsidRPr="00090DA6">
        <w:t xml:space="preserve"> 20</w:t>
      </w:r>
      <w:r w:rsidR="00090DA6" w:rsidRPr="00090DA6">
        <w:t>2</w:t>
      </w:r>
      <w:r w:rsidR="00140FEE">
        <w:t>2</w:t>
      </w:r>
      <w:r>
        <w:t>.</w:t>
      </w:r>
    </w:p>
    <w:p w14:paraId="4D630423" w14:textId="18D0BB19" w:rsidR="00FD0160" w:rsidRDefault="002D4C10" w:rsidP="002308A9">
      <w:pPr>
        <w:jc w:val="center"/>
      </w:pPr>
      <w:r w:rsidRPr="002D4C10">
        <w:drawing>
          <wp:inline distT="0" distB="0" distL="0" distR="0" wp14:anchorId="62D7AEFE" wp14:editId="6C5BCCE7">
            <wp:extent cx="3762375" cy="115252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14:paraId="3DA5A3C9" w14:textId="77777777" w:rsidR="002308A9" w:rsidRDefault="002308A9">
      <w:pPr>
        <w:rPr>
          <w:rFonts w:asciiTheme="majorHAnsi" w:eastAsiaTheme="majorEastAsia" w:hAnsiTheme="majorHAnsi" w:cstheme="majorBidi"/>
          <w:color w:val="008FD5"/>
          <w:sz w:val="36"/>
          <w:szCs w:val="32"/>
        </w:rPr>
      </w:pPr>
      <w:r>
        <w:br w:type="page"/>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149D5FB5" w14:textId="77777777" w:rsidR="001475FF" w:rsidRDefault="001475FF" w:rsidP="001475FF">
      <w:pPr>
        <w:pStyle w:val="Heading1"/>
      </w:pPr>
      <w:bookmarkStart w:id="0" w:name="_Hlk31896782"/>
      <w:r>
        <w:t xml:space="preserve">About </w:t>
      </w:r>
      <w:proofErr w:type="spellStart"/>
      <w:r>
        <w:t>TagniFi</w:t>
      </w:r>
      <w:proofErr w:type="spellEnd"/>
    </w:p>
    <w:bookmarkEnd w:id="0"/>
    <w:p w14:paraId="48B0785A" w14:textId="605E137B" w:rsidR="00964DD4" w:rsidRDefault="00964DD4" w:rsidP="00964DD4">
      <w:r>
        <w:t xml:space="preserve">In July 2015 we released our first dataset, </w:t>
      </w:r>
      <w:proofErr w:type="spellStart"/>
      <w:r>
        <w:t>TagniFi</w:t>
      </w:r>
      <w:proofErr w:type="spellEnd"/>
      <w:r>
        <w:t xml:space="preserve"> Fundamentals, because we thought investors and finance professionals needed a better solution for financial data. Since then our mission has remained the same: to serve our clients with the best financial data available at a reasonable price. We do this by developing innovative solutions to leverage tagged financial statements which allow us to deliver better, faster and more detailed data at a fraction of the cost.</w:t>
      </w:r>
    </w:p>
    <w:p w14:paraId="0F1887EF" w14:textId="4F6BA8A7" w:rsidR="00964DD4" w:rsidRDefault="00964DD4" w:rsidP="00230D29">
      <w:r>
        <w:t xml:space="preserve">Today </w:t>
      </w:r>
      <w:proofErr w:type="spellStart"/>
      <w:r>
        <w:t>TagniFi</w:t>
      </w:r>
      <w:proofErr w:type="spellEnd"/>
      <w:r>
        <w:t xml:space="preserve"> is a platform of financial data aimed at making our clients more productive and prosperous. We're helping clients in all corners of finance make better decisions with better data. We relentlessly focus on quality and the trust we've earned from our clients is our greatest asset. Our growth is centered around our clients' needs as we look to expand our platform with new data. Referrals from our existing clients is the ultimate compliment so we choose to invest in our product, not flashy marketing </w:t>
      </w:r>
      <w:proofErr w:type="spellStart"/>
      <w:r>
        <w:t>campaigns.</w:t>
      </w:r>
      <w:r w:rsidR="00C36857" w:rsidRPr="0017465F">
        <w:t>For</w:t>
      </w:r>
      <w:proofErr w:type="spellEnd"/>
      <w:r w:rsidR="00C36857" w:rsidRPr="0017465F">
        <w:t xml:space="preserve"> more information on </w:t>
      </w:r>
      <w:proofErr w:type="spellStart"/>
      <w:r w:rsidR="00C36857" w:rsidRPr="0017465F">
        <w:t>TagniFi</w:t>
      </w:r>
      <w:proofErr w:type="spellEnd"/>
      <w:r w:rsidR="00C36857" w:rsidRPr="0017465F">
        <w:t>, please visit</w:t>
      </w:r>
      <w:r w:rsidR="00230D29" w:rsidRPr="0017465F">
        <w:t xml:space="preserve"> </w:t>
      </w:r>
      <w:hyperlink r:id="rId35"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proofErr w:type="spellStart"/>
      <w:r w:rsidRPr="00964DD4">
        <w:t>TagniFi’s</w:t>
      </w:r>
      <w:proofErr w:type="spellEnd"/>
      <w:r w:rsidRPr="00964DD4">
        <w:t xml:space="preserve">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 xml:space="preserve">Search for public companies with </w:t>
      </w:r>
      <w:proofErr w:type="spellStart"/>
      <w:r w:rsidR="004C20AB" w:rsidRPr="004C20AB">
        <w:t>TagniFi</w:t>
      </w:r>
      <w:proofErr w:type="spellEnd"/>
      <w:r w:rsidR="004C20AB" w:rsidRPr="004C20AB">
        <w:t xml:space="preserve">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 xml:space="preserve">Search for closed-end mutual funds by keyword, category, subcategory, and more with the </w:t>
      </w:r>
      <w:proofErr w:type="spellStart"/>
      <w:r>
        <w:t>TagniFi</w:t>
      </w:r>
      <w:proofErr w:type="spellEnd"/>
      <w:r>
        <w:t xml:space="preserve"> Console. Use the </w:t>
      </w:r>
      <w:proofErr w:type="spellStart"/>
      <w:r>
        <w:t>TagniFi</w:t>
      </w:r>
      <w:proofErr w:type="spellEnd"/>
      <w:r>
        <w:t xml:space="preserve">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w:t>
      </w:r>
      <w:proofErr w:type="spellStart"/>
      <w:r w:rsidRPr="004C20AB">
        <w:t>TagniFi</w:t>
      </w:r>
      <w:proofErr w:type="spellEnd"/>
      <w:r w:rsidRPr="004C20AB">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1"/>
      <w:footerReference w:type="defaul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0D2B8" w14:textId="77777777" w:rsidR="00354414" w:rsidRDefault="00354414" w:rsidP="00171C8E">
      <w:pPr>
        <w:spacing w:after="0" w:line="240" w:lineRule="auto"/>
      </w:pPr>
      <w:r>
        <w:separator/>
      </w:r>
    </w:p>
  </w:endnote>
  <w:endnote w:type="continuationSeparator" w:id="0">
    <w:p w14:paraId="64C61BA0" w14:textId="77777777" w:rsidR="00354414" w:rsidRDefault="00354414"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5FE8" w14:textId="7FA7671E" w:rsidR="00283D6F" w:rsidRDefault="00283D6F">
    <w:pPr>
      <w:pStyle w:val="Footer"/>
    </w:pPr>
    <w:r>
      <w:t xml:space="preserve">© 2020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AF58" w14:textId="5EAC5F17" w:rsidR="00283D6F" w:rsidRDefault="00283D6F">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6CB66" w14:textId="77777777" w:rsidR="00354414" w:rsidRDefault="00354414" w:rsidP="00171C8E">
      <w:pPr>
        <w:spacing w:after="0" w:line="240" w:lineRule="auto"/>
      </w:pPr>
      <w:r>
        <w:separator/>
      </w:r>
    </w:p>
  </w:footnote>
  <w:footnote w:type="continuationSeparator" w:id="0">
    <w:p w14:paraId="7C05D98A" w14:textId="77777777" w:rsidR="00354414" w:rsidRDefault="00354414" w:rsidP="00171C8E">
      <w:pPr>
        <w:spacing w:after="0" w:line="240" w:lineRule="auto"/>
      </w:pPr>
      <w:r>
        <w:continuationSeparator/>
      </w:r>
    </w:p>
  </w:footnote>
  <w:footnote w:id="1">
    <w:p w14:paraId="3F8CBEDA" w14:textId="77777777" w:rsidR="00283D6F" w:rsidRPr="00952AF7" w:rsidRDefault="00283D6F" w:rsidP="001E26E8">
      <w:pPr>
        <w:pStyle w:val="FootnoteText"/>
        <w:rPr>
          <w:rFonts w:cstheme="minorHAnsi"/>
          <w:i/>
          <w:iCs/>
          <w:color w:val="222222"/>
          <w:sz w:val="16"/>
          <w:szCs w:val="16"/>
          <w:shd w:val="clear" w:color="auto" w:fill="FFFFFF"/>
        </w:rPr>
      </w:pPr>
      <w:r>
        <w:rPr>
          <w:rStyle w:val="FootnoteReference"/>
        </w:rPr>
        <w:footnoteRef/>
      </w:r>
      <w:r>
        <w:t xml:space="preserve"> </w:t>
      </w:r>
      <w:r w:rsidRPr="00952AF7">
        <w:rPr>
          <w:rFonts w:cstheme="minorHAnsi"/>
          <w:i/>
          <w:iCs/>
          <w:color w:val="222222"/>
          <w:sz w:val="16"/>
          <w:szCs w:val="16"/>
          <w:shd w:val="clear" w:color="auto" w:fill="FFFFFF"/>
        </w:rPr>
        <w:t xml:space="preserve">Coronavirus Locations: COVID-19 Map by County and State, retrieved from </w:t>
      </w:r>
      <w:proofErr w:type="spellStart"/>
      <w:r w:rsidRPr="00952AF7">
        <w:rPr>
          <w:rFonts w:cstheme="minorHAnsi"/>
          <w:i/>
          <w:iCs/>
          <w:color w:val="222222"/>
          <w:sz w:val="16"/>
          <w:szCs w:val="16"/>
          <w:shd w:val="clear" w:color="auto" w:fill="FFFFFF"/>
        </w:rPr>
        <w:t>USAFacts</w:t>
      </w:r>
      <w:proofErr w:type="spellEnd"/>
      <w:r w:rsidRPr="00952AF7">
        <w:rPr>
          <w:rFonts w:cstheme="minorHAnsi"/>
          <w:i/>
          <w:iCs/>
          <w:color w:val="222222"/>
          <w:sz w:val="16"/>
          <w:szCs w:val="16"/>
          <w:shd w:val="clear" w:color="auto" w:fill="FFFFFF"/>
        </w:rPr>
        <w:t>,</w:t>
      </w:r>
      <w:r>
        <w:t xml:space="preserve"> </w:t>
      </w:r>
      <w:hyperlink r:id="rId1" w:history="1">
        <w:r w:rsidRPr="00952AF7">
          <w:rPr>
            <w:rStyle w:val="Hyperlink"/>
            <w:rFonts w:cstheme="minorHAnsi"/>
            <w:i/>
            <w:iCs/>
            <w:sz w:val="16"/>
            <w:szCs w:val="16"/>
            <w:shd w:val="clear" w:color="auto" w:fill="FFFFFF"/>
          </w:rPr>
          <w:t>https://usafacts.org/visualizations/coronavirus-covid-19-spread-map/</w:t>
        </w:r>
      </w:hyperlink>
      <w:r w:rsidRPr="00952AF7">
        <w:rPr>
          <w:i/>
          <w:iCs/>
          <w:sz w:val="16"/>
          <w:szCs w:val="16"/>
        </w:rPr>
        <w:t>,</w:t>
      </w:r>
      <w:r w:rsidRPr="00952AF7">
        <w:rPr>
          <w:rFonts w:cstheme="minorHAnsi"/>
          <w:i/>
          <w:iCs/>
          <w:color w:val="222222"/>
          <w:sz w:val="16"/>
          <w:szCs w:val="16"/>
          <w:shd w:val="clear" w:color="auto" w:fill="FFFFFF"/>
        </w:rPr>
        <w:t xml:space="preserve"> May 2, 2020</w:t>
      </w:r>
    </w:p>
  </w:footnote>
  <w:footnote w:id="2">
    <w:p w14:paraId="07CD6D47" w14:textId="66074696" w:rsidR="00283D6F" w:rsidRDefault="00283D6F">
      <w:pPr>
        <w:pStyle w:val="FootnoteText"/>
      </w:pPr>
      <w:r>
        <w:rPr>
          <w:rStyle w:val="FootnoteReference"/>
        </w:rPr>
        <w:footnoteRef/>
      </w:r>
      <w:r>
        <w:t xml:space="preserve"> </w:t>
      </w:r>
      <w:r w:rsidRPr="00714B74">
        <w:rPr>
          <w:i/>
          <w:iCs/>
          <w:sz w:val="16"/>
          <w:szCs w:val="16"/>
        </w:rPr>
        <w:t>State Coincident Indexes, retrieved from the Federal Reserve Bank of Philad</w:t>
      </w:r>
      <w:r>
        <w:rPr>
          <w:i/>
          <w:iCs/>
          <w:sz w:val="16"/>
          <w:szCs w:val="16"/>
        </w:rPr>
        <w:t>el</w:t>
      </w:r>
      <w:r w:rsidRPr="00714B74">
        <w:rPr>
          <w:i/>
          <w:iCs/>
          <w:sz w:val="16"/>
          <w:szCs w:val="16"/>
        </w:rPr>
        <w:t xml:space="preserve">phia, </w:t>
      </w:r>
      <w:hyperlink r:id="rId2" w:history="1">
        <w:r>
          <w:rPr>
            <w:rStyle w:val="Hyperlink"/>
            <w:i/>
            <w:iCs/>
            <w:sz w:val="16"/>
            <w:szCs w:val="16"/>
          </w:rPr>
          <w:t>https://www.philadelphiafed.org/-/media/research-and-data/regional-economy/indexes/coincident/2020/coincidentindexes0620.pdf</w:t>
        </w:r>
      </w:hyperlink>
      <w:r w:rsidRPr="00714B74">
        <w:rPr>
          <w:i/>
          <w:iCs/>
          <w:sz w:val="16"/>
          <w:szCs w:val="16"/>
        </w:rPr>
        <w:t xml:space="preserve">, </w:t>
      </w:r>
      <w:r>
        <w:rPr>
          <w:i/>
          <w:iCs/>
          <w:sz w:val="16"/>
          <w:szCs w:val="16"/>
        </w:rPr>
        <w:t>Aug 1,</w:t>
      </w:r>
      <w:r w:rsidRPr="00714B74">
        <w:rPr>
          <w:i/>
          <w:iCs/>
          <w:sz w:val="16"/>
          <w:szCs w:val="16"/>
        </w:rPr>
        <w:t xml:space="preserve"> 2020</w:t>
      </w:r>
      <w:r>
        <w:rPr>
          <w:i/>
          <w:iCs/>
          <w:sz w:val="16"/>
          <w:szCs w:val="16"/>
        </w:rPr>
        <w:t>.</w:t>
      </w:r>
    </w:p>
  </w:footnote>
  <w:footnote w:id="3">
    <w:p w14:paraId="04EBBD96" w14:textId="04951305" w:rsidR="00283D6F" w:rsidRPr="000322F4" w:rsidRDefault="00283D6F">
      <w:pPr>
        <w:pStyle w:val="FootnoteText"/>
        <w:rPr>
          <w:sz w:val="16"/>
          <w:szCs w:val="16"/>
          <w:lang w:val="en-PH"/>
        </w:rPr>
      </w:pPr>
      <w:r w:rsidRPr="000322F4">
        <w:rPr>
          <w:rStyle w:val="FootnoteReference"/>
          <w:sz w:val="16"/>
          <w:szCs w:val="16"/>
        </w:rPr>
        <w:footnoteRef/>
      </w:r>
      <w:r w:rsidRPr="000322F4">
        <w:rPr>
          <w:sz w:val="16"/>
          <w:szCs w:val="16"/>
        </w:rPr>
        <w:t xml:space="preserve"> </w:t>
      </w:r>
      <w:r w:rsidRPr="00DA3959">
        <w:rPr>
          <w:rFonts w:cstheme="minorHAnsi"/>
          <w:i/>
          <w:iCs/>
          <w:color w:val="222222"/>
          <w:sz w:val="16"/>
          <w:szCs w:val="16"/>
          <w:shd w:val="clear" w:color="auto" w:fill="FFFFFF"/>
        </w:rPr>
        <w:t xml:space="preserve">Board of Governors of the Federal Reserve System (US), Trade Weighted U.S. Dollar Index: Broad, Goods and Services [DTWEXBGS], retrieved from FRED, Federal Reserve Bank of St. Louis; </w:t>
      </w:r>
      <w:hyperlink r:id="rId3"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DA3959">
        <w:rPr>
          <w:rFonts w:cstheme="minorHAnsi"/>
          <w:i/>
          <w:iCs/>
          <w:color w:val="222222"/>
          <w:sz w:val="16"/>
          <w:szCs w:val="16"/>
          <w:shd w:val="clear" w:color="auto" w:fill="FFFFFF"/>
        </w:rPr>
        <w:t>.</w:t>
      </w:r>
    </w:p>
  </w:footnote>
  <w:footnote w:id="4">
    <w:p w14:paraId="517776FA" w14:textId="568D60F2"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4"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5">
    <w:p w14:paraId="502F649B" w14:textId="242413FC" w:rsidR="00283D6F" w:rsidRPr="006A114D" w:rsidRDefault="00283D6F">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5"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6">
    <w:p w14:paraId="11F01E93" w14:textId="529024A1" w:rsidR="00283D6F" w:rsidRPr="00B65667" w:rsidRDefault="00283D6F">
      <w:pPr>
        <w:pStyle w:val="FootnoteText"/>
        <w:rPr>
          <w:i/>
          <w:iCs/>
          <w:sz w:val="16"/>
          <w:szCs w:val="16"/>
          <w:lang w:val="en-PH"/>
        </w:rPr>
      </w:pPr>
      <w:r>
        <w:rPr>
          <w:rStyle w:val="FootnoteReference"/>
        </w:rPr>
        <w:footnoteRef/>
      </w:r>
      <w:r>
        <w:t xml:space="preserve"> </w:t>
      </w:r>
      <w:r w:rsidRPr="00B65667">
        <w:rPr>
          <w:i/>
          <w:iCs/>
          <w:sz w:val="16"/>
          <w:szCs w:val="16"/>
          <w:lang w:val="en-PH"/>
        </w:rPr>
        <w:t xml:space="preserve">Selected Interest Rates Instruments, Yields in percent per annum, retrieved from FRED, Federal Reserve Bank of St. Louis; </w:t>
      </w:r>
      <w:hyperlink r:id="rId6" w:history="1">
        <w:r w:rsidRPr="00B65667">
          <w:rPr>
            <w:rStyle w:val="Hyperlink"/>
            <w:i/>
            <w:iCs/>
            <w:sz w:val="16"/>
            <w:szCs w:val="16"/>
            <w:lang w:val="en-PH"/>
          </w:rPr>
          <w:t>https://fred.stlouisfed.org/release/tables?rid=18&amp;eid=289&amp;od=2020-03-31#</w:t>
        </w:r>
      </w:hyperlink>
      <w:r w:rsidRPr="00B65667">
        <w:rPr>
          <w:i/>
          <w:iCs/>
          <w:sz w:val="16"/>
          <w:szCs w:val="16"/>
          <w:lang w:val="en-PH"/>
        </w:rPr>
        <w:t xml:space="preserve">, </w:t>
      </w:r>
      <w:r>
        <w:rPr>
          <w:i/>
          <w:iCs/>
          <w:sz w:val="16"/>
          <w:szCs w:val="16"/>
          <w:lang w:val="en-PH"/>
        </w:rPr>
        <w:t>Aug</w:t>
      </w:r>
      <w:r w:rsidRPr="00B65667">
        <w:rPr>
          <w:i/>
          <w:iCs/>
          <w:sz w:val="16"/>
          <w:szCs w:val="16"/>
          <w:lang w:val="en-PH"/>
        </w:rPr>
        <w:t xml:space="preserve"> 1, 2020.</w:t>
      </w:r>
    </w:p>
  </w:footnote>
  <w:footnote w:id="7">
    <w:p w14:paraId="35FA6FE7" w14:textId="28BBA686"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rPr>
        <w:t xml:space="preserve"> </w:t>
      </w:r>
      <w:r w:rsidRPr="00B65667">
        <w:rPr>
          <w:i/>
          <w:iCs/>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7"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8">
    <w:p w14:paraId="5D92A033" w14:textId="2EE6CEEB" w:rsidR="00283D6F" w:rsidRPr="004759DB" w:rsidRDefault="00283D6F">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9">
    <w:p w14:paraId="29E4EDD1" w14:textId="702AA6B2"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Moody’s, Moody’s Seasoned Baa Corporate Bond Yield [BAAS],</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https://fred.stlouisfed.org/series/BAA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10">
    <w:p w14:paraId="4C9DB6C9" w14:textId="0806C962" w:rsidR="00283D6F" w:rsidRPr="0052077C" w:rsidRDefault="00283D6F">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retrieved from FRED, Federal Reserve Bank of St. Louis; </w:t>
      </w:r>
      <w:hyperlink r:id="rId10" w:history="1">
        <w:r w:rsidRPr="00BF5CE2">
          <w:rPr>
            <w:rStyle w:val="Hyperlink"/>
            <w:rFonts w:cstheme="minorHAnsi"/>
            <w:i/>
            <w:iCs/>
            <w:sz w:val="16"/>
            <w:szCs w:val="16"/>
            <w:shd w:val="clear" w:color="auto" w:fill="FFFFFF"/>
          </w:rPr>
          <w:t>https://fred.stlouisfed.org/series/PAYEMS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11">
    <w:p w14:paraId="7DEAA574" w14:textId="23FD208D"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1"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12">
    <w:p w14:paraId="4135366E" w14:textId="157E3FDC"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12"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13">
    <w:p w14:paraId="1430DADA" w14:textId="48D4A502" w:rsidR="00283D6F" w:rsidRDefault="00283D6F">
      <w:pPr>
        <w:pStyle w:val="FootnoteText"/>
      </w:pPr>
      <w:r>
        <w:rPr>
          <w:rStyle w:val="FootnoteReference"/>
        </w:rPr>
        <w:footnoteRef/>
      </w:r>
      <w:r>
        <w:t xml:space="preserve"> </w:t>
      </w:r>
      <w:r w:rsidRPr="008155BA">
        <w:rPr>
          <w:i/>
          <w:iCs/>
          <w:sz w:val="16"/>
          <w:szCs w:val="16"/>
        </w:rPr>
        <w:t xml:space="preserve">Survey of Consumer Expectations, retrieved from Federal Reserve Bank of New York, </w:t>
      </w:r>
      <w:hyperlink r:id="rId13" w:anchor="indicators/inflation-expectations/g1" w:history="1">
        <w:r w:rsidRPr="008155BA">
          <w:rPr>
            <w:rStyle w:val="Hyperlink"/>
            <w:i/>
            <w:iCs/>
            <w:sz w:val="16"/>
            <w:szCs w:val="16"/>
          </w:rPr>
          <w:t>https://www.newyorkfed.org/microeconomics/sce#indicators/inflation-expectations/g1</w:t>
        </w:r>
      </w:hyperlink>
      <w:r w:rsidRPr="008155BA">
        <w:rPr>
          <w:i/>
          <w:iCs/>
          <w:sz w:val="16"/>
          <w:szCs w:val="16"/>
        </w:rPr>
        <w:t xml:space="preserve">, </w:t>
      </w:r>
      <w:r>
        <w:rPr>
          <w:i/>
          <w:iCs/>
          <w:sz w:val="16"/>
          <w:szCs w:val="16"/>
        </w:rPr>
        <w:t>Aug 1</w:t>
      </w:r>
      <w:r w:rsidRPr="008155BA">
        <w:rPr>
          <w:i/>
          <w:iCs/>
          <w:sz w:val="16"/>
          <w:szCs w:val="16"/>
        </w:rPr>
        <w:t>, 2020</w:t>
      </w:r>
    </w:p>
  </w:footnote>
  <w:footnote w:id="14">
    <w:p w14:paraId="2CF101DC" w14:textId="62C7995B" w:rsidR="00283D6F" w:rsidRPr="00CB1375" w:rsidRDefault="00283D6F">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14"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15">
    <w:p w14:paraId="1C900108" w14:textId="3CB506DD" w:rsidR="00283D6F" w:rsidRPr="000322F4" w:rsidRDefault="00283D6F"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Pr="000322F4">
        <w:rPr>
          <w:rFonts w:cstheme="minorHAnsi"/>
          <w:i/>
          <w:iCs/>
          <w:color w:val="222222"/>
          <w:sz w:val="16"/>
          <w:szCs w:val="16"/>
          <w:shd w:val="clear" w:color="auto" w:fill="FFFFFF"/>
        </w:rPr>
        <w:t>U.S. Energy Information Administration, Crude Oil Prices: West Texas Intermediate (WTI) – Cushing, Oklahoma [MCOILWTICO], retrieved from FRED, Federal Reserve Bank of St. Louis; </w:t>
      </w:r>
      <w:hyperlink r:id="rId15" w:history="1">
        <w:r w:rsidRPr="000322F4">
          <w:rPr>
            <w:rStyle w:val="Hyperlink"/>
            <w:rFonts w:cstheme="minorHAnsi"/>
            <w:i/>
            <w:iCs/>
            <w:sz w:val="16"/>
            <w:szCs w:val="16"/>
            <w:shd w:val="clear" w:color="auto" w:fill="FFFFFF"/>
          </w:rPr>
          <w:t>https://fred.stlouisfed.org/series/MCOILWTICO</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0322F4">
        <w:rPr>
          <w:rFonts w:cstheme="minorHAnsi"/>
          <w:i/>
          <w:iCs/>
          <w:color w:val="222222"/>
          <w:sz w:val="16"/>
          <w:szCs w:val="16"/>
          <w:shd w:val="clear" w:color="auto" w:fill="FFFFFF"/>
        </w:rPr>
        <w:t>.</w:t>
      </w:r>
    </w:p>
  </w:footnote>
  <w:footnote w:id="16">
    <w:p w14:paraId="11221A52" w14:textId="4D6DDA1B"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16"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17">
    <w:p w14:paraId="6A794CBD" w14:textId="0B2BF184" w:rsidR="00283D6F" w:rsidRPr="00250313" w:rsidRDefault="00283D6F">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sidR="004907DA">
        <w:rPr>
          <w:rFonts w:cstheme="minorHAnsi"/>
          <w:i/>
          <w:iCs/>
          <w:color w:val="222222"/>
          <w:sz w:val="16"/>
          <w:szCs w:val="16"/>
          <w:shd w:val="clear" w:color="auto" w:fill="FFFFFF"/>
        </w:rPr>
        <w:t>Aug 1</w:t>
      </w:r>
      <w:r>
        <w:rPr>
          <w:rFonts w:cstheme="minorHAnsi"/>
          <w:i/>
          <w:iCs/>
          <w:color w:val="222222"/>
          <w:sz w:val="16"/>
          <w:szCs w:val="16"/>
          <w:shd w:val="clear" w:color="auto" w:fill="FFFFFF"/>
        </w:rPr>
        <w:t>, 2020</w:t>
      </w:r>
      <w:r w:rsidRPr="00BF5CE2">
        <w:rPr>
          <w:rFonts w:cstheme="minorHAnsi"/>
          <w:i/>
          <w:iCs/>
          <w:color w:val="222222"/>
          <w:sz w:val="16"/>
          <w:szCs w:val="16"/>
          <w:shd w:val="clear" w:color="auto" w:fill="FFFFFF"/>
        </w:rPr>
        <w:t>.</w:t>
      </w:r>
    </w:p>
  </w:footnote>
  <w:footnote w:id="18">
    <w:p w14:paraId="48E5411D" w14:textId="1D417136"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Down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18"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sidR="004907DA">
        <w:rPr>
          <w:rFonts w:cstheme="minorHAnsi"/>
          <w:i/>
          <w:iCs/>
          <w:color w:val="222222"/>
          <w:sz w:val="16"/>
          <w:szCs w:val="16"/>
          <w:shd w:val="clear" w:color="auto" w:fill="FFFFFF"/>
        </w:rPr>
        <w:t>Aug 1</w:t>
      </w:r>
      <w:r>
        <w:rPr>
          <w:rFonts w:cstheme="minorHAnsi"/>
          <w:i/>
          <w:iCs/>
          <w:color w:val="222222"/>
          <w:sz w:val="16"/>
          <w:szCs w:val="16"/>
          <w:shd w:val="clear" w:color="auto" w:fill="FFFFFF"/>
        </w:rPr>
        <w:t>, 2020</w:t>
      </w:r>
      <w:r w:rsidRPr="00BF5CE2">
        <w:rPr>
          <w:rFonts w:cstheme="minorHAnsi"/>
          <w:i/>
          <w:iCs/>
          <w:color w:val="222222"/>
          <w:sz w:val="16"/>
          <w:szCs w:val="16"/>
          <w:shd w:val="clear" w:color="auto" w:fill="FFFFFF"/>
        </w:rPr>
        <w:t>.</w:t>
      </w:r>
    </w:p>
  </w:footnote>
  <w:footnote w:id="19">
    <w:p w14:paraId="3C84FE4A" w14:textId="593337FB" w:rsidR="00283D6F" w:rsidRPr="00BF5CE2" w:rsidRDefault="00283D6F">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19"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20">
    <w:p w14:paraId="08E11874" w14:textId="23E1E20C" w:rsidR="00283D6F" w:rsidRPr="00933E80" w:rsidRDefault="00283D6F">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r w:rsidRPr="00BF5CE2">
        <w:rPr>
          <w:rFonts w:cstheme="minorHAnsi"/>
          <w:i/>
          <w:iCs/>
          <w:color w:val="222222"/>
          <w:sz w:val="16"/>
          <w:szCs w:val="16"/>
          <w:shd w:val="clear" w:color="auto" w:fill="FFFFFF"/>
        </w:rPr>
        <w:t xml:space="preserve"> retrieved from FRED, Federal Reserve Bank of St. Louis; </w:t>
      </w:r>
      <w:hyperlink r:id="rId20" w:history="1">
        <w:r w:rsidRPr="00BF5CE2">
          <w:rPr>
            <w:rStyle w:val="Hyperlink"/>
            <w:rFonts w:cstheme="minorHAnsi"/>
            <w:i/>
            <w:iCs/>
            <w:sz w:val="16"/>
            <w:szCs w:val="16"/>
            <w:shd w:val="clear" w:color="auto" w:fill="FFFFFF"/>
          </w:rPr>
          <w:t>https://fred.stlouisfed.org/series/ALTSALES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BF5CE2">
        <w:rPr>
          <w:rFonts w:cstheme="minorHAnsi"/>
          <w:i/>
          <w:iCs/>
          <w:color w:val="222222"/>
          <w:sz w:val="16"/>
          <w:szCs w:val="16"/>
          <w:shd w:val="clear" w:color="auto" w:fill="FFFFFF"/>
        </w:rPr>
        <w:t>.</w:t>
      </w:r>
    </w:p>
  </w:footnote>
  <w:footnote w:id="21">
    <w:p w14:paraId="01357EF0" w14:textId="3D7B6EB1" w:rsidR="00283D6F" w:rsidRPr="00364347" w:rsidRDefault="00283D6F"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21" w:history="1">
        <w:r w:rsidRPr="00364347">
          <w:rPr>
            <w:rStyle w:val="Hyperlink"/>
            <w:i/>
            <w:iCs/>
            <w:sz w:val="16"/>
            <w:szCs w:val="16"/>
            <w:lang w:val="en-PH"/>
          </w:rPr>
          <w:t>https://fred.stlouisfed.org/series/UMCSENT</w:t>
        </w:r>
      </w:hyperlink>
      <w:r w:rsidRPr="00364347">
        <w:rPr>
          <w:i/>
          <w:iCs/>
          <w:sz w:val="16"/>
          <w:szCs w:val="16"/>
          <w:lang w:val="en-PH"/>
        </w:rPr>
        <w:t xml:space="preserve">, </w:t>
      </w:r>
      <w:r>
        <w:rPr>
          <w:i/>
          <w:iCs/>
          <w:sz w:val="16"/>
          <w:szCs w:val="16"/>
          <w:lang w:val="en-PH"/>
        </w:rPr>
        <w:t>Aug 1</w:t>
      </w:r>
      <w:r w:rsidRPr="00364347">
        <w:rPr>
          <w:i/>
          <w:iCs/>
          <w:sz w:val="16"/>
          <w:szCs w:val="16"/>
          <w:lang w:val="en-PH"/>
        </w:rPr>
        <w:t>, 2020.</w:t>
      </w:r>
    </w:p>
    <w:p w14:paraId="10C86738" w14:textId="29101548" w:rsidR="00283D6F" w:rsidRDefault="00283D6F">
      <w:pPr>
        <w:pStyle w:val="FootnoteText"/>
      </w:pPr>
    </w:p>
  </w:footnote>
  <w:footnote w:id="22">
    <w:p w14:paraId="3E58D959" w14:textId="64ABF771" w:rsidR="00283D6F" w:rsidRPr="00364347" w:rsidRDefault="00283D6F">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22" w:history="1">
        <w:r w:rsidRPr="00364347">
          <w:rPr>
            <w:rStyle w:val="Hyperlink"/>
            <w:i/>
            <w:iCs/>
            <w:sz w:val="16"/>
            <w:szCs w:val="16"/>
          </w:rPr>
          <w:t>https://fred.stlouisfed.org/series/VIXCLS</w:t>
        </w:r>
      </w:hyperlink>
      <w:r w:rsidRPr="00364347">
        <w:rPr>
          <w:i/>
          <w:iCs/>
          <w:sz w:val="16"/>
          <w:szCs w:val="16"/>
        </w:rPr>
        <w:t xml:space="preserve">, </w:t>
      </w:r>
      <w:r>
        <w:rPr>
          <w:i/>
          <w:iCs/>
          <w:sz w:val="16"/>
          <w:szCs w:val="16"/>
        </w:rPr>
        <w:t>Aug 1</w:t>
      </w:r>
      <w:r w:rsidRPr="00364347">
        <w:rPr>
          <w:i/>
          <w:iCs/>
          <w:sz w:val="16"/>
          <w:szCs w:val="16"/>
        </w:rPr>
        <w:t>, 2020.</w:t>
      </w:r>
    </w:p>
  </w:footnote>
  <w:footnote w:id="23">
    <w:p w14:paraId="1CF53D3A" w14:textId="72267938" w:rsidR="00283D6F" w:rsidRPr="00BF5CE2" w:rsidRDefault="00283D6F">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23"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Aug 1, 2020</w:t>
      </w:r>
      <w:r w:rsidRPr="002B29C7">
        <w:rPr>
          <w:rFonts w:cstheme="minorHAnsi"/>
          <w:i/>
          <w:iCs/>
          <w:color w:val="222222"/>
          <w:sz w:val="16"/>
          <w:szCs w:val="16"/>
          <w:shd w:val="clear" w:color="auto" w:fill="FFFFFF"/>
        </w:rPr>
        <w:t>.</w:t>
      </w:r>
    </w:p>
  </w:footnote>
  <w:footnote w:id="24">
    <w:p w14:paraId="054982F6" w14:textId="6BC0D899" w:rsidR="00283D6F" w:rsidRPr="005D3CEF" w:rsidRDefault="00283D6F">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24"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w:t>
      </w:r>
      <w:r w:rsidRPr="00364347">
        <w:rPr>
          <w:rFonts w:cstheme="minorHAnsi"/>
          <w:i/>
          <w:iCs/>
          <w:color w:val="222222"/>
          <w:sz w:val="16"/>
          <w:szCs w:val="16"/>
          <w:shd w:val="clear" w:color="auto" w:fill="FFFFFF"/>
        </w:rPr>
        <w:t>, 2020.</w:t>
      </w:r>
    </w:p>
  </w:footnote>
  <w:footnote w:id="25">
    <w:p w14:paraId="4A7DBD07" w14:textId="61763581" w:rsidR="00283D6F" w:rsidRPr="00E72196" w:rsidRDefault="00283D6F"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25"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Aug 1, 2020</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5FE7" w14:textId="77777777" w:rsidR="00283D6F" w:rsidRPr="00460436" w:rsidRDefault="00283D6F"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11"/>
    <w:rsid w:val="0000055B"/>
    <w:rsid w:val="000017CB"/>
    <w:rsid w:val="00005111"/>
    <w:rsid w:val="00014CBA"/>
    <w:rsid w:val="00021EA4"/>
    <w:rsid w:val="00022BB4"/>
    <w:rsid w:val="000248D0"/>
    <w:rsid w:val="00024E64"/>
    <w:rsid w:val="0002602B"/>
    <w:rsid w:val="0002760A"/>
    <w:rsid w:val="00027E1E"/>
    <w:rsid w:val="00030ECA"/>
    <w:rsid w:val="0003136B"/>
    <w:rsid w:val="000322F4"/>
    <w:rsid w:val="00033B75"/>
    <w:rsid w:val="00035810"/>
    <w:rsid w:val="00035F0C"/>
    <w:rsid w:val="0003611B"/>
    <w:rsid w:val="00046A04"/>
    <w:rsid w:val="00047034"/>
    <w:rsid w:val="00047E74"/>
    <w:rsid w:val="0005198D"/>
    <w:rsid w:val="00052F94"/>
    <w:rsid w:val="00053E46"/>
    <w:rsid w:val="0005726F"/>
    <w:rsid w:val="00057711"/>
    <w:rsid w:val="00060AA5"/>
    <w:rsid w:val="00061DAA"/>
    <w:rsid w:val="000644DB"/>
    <w:rsid w:val="000650B3"/>
    <w:rsid w:val="00065E14"/>
    <w:rsid w:val="00071875"/>
    <w:rsid w:val="00072C36"/>
    <w:rsid w:val="000738AD"/>
    <w:rsid w:val="00074123"/>
    <w:rsid w:val="000742F7"/>
    <w:rsid w:val="0007515A"/>
    <w:rsid w:val="00076850"/>
    <w:rsid w:val="000807FF"/>
    <w:rsid w:val="00084604"/>
    <w:rsid w:val="00084608"/>
    <w:rsid w:val="00084C45"/>
    <w:rsid w:val="000874E3"/>
    <w:rsid w:val="00090DA6"/>
    <w:rsid w:val="00093D9A"/>
    <w:rsid w:val="00093EF4"/>
    <w:rsid w:val="0009699C"/>
    <w:rsid w:val="000A0001"/>
    <w:rsid w:val="000A0FCA"/>
    <w:rsid w:val="000A1224"/>
    <w:rsid w:val="000A239B"/>
    <w:rsid w:val="000A2C4B"/>
    <w:rsid w:val="000A3240"/>
    <w:rsid w:val="000A79DC"/>
    <w:rsid w:val="000B0583"/>
    <w:rsid w:val="000B0B86"/>
    <w:rsid w:val="000B42F9"/>
    <w:rsid w:val="000B4F85"/>
    <w:rsid w:val="000B5DA2"/>
    <w:rsid w:val="000B6EBB"/>
    <w:rsid w:val="000C1495"/>
    <w:rsid w:val="000C19DD"/>
    <w:rsid w:val="000C2E7D"/>
    <w:rsid w:val="000C6EEB"/>
    <w:rsid w:val="000C71C7"/>
    <w:rsid w:val="000D47AB"/>
    <w:rsid w:val="000D4973"/>
    <w:rsid w:val="000D5719"/>
    <w:rsid w:val="000D646D"/>
    <w:rsid w:val="000D7BDC"/>
    <w:rsid w:val="000E1BAA"/>
    <w:rsid w:val="000E3192"/>
    <w:rsid w:val="000E5860"/>
    <w:rsid w:val="000E6060"/>
    <w:rsid w:val="000E6A61"/>
    <w:rsid w:val="000F1648"/>
    <w:rsid w:val="000F4AC6"/>
    <w:rsid w:val="000F59FF"/>
    <w:rsid w:val="001009B9"/>
    <w:rsid w:val="00100DF8"/>
    <w:rsid w:val="00102080"/>
    <w:rsid w:val="0010260B"/>
    <w:rsid w:val="00105413"/>
    <w:rsid w:val="00107AB4"/>
    <w:rsid w:val="001116CA"/>
    <w:rsid w:val="00111974"/>
    <w:rsid w:val="00113C90"/>
    <w:rsid w:val="001149CD"/>
    <w:rsid w:val="00115717"/>
    <w:rsid w:val="00116B91"/>
    <w:rsid w:val="00117BB0"/>
    <w:rsid w:val="00121E2F"/>
    <w:rsid w:val="00122842"/>
    <w:rsid w:val="001235D8"/>
    <w:rsid w:val="001277B9"/>
    <w:rsid w:val="00130055"/>
    <w:rsid w:val="00131885"/>
    <w:rsid w:val="00134A21"/>
    <w:rsid w:val="00140712"/>
    <w:rsid w:val="00140763"/>
    <w:rsid w:val="00140FEE"/>
    <w:rsid w:val="001451F8"/>
    <w:rsid w:val="001460CC"/>
    <w:rsid w:val="001475FF"/>
    <w:rsid w:val="001511FF"/>
    <w:rsid w:val="00153FBB"/>
    <w:rsid w:val="001545F2"/>
    <w:rsid w:val="00155E88"/>
    <w:rsid w:val="00156FE4"/>
    <w:rsid w:val="0016088B"/>
    <w:rsid w:val="00163F37"/>
    <w:rsid w:val="0016688A"/>
    <w:rsid w:val="00166C08"/>
    <w:rsid w:val="00166F90"/>
    <w:rsid w:val="00171C8E"/>
    <w:rsid w:val="00172307"/>
    <w:rsid w:val="001737B6"/>
    <w:rsid w:val="001744C6"/>
    <w:rsid w:val="0017465F"/>
    <w:rsid w:val="00174B44"/>
    <w:rsid w:val="00174BCD"/>
    <w:rsid w:val="00174CC3"/>
    <w:rsid w:val="001756EC"/>
    <w:rsid w:val="0017576B"/>
    <w:rsid w:val="00176C00"/>
    <w:rsid w:val="001773AA"/>
    <w:rsid w:val="0018096F"/>
    <w:rsid w:val="00180CA9"/>
    <w:rsid w:val="001819E6"/>
    <w:rsid w:val="00183B61"/>
    <w:rsid w:val="00186318"/>
    <w:rsid w:val="001868CB"/>
    <w:rsid w:val="00187669"/>
    <w:rsid w:val="00193436"/>
    <w:rsid w:val="00195B12"/>
    <w:rsid w:val="001A3FBA"/>
    <w:rsid w:val="001A4F9E"/>
    <w:rsid w:val="001A6C86"/>
    <w:rsid w:val="001B1490"/>
    <w:rsid w:val="001B4B76"/>
    <w:rsid w:val="001C0F2A"/>
    <w:rsid w:val="001C1070"/>
    <w:rsid w:val="001C14A1"/>
    <w:rsid w:val="001C2541"/>
    <w:rsid w:val="001C38B9"/>
    <w:rsid w:val="001C7617"/>
    <w:rsid w:val="001D7D8D"/>
    <w:rsid w:val="001E04F8"/>
    <w:rsid w:val="001E15B0"/>
    <w:rsid w:val="001E26E8"/>
    <w:rsid w:val="001E42A6"/>
    <w:rsid w:val="001E6FCC"/>
    <w:rsid w:val="001E7445"/>
    <w:rsid w:val="001F4E3D"/>
    <w:rsid w:val="001F7970"/>
    <w:rsid w:val="0020145F"/>
    <w:rsid w:val="00204D9D"/>
    <w:rsid w:val="0021377C"/>
    <w:rsid w:val="00217AD5"/>
    <w:rsid w:val="002219B5"/>
    <w:rsid w:val="0022226D"/>
    <w:rsid w:val="002308A9"/>
    <w:rsid w:val="00230D29"/>
    <w:rsid w:val="00231FA3"/>
    <w:rsid w:val="00232336"/>
    <w:rsid w:val="00234F94"/>
    <w:rsid w:val="002361FB"/>
    <w:rsid w:val="00236B68"/>
    <w:rsid w:val="00237901"/>
    <w:rsid w:val="00237E71"/>
    <w:rsid w:val="002406D9"/>
    <w:rsid w:val="002435D7"/>
    <w:rsid w:val="00244C4D"/>
    <w:rsid w:val="00245903"/>
    <w:rsid w:val="002502D5"/>
    <w:rsid w:val="00250313"/>
    <w:rsid w:val="002516C6"/>
    <w:rsid w:val="002521FF"/>
    <w:rsid w:val="0025222E"/>
    <w:rsid w:val="00252A9B"/>
    <w:rsid w:val="00254176"/>
    <w:rsid w:val="00255530"/>
    <w:rsid w:val="00255C32"/>
    <w:rsid w:val="0025666D"/>
    <w:rsid w:val="00257944"/>
    <w:rsid w:val="002608F3"/>
    <w:rsid w:val="0026329B"/>
    <w:rsid w:val="00265131"/>
    <w:rsid w:val="0026599C"/>
    <w:rsid w:val="002731EF"/>
    <w:rsid w:val="0027585A"/>
    <w:rsid w:val="002775DB"/>
    <w:rsid w:val="002817E1"/>
    <w:rsid w:val="0028237E"/>
    <w:rsid w:val="00283D6F"/>
    <w:rsid w:val="00285F67"/>
    <w:rsid w:val="00291763"/>
    <w:rsid w:val="00291FFB"/>
    <w:rsid w:val="00292B24"/>
    <w:rsid w:val="00296BEB"/>
    <w:rsid w:val="002972D2"/>
    <w:rsid w:val="002978F9"/>
    <w:rsid w:val="002A0B80"/>
    <w:rsid w:val="002A14C5"/>
    <w:rsid w:val="002A375D"/>
    <w:rsid w:val="002A3CB2"/>
    <w:rsid w:val="002A45E8"/>
    <w:rsid w:val="002A764F"/>
    <w:rsid w:val="002B16D0"/>
    <w:rsid w:val="002B29C7"/>
    <w:rsid w:val="002B2BBA"/>
    <w:rsid w:val="002C0EC8"/>
    <w:rsid w:val="002C240B"/>
    <w:rsid w:val="002C3C67"/>
    <w:rsid w:val="002C429F"/>
    <w:rsid w:val="002C5E52"/>
    <w:rsid w:val="002C601A"/>
    <w:rsid w:val="002C69A4"/>
    <w:rsid w:val="002D4C10"/>
    <w:rsid w:val="002D5CC3"/>
    <w:rsid w:val="002E0DC9"/>
    <w:rsid w:val="002E2644"/>
    <w:rsid w:val="002E3213"/>
    <w:rsid w:val="002E3647"/>
    <w:rsid w:val="002E4494"/>
    <w:rsid w:val="002E58CF"/>
    <w:rsid w:val="002E6FDE"/>
    <w:rsid w:val="002E7ACF"/>
    <w:rsid w:val="002F0CDA"/>
    <w:rsid w:val="002F1660"/>
    <w:rsid w:val="002F1B2A"/>
    <w:rsid w:val="002F1B4B"/>
    <w:rsid w:val="002F1C7B"/>
    <w:rsid w:val="002F3682"/>
    <w:rsid w:val="002F3ADD"/>
    <w:rsid w:val="002F3CE6"/>
    <w:rsid w:val="002F6282"/>
    <w:rsid w:val="002F63F8"/>
    <w:rsid w:val="003028B3"/>
    <w:rsid w:val="00304B4E"/>
    <w:rsid w:val="00306B1D"/>
    <w:rsid w:val="003071CD"/>
    <w:rsid w:val="00307A87"/>
    <w:rsid w:val="0031179D"/>
    <w:rsid w:val="00311E77"/>
    <w:rsid w:val="00314985"/>
    <w:rsid w:val="00316CBD"/>
    <w:rsid w:val="00316E8F"/>
    <w:rsid w:val="00317448"/>
    <w:rsid w:val="003175DC"/>
    <w:rsid w:val="00321AA2"/>
    <w:rsid w:val="00322C58"/>
    <w:rsid w:val="0033052C"/>
    <w:rsid w:val="003316E9"/>
    <w:rsid w:val="00332197"/>
    <w:rsid w:val="00334DE4"/>
    <w:rsid w:val="00336F2C"/>
    <w:rsid w:val="003376CD"/>
    <w:rsid w:val="00337BD8"/>
    <w:rsid w:val="00340B8A"/>
    <w:rsid w:val="003414E7"/>
    <w:rsid w:val="003477B7"/>
    <w:rsid w:val="003479C3"/>
    <w:rsid w:val="00353F0A"/>
    <w:rsid w:val="00354195"/>
    <w:rsid w:val="00354414"/>
    <w:rsid w:val="0035542E"/>
    <w:rsid w:val="00360100"/>
    <w:rsid w:val="00362202"/>
    <w:rsid w:val="00363E78"/>
    <w:rsid w:val="00364347"/>
    <w:rsid w:val="003643F8"/>
    <w:rsid w:val="00371414"/>
    <w:rsid w:val="00372F3C"/>
    <w:rsid w:val="003802E7"/>
    <w:rsid w:val="003812D0"/>
    <w:rsid w:val="0038144F"/>
    <w:rsid w:val="00382C86"/>
    <w:rsid w:val="00386023"/>
    <w:rsid w:val="00387C82"/>
    <w:rsid w:val="0039196F"/>
    <w:rsid w:val="00392D01"/>
    <w:rsid w:val="00393B78"/>
    <w:rsid w:val="00394236"/>
    <w:rsid w:val="00395B3E"/>
    <w:rsid w:val="00396E51"/>
    <w:rsid w:val="0039736B"/>
    <w:rsid w:val="00397F57"/>
    <w:rsid w:val="003A0447"/>
    <w:rsid w:val="003A390C"/>
    <w:rsid w:val="003A3D8A"/>
    <w:rsid w:val="003A4BCC"/>
    <w:rsid w:val="003A679B"/>
    <w:rsid w:val="003B0615"/>
    <w:rsid w:val="003B0B22"/>
    <w:rsid w:val="003B2BFB"/>
    <w:rsid w:val="003B4D22"/>
    <w:rsid w:val="003C1F24"/>
    <w:rsid w:val="003C4CAF"/>
    <w:rsid w:val="003D112A"/>
    <w:rsid w:val="003D3C51"/>
    <w:rsid w:val="003D4159"/>
    <w:rsid w:val="003E18DF"/>
    <w:rsid w:val="003E282E"/>
    <w:rsid w:val="003E3E2D"/>
    <w:rsid w:val="003E4ACB"/>
    <w:rsid w:val="003E5CFB"/>
    <w:rsid w:val="003F2FE7"/>
    <w:rsid w:val="003F5061"/>
    <w:rsid w:val="00401A65"/>
    <w:rsid w:val="0040211C"/>
    <w:rsid w:val="00403355"/>
    <w:rsid w:val="0040653A"/>
    <w:rsid w:val="0041138E"/>
    <w:rsid w:val="00411404"/>
    <w:rsid w:val="00411A4C"/>
    <w:rsid w:val="004134F4"/>
    <w:rsid w:val="00413EE3"/>
    <w:rsid w:val="00421F60"/>
    <w:rsid w:val="0042476E"/>
    <w:rsid w:val="00424E74"/>
    <w:rsid w:val="00427110"/>
    <w:rsid w:val="0042719D"/>
    <w:rsid w:val="0043016A"/>
    <w:rsid w:val="00440FEB"/>
    <w:rsid w:val="00442163"/>
    <w:rsid w:val="00442565"/>
    <w:rsid w:val="00442BF6"/>
    <w:rsid w:val="00443A15"/>
    <w:rsid w:val="00445A11"/>
    <w:rsid w:val="00446C08"/>
    <w:rsid w:val="004476DE"/>
    <w:rsid w:val="00447E7F"/>
    <w:rsid w:val="004506CC"/>
    <w:rsid w:val="0045095D"/>
    <w:rsid w:val="0045097E"/>
    <w:rsid w:val="004513EB"/>
    <w:rsid w:val="00451755"/>
    <w:rsid w:val="00453708"/>
    <w:rsid w:val="00454F4B"/>
    <w:rsid w:val="0045550A"/>
    <w:rsid w:val="00457E1D"/>
    <w:rsid w:val="00460436"/>
    <w:rsid w:val="00460DE2"/>
    <w:rsid w:val="00460E43"/>
    <w:rsid w:val="00463560"/>
    <w:rsid w:val="00466612"/>
    <w:rsid w:val="00466861"/>
    <w:rsid w:val="00467AB1"/>
    <w:rsid w:val="004709B0"/>
    <w:rsid w:val="004759DB"/>
    <w:rsid w:val="004778D8"/>
    <w:rsid w:val="004907DA"/>
    <w:rsid w:val="00490AFD"/>
    <w:rsid w:val="0049182B"/>
    <w:rsid w:val="00491B4B"/>
    <w:rsid w:val="00493CF1"/>
    <w:rsid w:val="00494933"/>
    <w:rsid w:val="004965CE"/>
    <w:rsid w:val="00496E13"/>
    <w:rsid w:val="004A0649"/>
    <w:rsid w:val="004A0947"/>
    <w:rsid w:val="004A0ABB"/>
    <w:rsid w:val="004A4BD1"/>
    <w:rsid w:val="004B047B"/>
    <w:rsid w:val="004B2BFB"/>
    <w:rsid w:val="004B3923"/>
    <w:rsid w:val="004B3B5E"/>
    <w:rsid w:val="004B6D7A"/>
    <w:rsid w:val="004B7D92"/>
    <w:rsid w:val="004C20AB"/>
    <w:rsid w:val="004C587A"/>
    <w:rsid w:val="004C6B76"/>
    <w:rsid w:val="004D0515"/>
    <w:rsid w:val="004D099A"/>
    <w:rsid w:val="004D1C9D"/>
    <w:rsid w:val="004D1DA4"/>
    <w:rsid w:val="004E2AB3"/>
    <w:rsid w:val="004E2C09"/>
    <w:rsid w:val="004E3393"/>
    <w:rsid w:val="004E4A45"/>
    <w:rsid w:val="004E4B6F"/>
    <w:rsid w:val="004E5EC0"/>
    <w:rsid w:val="004E7265"/>
    <w:rsid w:val="004F1527"/>
    <w:rsid w:val="004F330B"/>
    <w:rsid w:val="004F3ADA"/>
    <w:rsid w:val="004F55C9"/>
    <w:rsid w:val="004F67A9"/>
    <w:rsid w:val="004F73C7"/>
    <w:rsid w:val="00502B32"/>
    <w:rsid w:val="00504F45"/>
    <w:rsid w:val="005117CA"/>
    <w:rsid w:val="005127D3"/>
    <w:rsid w:val="00515DB3"/>
    <w:rsid w:val="00515E9D"/>
    <w:rsid w:val="005200CA"/>
    <w:rsid w:val="0052077C"/>
    <w:rsid w:val="00521F1D"/>
    <w:rsid w:val="00525C1B"/>
    <w:rsid w:val="005261C1"/>
    <w:rsid w:val="00532A06"/>
    <w:rsid w:val="00536754"/>
    <w:rsid w:val="00536B00"/>
    <w:rsid w:val="005378C5"/>
    <w:rsid w:val="005425D7"/>
    <w:rsid w:val="00542F5A"/>
    <w:rsid w:val="00544623"/>
    <w:rsid w:val="005475F2"/>
    <w:rsid w:val="005505E5"/>
    <w:rsid w:val="00551864"/>
    <w:rsid w:val="00554121"/>
    <w:rsid w:val="005554F5"/>
    <w:rsid w:val="0055555A"/>
    <w:rsid w:val="00556EAD"/>
    <w:rsid w:val="00557239"/>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BEE"/>
    <w:rsid w:val="00584B8E"/>
    <w:rsid w:val="00587C5A"/>
    <w:rsid w:val="00590322"/>
    <w:rsid w:val="005917C1"/>
    <w:rsid w:val="00594B4A"/>
    <w:rsid w:val="005954B1"/>
    <w:rsid w:val="005A693F"/>
    <w:rsid w:val="005B1168"/>
    <w:rsid w:val="005B1ACA"/>
    <w:rsid w:val="005B40E5"/>
    <w:rsid w:val="005C021F"/>
    <w:rsid w:val="005C0A6E"/>
    <w:rsid w:val="005C0D2D"/>
    <w:rsid w:val="005C2215"/>
    <w:rsid w:val="005C493F"/>
    <w:rsid w:val="005C532B"/>
    <w:rsid w:val="005C6CD5"/>
    <w:rsid w:val="005C771E"/>
    <w:rsid w:val="005D06C9"/>
    <w:rsid w:val="005D1E0A"/>
    <w:rsid w:val="005D1E7F"/>
    <w:rsid w:val="005D3CEF"/>
    <w:rsid w:val="005D43B8"/>
    <w:rsid w:val="005D5553"/>
    <w:rsid w:val="005D6316"/>
    <w:rsid w:val="005E19C2"/>
    <w:rsid w:val="005E306A"/>
    <w:rsid w:val="005E3622"/>
    <w:rsid w:val="005E56AE"/>
    <w:rsid w:val="005E67EF"/>
    <w:rsid w:val="005E797B"/>
    <w:rsid w:val="005E7A94"/>
    <w:rsid w:val="005F07E9"/>
    <w:rsid w:val="005F1D7F"/>
    <w:rsid w:val="005F5744"/>
    <w:rsid w:val="006055F4"/>
    <w:rsid w:val="006068F7"/>
    <w:rsid w:val="00610140"/>
    <w:rsid w:val="0061080D"/>
    <w:rsid w:val="00610894"/>
    <w:rsid w:val="0061200D"/>
    <w:rsid w:val="006130EE"/>
    <w:rsid w:val="00615B70"/>
    <w:rsid w:val="006167DB"/>
    <w:rsid w:val="00617DFF"/>
    <w:rsid w:val="00617E5C"/>
    <w:rsid w:val="00620094"/>
    <w:rsid w:val="00621173"/>
    <w:rsid w:val="0062162D"/>
    <w:rsid w:val="00623672"/>
    <w:rsid w:val="00624AEF"/>
    <w:rsid w:val="0062659E"/>
    <w:rsid w:val="00626DAC"/>
    <w:rsid w:val="00627C19"/>
    <w:rsid w:val="00627DE7"/>
    <w:rsid w:val="00631555"/>
    <w:rsid w:val="006342D9"/>
    <w:rsid w:val="00634658"/>
    <w:rsid w:val="00634787"/>
    <w:rsid w:val="00640C9C"/>
    <w:rsid w:val="00640DD5"/>
    <w:rsid w:val="00643797"/>
    <w:rsid w:val="006439EA"/>
    <w:rsid w:val="00643FBF"/>
    <w:rsid w:val="006451FA"/>
    <w:rsid w:val="0064538F"/>
    <w:rsid w:val="00650430"/>
    <w:rsid w:val="00650582"/>
    <w:rsid w:val="00651AC2"/>
    <w:rsid w:val="00654B02"/>
    <w:rsid w:val="006553D1"/>
    <w:rsid w:val="006575D2"/>
    <w:rsid w:val="00657642"/>
    <w:rsid w:val="00660A13"/>
    <w:rsid w:val="00660C7A"/>
    <w:rsid w:val="00660C8A"/>
    <w:rsid w:val="006646E8"/>
    <w:rsid w:val="006663D0"/>
    <w:rsid w:val="00670FB1"/>
    <w:rsid w:val="0067215A"/>
    <w:rsid w:val="006748EE"/>
    <w:rsid w:val="00675F26"/>
    <w:rsid w:val="00682B7E"/>
    <w:rsid w:val="00690C93"/>
    <w:rsid w:val="00691D14"/>
    <w:rsid w:val="00694624"/>
    <w:rsid w:val="00695441"/>
    <w:rsid w:val="00695980"/>
    <w:rsid w:val="006970E9"/>
    <w:rsid w:val="006A01A0"/>
    <w:rsid w:val="006A0819"/>
    <w:rsid w:val="006A114D"/>
    <w:rsid w:val="006A5321"/>
    <w:rsid w:val="006A62EE"/>
    <w:rsid w:val="006A6BFF"/>
    <w:rsid w:val="006B394A"/>
    <w:rsid w:val="006C08FA"/>
    <w:rsid w:val="006C28D8"/>
    <w:rsid w:val="006C6752"/>
    <w:rsid w:val="006C7116"/>
    <w:rsid w:val="006D2660"/>
    <w:rsid w:val="006D3877"/>
    <w:rsid w:val="006D4E8F"/>
    <w:rsid w:val="006D518C"/>
    <w:rsid w:val="006D579F"/>
    <w:rsid w:val="006E0830"/>
    <w:rsid w:val="006E4B4F"/>
    <w:rsid w:val="006E5760"/>
    <w:rsid w:val="006E608A"/>
    <w:rsid w:val="006E69A7"/>
    <w:rsid w:val="006F060A"/>
    <w:rsid w:val="006F0678"/>
    <w:rsid w:val="006F3E36"/>
    <w:rsid w:val="006F49C7"/>
    <w:rsid w:val="006F4DB7"/>
    <w:rsid w:val="006F6733"/>
    <w:rsid w:val="006F7FB2"/>
    <w:rsid w:val="00700166"/>
    <w:rsid w:val="00701D95"/>
    <w:rsid w:val="00703D80"/>
    <w:rsid w:val="007062B8"/>
    <w:rsid w:val="00707B5E"/>
    <w:rsid w:val="007102D3"/>
    <w:rsid w:val="007110AF"/>
    <w:rsid w:val="00714B74"/>
    <w:rsid w:val="00724C08"/>
    <w:rsid w:val="0072697B"/>
    <w:rsid w:val="00730C3D"/>
    <w:rsid w:val="007329E1"/>
    <w:rsid w:val="0073598E"/>
    <w:rsid w:val="007361CC"/>
    <w:rsid w:val="00740863"/>
    <w:rsid w:val="0074137C"/>
    <w:rsid w:val="00741DA8"/>
    <w:rsid w:val="00742E84"/>
    <w:rsid w:val="00743683"/>
    <w:rsid w:val="0075479C"/>
    <w:rsid w:val="00755B70"/>
    <w:rsid w:val="00756248"/>
    <w:rsid w:val="00756A49"/>
    <w:rsid w:val="007602B9"/>
    <w:rsid w:val="00761D36"/>
    <w:rsid w:val="0076272C"/>
    <w:rsid w:val="007635CE"/>
    <w:rsid w:val="0076678E"/>
    <w:rsid w:val="0076717F"/>
    <w:rsid w:val="0077027E"/>
    <w:rsid w:val="00770759"/>
    <w:rsid w:val="007736DF"/>
    <w:rsid w:val="00773AC4"/>
    <w:rsid w:val="00773B5B"/>
    <w:rsid w:val="00773E0E"/>
    <w:rsid w:val="007807DE"/>
    <w:rsid w:val="00782F5F"/>
    <w:rsid w:val="0078488C"/>
    <w:rsid w:val="00791F5C"/>
    <w:rsid w:val="007929DB"/>
    <w:rsid w:val="00792E5D"/>
    <w:rsid w:val="00795569"/>
    <w:rsid w:val="0079609A"/>
    <w:rsid w:val="007A0574"/>
    <w:rsid w:val="007A0E93"/>
    <w:rsid w:val="007A5255"/>
    <w:rsid w:val="007A770A"/>
    <w:rsid w:val="007A7FCF"/>
    <w:rsid w:val="007B0C0E"/>
    <w:rsid w:val="007B178B"/>
    <w:rsid w:val="007B3A9E"/>
    <w:rsid w:val="007B5780"/>
    <w:rsid w:val="007B7D73"/>
    <w:rsid w:val="007C1E79"/>
    <w:rsid w:val="007C4944"/>
    <w:rsid w:val="007C54CB"/>
    <w:rsid w:val="007D4FF9"/>
    <w:rsid w:val="007E3ED3"/>
    <w:rsid w:val="007E5B14"/>
    <w:rsid w:val="007E76B7"/>
    <w:rsid w:val="007F04AE"/>
    <w:rsid w:val="007F1968"/>
    <w:rsid w:val="007F34A5"/>
    <w:rsid w:val="007F590E"/>
    <w:rsid w:val="007F5A38"/>
    <w:rsid w:val="007F5D12"/>
    <w:rsid w:val="007F67C3"/>
    <w:rsid w:val="0080028D"/>
    <w:rsid w:val="0080052B"/>
    <w:rsid w:val="00805C12"/>
    <w:rsid w:val="0080666E"/>
    <w:rsid w:val="00811606"/>
    <w:rsid w:val="00811FA7"/>
    <w:rsid w:val="008129B2"/>
    <w:rsid w:val="00813396"/>
    <w:rsid w:val="008155BA"/>
    <w:rsid w:val="008162B7"/>
    <w:rsid w:val="00816313"/>
    <w:rsid w:val="00816C0F"/>
    <w:rsid w:val="00822897"/>
    <w:rsid w:val="00823A4E"/>
    <w:rsid w:val="00823E2B"/>
    <w:rsid w:val="00826AE7"/>
    <w:rsid w:val="00826F0B"/>
    <w:rsid w:val="008339F4"/>
    <w:rsid w:val="00833A07"/>
    <w:rsid w:val="00835434"/>
    <w:rsid w:val="00836176"/>
    <w:rsid w:val="00837DF2"/>
    <w:rsid w:val="00842094"/>
    <w:rsid w:val="0084463F"/>
    <w:rsid w:val="0084528D"/>
    <w:rsid w:val="00850A64"/>
    <w:rsid w:val="00855A46"/>
    <w:rsid w:val="008564EA"/>
    <w:rsid w:val="00857079"/>
    <w:rsid w:val="00860631"/>
    <w:rsid w:val="008636F9"/>
    <w:rsid w:val="00865CE8"/>
    <w:rsid w:val="008664EB"/>
    <w:rsid w:val="00870469"/>
    <w:rsid w:val="00873466"/>
    <w:rsid w:val="00874DE9"/>
    <w:rsid w:val="00875F25"/>
    <w:rsid w:val="0087715C"/>
    <w:rsid w:val="00877D3C"/>
    <w:rsid w:val="00882E60"/>
    <w:rsid w:val="008845A9"/>
    <w:rsid w:val="008860FC"/>
    <w:rsid w:val="00886D3A"/>
    <w:rsid w:val="008874C1"/>
    <w:rsid w:val="00890513"/>
    <w:rsid w:val="0089070C"/>
    <w:rsid w:val="00890B68"/>
    <w:rsid w:val="0089260E"/>
    <w:rsid w:val="00892D49"/>
    <w:rsid w:val="008932A3"/>
    <w:rsid w:val="00893CB8"/>
    <w:rsid w:val="00894FB2"/>
    <w:rsid w:val="00895BD8"/>
    <w:rsid w:val="0089655B"/>
    <w:rsid w:val="008972D1"/>
    <w:rsid w:val="00897BC8"/>
    <w:rsid w:val="008A0838"/>
    <w:rsid w:val="008A13E7"/>
    <w:rsid w:val="008A3F35"/>
    <w:rsid w:val="008A581A"/>
    <w:rsid w:val="008A5F7F"/>
    <w:rsid w:val="008A63E2"/>
    <w:rsid w:val="008A6630"/>
    <w:rsid w:val="008A6DB9"/>
    <w:rsid w:val="008A7D83"/>
    <w:rsid w:val="008B0154"/>
    <w:rsid w:val="008B1963"/>
    <w:rsid w:val="008B20D0"/>
    <w:rsid w:val="008B24F2"/>
    <w:rsid w:val="008B2769"/>
    <w:rsid w:val="008B37F0"/>
    <w:rsid w:val="008B3E4E"/>
    <w:rsid w:val="008B4702"/>
    <w:rsid w:val="008B65B4"/>
    <w:rsid w:val="008C0F54"/>
    <w:rsid w:val="008C1C56"/>
    <w:rsid w:val="008C5503"/>
    <w:rsid w:val="008C5726"/>
    <w:rsid w:val="008C798A"/>
    <w:rsid w:val="008D1C86"/>
    <w:rsid w:val="008D6371"/>
    <w:rsid w:val="008E1296"/>
    <w:rsid w:val="008E270A"/>
    <w:rsid w:val="008E72E3"/>
    <w:rsid w:val="008F4B7D"/>
    <w:rsid w:val="008F4B82"/>
    <w:rsid w:val="009130AF"/>
    <w:rsid w:val="00913825"/>
    <w:rsid w:val="009141C1"/>
    <w:rsid w:val="009148CA"/>
    <w:rsid w:val="00914EA8"/>
    <w:rsid w:val="0091664E"/>
    <w:rsid w:val="009169A4"/>
    <w:rsid w:val="009170B7"/>
    <w:rsid w:val="00920236"/>
    <w:rsid w:val="009219D9"/>
    <w:rsid w:val="0092347C"/>
    <w:rsid w:val="0092472D"/>
    <w:rsid w:val="00925F58"/>
    <w:rsid w:val="009262AA"/>
    <w:rsid w:val="00926438"/>
    <w:rsid w:val="009323CA"/>
    <w:rsid w:val="0093291C"/>
    <w:rsid w:val="00932DD8"/>
    <w:rsid w:val="00933213"/>
    <w:rsid w:val="00933E80"/>
    <w:rsid w:val="009343D3"/>
    <w:rsid w:val="00937D2C"/>
    <w:rsid w:val="009411C1"/>
    <w:rsid w:val="00942366"/>
    <w:rsid w:val="00943329"/>
    <w:rsid w:val="00943ED3"/>
    <w:rsid w:val="009445E7"/>
    <w:rsid w:val="0094654A"/>
    <w:rsid w:val="0094736B"/>
    <w:rsid w:val="0095004D"/>
    <w:rsid w:val="009515AA"/>
    <w:rsid w:val="00951DAA"/>
    <w:rsid w:val="009524D9"/>
    <w:rsid w:val="00952AF7"/>
    <w:rsid w:val="00953DDB"/>
    <w:rsid w:val="00955094"/>
    <w:rsid w:val="00960B49"/>
    <w:rsid w:val="009648C3"/>
    <w:rsid w:val="00964DD4"/>
    <w:rsid w:val="009669F1"/>
    <w:rsid w:val="0096732C"/>
    <w:rsid w:val="009675A9"/>
    <w:rsid w:val="009714E6"/>
    <w:rsid w:val="00971553"/>
    <w:rsid w:val="009717A1"/>
    <w:rsid w:val="009774D1"/>
    <w:rsid w:val="00977737"/>
    <w:rsid w:val="00981C70"/>
    <w:rsid w:val="00982654"/>
    <w:rsid w:val="00982B60"/>
    <w:rsid w:val="009878F0"/>
    <w:rsid w:val="00987AB7"/>
    <w:rsid w:val="00987FB6"/>
    <w:rsid w:val="00992467"/>
    <w:rsid w:val="009972A2"/>
    <w:rsid w:val="0099783F"/>
    <w:rsid w:val="009A0B29"/>
    <w:rsid w:val="009A106A"/>
    <w:rsid w:val="009A13D9"/>
    <w:rsid w:val="009A1711"/>
    <w:rsid w:val="009A181B"/>
    <w:rsid w:val="009A36DD"/>
    <w:rsid w:val="009A4508"/>
    <w:rsid w:val="009B1B6B"/>
    <w:rsid w:val="009B2A0E"/>
    <w:rsid w:val="009B5606"/>
    <w:rsid w:val="009B603A"/>
    <w:rsid w:val="009B7956"/>
    <w:rsid w:val="009C0945"/>
    <w:rsid w:val="009C0F33"/>
    <w:rsid w:val="009C1E6B"/>
    <w:rsid w:val="009C4651"/>
    <w:rsid w:val="009C5CDE"/>
    <w:rsid w:val="009C74AB"/>
    <w:rsid w:val="009D26B5"/>
    <w:rsid w:val="009D3151"/>
    <w:rsid w:val="009D5A7B"/>
    <w:rsid w:val="009E013E"/>
    <w:rsid w:val="009E4A2E"/>
    <w:rsid w:val="009E4D8D"/>
    <w:rsid w:val="009E6453"/>
    <w:rsid w:val="009F1C9C"/>
    <w:rsid w:val="009F272A"/>
    <w:rsid w:val="009F2830"/>
    <w:rsid w:val="009F3181"/>
    <w:rsid w:val="009F6EB6"/>
    <w:rsid w:val="009F790B"/>
    <w:rsid w:val="00A04AD3"/>
    <w:rsid w:val="00A073CB"/>
    <w:rsid w:val="00A07D5A"/>
    <w:rsid w:val="00A11CAC"/>
    <w:rsid w:val="00A14CD4"/>
    <w:rsid w:val="00A223EC"/>
    <w:rsid w:val="00A262DF"/>
    <w:rsid w:val="00A2684A"/>
    <w:rsid w:val="00A27EB6"/>
    <w:rsid w:val="00A325AB"/>
    <w:rsid w:val="00A41316"/>
    <w:rsid w:val="00A45F59"/>
    <w:rsid w:val="00A5218C"/>
    <w:rsid w:val="00A52469"/>
    <w:rsid w:val="00A52E02"/>
    <w:rsid w:val="00A57EA4"/>
    <w:rsid w:val="00A60213"/>
    <w:rsid w:val="00A615E8"/>
    <w:rsid w:val="00A61C0E"/>
    <w:rsid w:val="00A645D8"/>
    <w:rsid w:val="00A670FB"/>
    <w:rsid w:val="00A72343"/>
    <w:rsid w:val="00A730DC"/>
    <w:rsid w:val="00A75687"/>
    <w:rsid w:val="00A76F02"/>
    <w:rsid w:val="00A77399"/>
    <w:rsid w:val="00A77981"/>
    <w:rsid w:val="00A82B9E"/>
    <w:rsid w:val="00A841DE"/>
    <w:rsid w:val="00A8559D"/>
    <w:rsid w:val="00A931A3"/>
    <w:rsid w:val="00A9408A"/>
    <w:rsid w:val="00A96795"/>
    <w:rsid w:val="00A96A6A"/>
    <w:rsid w:val="00A96E27"/>
    <w:rsid w:val="00AA1DAF"/>
    <w:rsid w:val="00AA2E90"/>
    <w:rsid w:val="00AA37BC"/>
    <w:rsid w:val="00AA651C"/>
    <w:rsid w:val="00AA7A1B"/>
    <w:rsid w:val="00AB498D"/>
    <w:rsid w:val="00AB4C96"/>
    <w:rsid w:val="00AB5122"/>
    <w:rsid w:val="00AB56C9"/>
    <w:rsid w:val="00AB6E43"/>
    <w:rsid w:val="00AB6F46"/>
    <w:rsid w:val="00AB7603"/>
    <w:rsid w:val="00AC45F1"/>
    <w:rsid w:val="00AC6BB2"/>
    <w:rsid w:val="00AD0524"/>
    <w:rsid w:val="00AE306C"/>
    <w:rsid w:val="00AE3402"/>
    <w:rsid w:val="00AE3668"/>
    <w:rsid w:val="00AE64EF"/>
    <w:rsid w:val="00AE7215"/>
    <w:rsid w:val="00AF2763"/>
    <w:rsid w:val="00AF2BA7"/>
    <w:rsid w:val="00AF306C"/>
    <w:rsid w:val="00AF420E"/>
    <w:rsid w:val="00AF6040"/>
    <w:rsid w:val="00AF653C"/>
    <w:rsid w:val="00AF7938"/>
    <w:rsid w:val="00B0030B"/>
    <w:rsid w:val="00B00681"/>
    <w:rsid w:val="00B00A5E"/>
    <w:rsid w:val="00B00E83"/>
    <w:rsid w:val="00B0395F"/>
    <w:rsid w:val="00B064A0"/>
    <w:rsid w:val="00B071DB"/>
    <w:rsid w:val="00B135D7"/>
    <w:rsid w:val="00B1388C"/>
    <w:rsid w:val="00B13FE9"/>
    <w:rsid w:val="00B162CD"/>
    <w:rsid w:val="00B23279"/>
    <w:rsid w:val="00B2585A"/>
    <w:rsid w:val="00B25898"/>
    <w:rsid w:val="00B25B77"/>
    <w:rsid w:val="00B2629D"/>
    <w:rsid w:val="00B31011"/>
    <w:rsid w:val="00B316F7"/>
    <w:rsid w:val="00B34926"/>
    <w:rsid w:val="00B370B2"/>
    <w:rsid w:val="00B401C1"/>
    <w:rsid w:val="00B40456"/>
    <w:rsid w:val="00B40AF8"/>
    <w:rsid w:val="00B426C6"/>
    <w:rsid w:val="00B432FD"/>
    <w:rsid w:val="00B44219"/>
    <w:rsid w:val="00B45F40"/>
    <w:rsid w:val="00B524BD"/>
    <w:rsid w:val="00B53037"/>
    <w:rsid w:val="00B5315D"/>
    <w:rsid w:val="00B60178"/>
    <w:rsid w:val="00B60EC4"/>
    <w:rsid w:val="00B634D4"/>
    <w:rsid w:val="00B650A2"/>
    <w:rsid w:val="00B65667"/>
    <w:rsid w:val="00B66CC0"/>
    <w:rsid w:val="00B7053E"/>
    <w:rsid w:val="00B71FC4"/>
    <w:rsid w:val="00B748E1"/>
    <w:rsid w:val="00B767AE"/>
    <w:rsid w:val="00B76BDF"/>
    <w:rsid w:val="00B76D6D"/>
    <w:rsid w:val="00B80D2B"/>
    <w:rsid w:val="00B82B8B"/>
    <w:rsid w:val="00B84330"/>
    <w:rsid w:val="00B875CA"/>
    <w:rsid w:val="00B87F2A"/>
    <w:rsid w:val="00B94E68"/>
    <w:rsid w:val="00B97C78"/>
    <w:rsid w:val="00BA05F4"/>
    <w:rsid w:val="00BA13A5"/>
    <w:rsid w:val="00BA1CC0"/>
    <w:rsid w:val="00BA5F96"/>
    <w:rsid w:val="00BA7A2C"/>
    <w:rsid w:val="00BB096A"/>
    <w:rsid w:val="00BB142E"/>
    <w:rsid w:val="00BB24FD"/>
    <w:rsid w:val="00BB34CA"/>
    <w:rsid w:val="00BB3B00"/>
    <w:rsid w:val="00BB3B04"/>
    <w:rsid w:val="00BB5FF4"/>
    <w:rsid w:val="00BC00A7"/>
    <w:rsid w:val="00BC4BE2"/>
    <w:rsid w:val="00BC6211"/>
    <w:rsid w:val="00BC7E45"/>
    <w:rsid w:val="00BD0BA8"/>
    <w:rsid w:val="00BD1AF4"/>
    <w:rsid w:val="00BD32FB"/>
    <w:rsid w:val="00BD3693"/>
    <w:rsid w:val="00BD3FA1"/>
    <w:rsid w:val="00BD7CA7"/>
    <w:rsid w:val="00BE1260"/>
    <w:rsid w:val="00BE3AB7"/>
    <w:rsid w:val="00BE41AA"/>
    <w:rsid w:val="00BE4FA9"/>
    <w:rsid w:val="00BE7F85"/>
    <w:rsid w:val="00BF33EF"/>
    <w:rsid w:val="00BF363C"/>
    <w:rsid w:val="00BF5CE2"/>
    <w:rsid w:val="00C01B26"/>
    <w:rsid w:val="00C01B39"/>
    <w:rsid w:val="00C01ECD"/>
    <w:rsid w:val="00C02783"/>
    <w:rsid w:val="00C04D0B"/>
    <w:rsid w:val="00C05052"/>
    <w:rsid w:val="00C07579"/>
    <w:rsid w:val="00C12EFE"/>
    <w:rsid w:val="00C14310"/>
    <w:rsid w:val="00C1528C"/>
    <w:rsid w:val="00C17C3A"/>
    <w:rsid w:val="00C228CA"/>
    <w:rsid w:val="00C22EE7"/>
    <w:rsid w:val="00C253A1"/>
    <w:rsid w:val="00C27776"/>
    <w:rsid w:val="00C27961"/>
    <w:rsid w:val="00C27E06"/>
    <w:rsid w:val="00C35B2B"/>
    <w:rsid w:val="00C36857"/>
    <w:rsid w:val="00C40E95"/>
    <w:rsid w:val="00C41006"/>
    <w:rsid w:val="00C45B53"/>
    <w:rsid w:val="00C4790A"/>
    <w:rsid w:val="00C47DFF"/>
    <w:rsid w:val="00C50538"/>
    <w:rsid w:val="00C50E71"/>
    <w:rsid w:val="00C54129"/>
    <w:rsid w:val="00C56AE3"/>
    <w:rsid w:val="00C66CC9"/>
    <w:rsid w:val="00C70F5B"/>
    <w:rsid w:val="00C737DC"/>
    <w:rsid w:val="00C742C8"/>
    <w:rsid w:val="00C828B0"/>
    <w:rsid w:val="00C83561"/>
    <w:rsid w:val="00C84709"/>
    <w:rsid w:val="00C879D3"/>
    <w:rsid w:val="00C90043"/>
    <w:rsid w:val="00C90C6F"/>
    <w:rsid w:val="00C91D90"/>
    <w:rsid w:val="00C91F35"/>
    <w:rsid w:val="00C9379B"/>
    <w:rsid w:val="00C937ED"/>
    <w:rsid w:val="00C94CE9"/>
    <w:rsid w:val="00C9694F"/>
    <w:rsid w:val="00CA07E7"/>
    <w:rsid w:val="00CA112C"/>
    <w:rsid w:val="00CA2DA3"/>
    <w:rsid w:val="00CA2F0C"/>
    <w:rsid w:val="00CA4851"/>
    <w:rsid w:val="00CA74AC"/>
    <w:rsid w:val="00CB0612"/>
    <w:rsid w:val="00CB10F1"/>
    <w:rsid w:val="00CB1375"/>
    <w:rsid w:val="00CB2772"/>
    <w:rsid w:val="00CB3DAF"/>
    <w:rsid w:val="00CB60B6"/>
    <w:rsid w:val="00CB629F"/>
    <w:rsid w:val="00CB6A6E"/>
    <w:rsid w:val="00CB6EF4"/>
    <w:rsid w:val="00CC118C"/>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6CB2"/>
    <w:rsid w:val="00CF06AE"/>
    <w:rsid w:val="00CF10AF"/>
    <w:rsid w:val="00CF3496"/>
    <w:rsid w:val="00CF4274"/>
    <w:rsid w:val="00CF5A27"/>
    <w:rsid w:val="00CF5CE8"/>
    <w:rsid w:val="00D01E9D"/>
    <w:rsid w:val="00D02679"/>
    <w:rsid w:val="00D0278F"/>
    <w:rsid w:val="00D038EC"/>
    <w:rsid w:val="00D03F0F"/>
    <w:rsid w:val="00D20BA9"/>
    <w:rsid w:val="00D22BFC"/>
    <w:rsid w:val="00D22D6A"/>
    <w:rsid w:val="00D24C85"/>
    <w:rsid w:val="00D31166"/>
    <w:rsid w:val="00D325EC"/>
    <w:rsid w:val="00D3650D"/>
    <w:rsid w:val="00D36CBD"/>
    <w:rsid w:val="00D377A4"/>
    <w:rsid w:val="00D42A9D"/>
    <w:rsid w:val="00D44971"/>
    <w:rsid w:val="00D501BC"/>
    <w:rsid w:val="00D54945"/>
    <w:rsid w:val="00D55969"/>
    <w:rsid w:val="00D5786C"/>
    <w:rsid w:val="00D57C94"/>
    <w:rsid w:val="00D57F60"/>
    <w:rsid w:val="00D6175A"/>
    <w:rsid w:val="00D644B7"/>
    <w:rsid w:val="00D647F2"/>
    <w:rsid w:val="00D651FB"/>
    <w:rsid w:val="00D67485"/>
    <w:rsid w:val="00D7058E"/>
    <w:rsid w:val="00D708F8"/>
    <w:rsid w:val="00D70F48"/>
    <w:rsid w:val="00D74F6D"/>
    <w:rsid w:val="00D75AA6"/>
    <w:rsid w:val="00D76538"/>
    <w:rsid w:val="00D76D32"/>
    <w:rsid w:val="00D80300"/>
    <w:rsid w:val="00D839AA"/>
    <w:rsid w:val="00D848EE"/>
    <w:rsid w:val="00D851AB"/>
    <w:rsid w:val="00D8538D"/>
    <w:rsid w:val="00D92313"/>
    <w:rsid w:val="00D928C8"/>
    <w:rsid w:val="00D93550"/>
    <w:rsid w:val="00D9587F"/>
    <w:rsid w:val="00DA23B0"/>
    <w:rsid w:val="00DA394E"/>
    <w:rsid w:val="00DA3959"/>
    <w:rsid w:val="00DA5A96"/>
    <w:rsid w:val="00DB12EF"/>
    <w:rsid w:val="00DB663A"/>
    <w:rsid w:val="00DC072B"/>
    <w:rsid w:val="00DC1920"/>
    <w:rsid w:val="00DC79F9"/>
    <w:rsid w:val="00DD1D52"/>
    <w:rsid w:val="00DD257B"/>
    <w:rsid w:val="00DE2554"/>
    <w:rsid w:val="00DE61F3"/>
    <w:rsid w:val="00DE7623"/>
    <w:rsid w:val="00DF482B"/>
    <w:rsid w:val="00DF67C7"/>
    <w:rsid w:val="00E04D6B"/>
    <w:rsid w:val="00E13679"/>
    <w:rsid w:val="00E14E12"/>
    <w:rsid w:val="00E171BC"/>
    <w:rsid w:val="00E2212C"/>
    <w:rsid w:val="00E2306A"/>
    <w:rsid w:val="00E23CA2"/>
    <w:rsid w:val="00E24F81"/>
    <w:rsid w:val="00E2557A"/>
    <w:rsid w:val="00E2559D"/>
    <w:rsid w:val="00E27261"/>
    <w:rsid w:val="00E274D8"/>
    <w:rsid w:val="00E36C66"/>
    <w:rsid w:val="00E37950"/>
    <w:rsid w:val="00E37A8F"/>
    <w:rsid w:val="00E4247E"/>
    <w:rsid w:val="00E42B68"/>
    <w:rsid w:val="00E43703"/>
    <w:rsid w:val="00E43C26"/>
    <w:rsid w:val="00E43FA8"/>
    <w:rsid w:val="00E44639"/>
    <w:rsid w:val="00E46AEC"/>
    <w:rsid w:val="00E46CEA"/>
    <w:rsid w:val="00E4702E"/>
    <w:rsid w:val="00E474F0"/>
    <w:rsid w:val="00E47A9A"/>
    <w:rsid w:val="00E50993"/>
    <w:rsid w:val="00E516F3"/>
    <w:rsid w:val="00E528F7"/>
    <w:rsid w:val="00E528F9"/>
    <w:rsid w:val="00E55684"/>
    <w:rsid w:val="00E602D0"/>
    <w:rsid w:val="00E603C8"/>
    <w:rsid w:val="00E64EB9"/>
    <w:rsid w:val="00E64F4D"/>
    <w:rsid w:val="00E6613F"/>
    <w:rsid w:val="00E6770F"/>
    <w:rsid w:val="00E71440"/>
    <w:rsid w:val="00E72196"/>
    <w:rsid w:val="00E72615"/>
    <w:rsid w:val="00E736EF"/>
    <w:rsid w:val="00E742C0"/>
    <w:rsid w:val="00E753C8"/>
    <w:rsid w:val="00E75858"/>
    <w:rsid w:val="00E75ECD"/>
    <w:rsid w:val="00E76F05"/>
    <w:rsid w:val="00E848E3"/>
    <w:rsid w:val="00E86A90"/>
    <w:rsid w:val="00E9112A"/>
    <w:rsid w:val="00E94C91"/>
    <w:rsid w:val="00E976A2"/>
    <w:rsid w:val="00E97CBF"/>
    <w:rsid w:val="00EA58FE"/>
    <w:rsid w:val="00EA6897"/>
    <w:rsid w:val="00EA6EF0"/>
    <w:rsid w:val="00EB0855"/>
    <w:rsid w:val="00EB1C37"/>
    <w:rsid w:val="00EB3490"/>
    <w:rsid w:val="00EB4F0F"/>
    <w:rsid w:val="00EC41C3"/>
    <w:rsid w:val="00EC7DBC"/>
    <w:rsid w:val="00EC7F7D"/>
    <w:rsid w:val="00ED2780"/>
    <w:rsid w:val="00ED3258"/>
    <w:rsid w:val="00ED3491"/>
    <w:rsid w:val="00ED6446"/>
    <w:rsid w:val="00ED688E"/>
    <w:rsid w:val="00EE17DC"/>
    <w:rsid w:val="00EE18B8"/>
    <w:rsid w:val="00EE2870"/>
    <w:rsid w:val="00EE48CC"/>
    <w:rsid w:val="00EE617F"/>
    <w:rsid w:val="00EF008E"/>
    <w:rsid w:val="00EF1834"/>
    <w:rsid w:val="00EF1A73"/>
    <w:rsid w:val="00EF589B"/>
    <w:rsid w:val="00EF66C8"/>
    <w:rsid w:val="00EF6CF6"/>
    <w:rsid w:val="00F02B3A"/>
    <w:rsid w:val="00F03302"/>
    <w:rsid w:val="00F03716"/>
    <w:rsid w:val="00F048C4"/>
    <w:rsid w:val="00F11B2B"/>
    <w:rsid w:val="00F14BBD"/>
    <w:rsid w:val="00F205E9"/>
    <w:rsid w:val="00F20F1B"/>
    <w:rsid w:val="00F24605"/>
    <w:rsid w:val="00F253B2"/>
    <w:rsid w:val="00F25470"/>
    <w:rsid w:val="00F27237"/>
    <w:rsid w:val="00F277D7"/>
    <w:rsid w:val="00F2792C"/>
    <w:rsid w:val="00F27E28"/>
    <w:rsid w:val="00F307A2"/>
    <w:rsid w:val="00F3248D"/>
    <w:rsid w:val="00F32C8E"/>
    <w:rsid w:val="00F333DD"/>
    <w:rsid w:val="00F34226"/>
    <w:rsid w:val="00F3628D"/>
    <w:rsid w:val="00F36E82"/>
    <w:rsid w:val="00F404DF"/>
    <w:rsid w:val="00F417FC"/>
    <w:rsid w:val="00F424B0"/>
    <w:rsid w:val="00F43F3B"/>
    <w:rsid w:val="00F44A8F"/>
    <w:rsid w:val="00F546BC"/>
    <w:rsid w:val="00F60507"/>
    <w:rsid w:val="00F60736"/>
    <w:rsid w:val="00F63839"/>
    <w:rsid w:val="00F6459B"/>
    <w:rsid w:val="00F66FF2"/>
    <w:rsid w:val="00F67FB8"/>
    <w:rsid w:val="00F70A8F"/>
    <w:rsid w:val="00F7139A"/>
    <w:rsid w:val="00F71D53"/>
    <w:rsid w:val="00F72052"/>
    <w:rsid w:val="00F74174"/>
    <w:rsid w:val="00F75079"/>
    <w:rsid w:val="00F76A99"/>
    <w:rsid w:val="00F77FAF"/>
    <w:rsid w:val="00F80395"/>
    <w:rsid w:val="00F81F49"/>
    <w:rsid w:val="00F8456D"/>
    <w:rsid w:val="00F8763E"/>
    <w:rsid w:val="00F90D02"/>
    <w:rsid w:val="00F92FD1"/>
    <w:rsid w:val="00F93467"/>
    <w:rsid w:val="00F94484"/>
    <w:rsid w:val="00F96716"/>
    <w:rsid w:val="00F97AF0"/>
    <w:rsid w:val="00F97E01"/>
    <w:rsid w:val="00FA283E"/>
    <w:rsid w:val="00FB02AC"/>
    <w:rsid w:val="00FB0F9F"/>
    <w:rsid w:val="00FB4C93"/>
    <w:rsid w:val="00FB7EF9"/>
    <w:rsid w:val="00FC013E"/>
    <w:rsid w:val="00FC2844"/>
    <w:rsid w:val="00FC293A"/>
    <w:rsid w:val="00FC3BE2"/>
    <w:rsid w:val="00FC4EEE"/>
    <w:rsid w:val="00FD0160"/>
    <w:rsid w:val="00FD23DE"/>
    <w:rsid w:val="00FD2C77"/>
    <w:rsid w:val="00FD35EB"/>
    <w:rsid w:val="00FD3700"/>
    <w:rsid w:val="00FD4516"/>
    <w:rsid w:val="00FD4C3E"/>
    <w:rsid w:val="00FD6E1A"/>
    <w:rsid w:val="00FE0A5A"/>
    <w:rsid w:val="00FE184D"/>
    <w:rsid w:val="00FE3845"/>
    <w:rsid w:val="00FE4D42"/>
    <w:rsid w:val="00FE5113"/>
    <w:rsid w:val="00FE5B60"/>
    <w:rsid w:val="00FE67AA"/>
    <w:rsid w:val="00FF3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basedOn w:val="Normal"/>
    <w:link w:val="FootnoteTextChar"/>
    <w:uiPriority w:val="99"/>
    <w:semiHidden/>
    <w:unhideWhenUsed/>
    <w:rsid w:val="00D64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semiHidden/>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styleId="UnresolvedMention">
    <w:name w:val="Unresolved Mention"/>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agnifi.com"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fred.stlouisfed.org/series/DGS10" TargetMode="External"/><Relationship Id="rId13" Type="http://schemas.openxmlformats.org/officeDocument/2006/relationships/hyperlink" Target="https://www.newyorkfed.org/microeconomics/sce" TargetMode="External"/><Relationship Id="rId18" Type="http://schemas.openxmlformats.org/officeDocument/2006/relationships/hyperlink" Target="https://fred.stlouisfed.org/series/SPCS20RSA" TargetMode="External"/><Relationship Id="rId3" Type="http://schemas.openxmlformats.org/officeDocument/2006/relationships/hyperlink" Target="https://fred.stlouisfed.org/series/DTWEXBGS" TargetMode="External"/><Relationship Id="rId21" Type="http://schemas.openxmlformats.org/officeDocument/2006/relationships/hyperlink" Target="https://fred.stlouisfed.org/series/UMCSENT" TargetMode="External"/><Relationship Id="rId7" Type="http://schemas.openxmlformats.org/officeDocument/2006/relationships/hyperlink" Target="https://fred.stlouisfed.org/series/FEDFUNDS" TargetMode="External"/><Relationship Id="rId12" Type="http://schemas.openxmlformats.org/officeDocument/2006/relationships/hyperlink" Target="https://fred.stlouisfed.org/series/CPIAUCSL" TargetMode="External"/><Relationship Id="rId17" Type="http://schemas.openxmlformats.org/officeDocument/2006/relationships/hyperlink" Target="https://fred.stlouisfed.org/series/MORTGAGE30US" TargetMode="External"/><Relationship Id="rId25" Type="http://schemas.openxmlformats.org/officeDocument/2006/relationships/hyperlink" Target="https://fred.stlouisfed.org/series/UNRATECTM" TargetMode="External"/><Relationship Id="rId2" Type="http://schemas.openxmlformats.org/officeDocument/2006/relationships/hyperlink" Target="https://www.philadelphiafed.org/-/media/research-and-data/regional-economy/indexes/coincident/2020/coincidentindexes0620.pdf?la=en" TargetMode="External"/><Relationship Id="rId16" Type="http://schemas.openxmlformats.org/officeDocument/2006/relationships/hyperlink" Target="https://fred.stlouisfed.org/series/HOUST" TargetMode="External"/><Relationship Id="rId20" Type="http://schemas.openxmlformats.org/officeDocument/2006/relationships/hyperlink" Target="https://fred.stlouisfed.org/series/ALTSALES" TargetMode="External"/><Relationship Id="rId1" Type="http://schemas.openxmlformats.org/officeDocument/2006/relationships/hyperlink" Target="https://usafacts.org/visualizations/coronavirus-covid-19-spread-map/" TargetMode="External"/><Relationship Id="rId6" Type="http://schemas.openxmlformats.org/officeDocument/2006/relationships/hyperlink" Target="https://fred.stlouisfed.org/release/tables?rid=18&amp;eid=289&amp;od=2020-03-31" TargetMode="External"/><Relationship Id="rId11" Type="http://schemas.openxmlformats.org/officeDocument/2006/relationships/hyperlink" Target="https://fred.stlouisfed.org/series/UNRATE" TargetMode="External"/><Relationship Id="rId24" Type="http://schemas.openxmlformats.org/officeDocument/2006/relationships/hyperlink" Target="https://fred.stlouisfed.org/series/PCECTPICTM" TargetMode="External"/><Relationship Id="rId5" Type="http://schemas.openxmlformats.org/officeDocument/2006/relationships/hyperlink" Target="https://fred.stlouisfed.org/series/INDPRO" TargetMode="External"/><Relationship Id="rId15" Type="http://schemas.openxmlformats.org/officeDocument/2006/relationships/hyperlink" Target="https://fred.stlouisfed.org/series/MCOILWTICO" TargetMode="External"/><Relationship Id="rId23" Type="http://schemas.openxmlformats.org/officeDocument/2006/relationships/hyperlink" Target="https://fred.stlouisfed.org/series/GDPC1CTM" TargetMode="External"/><Relationship Id="rId10" Type="http://schemas.openxmlformats.org/officeDocument/2006/relationships/hyperlink" Target="https://fred.stlouisfed.org/series/PAYEMS" TargetMode="External"/><Relationship Id="rId19" Type="http://schemas.openxmlformats.org/officeDocument/2006/relationships/hyperlink" Target="https://fred.stlouisfed.org/series/PCE" TargetMode="External"/><Relationship Id="rId4" Type="http://schemas.openxmlformats.org/officeDocument/2006/relationships/hyperlink" Target="https://fred.stlouisfed.org/series/GDPC1" TargetMode="External"/><Relationship Id="rId9" Type="http://schemas.openxmlformats.org/officeDocument/2006/relationships/hyperlink" Target="https://fred.stlouisfed.org/series/BAA" TargetMode="External"/><Relationship Id="rId14" Type="http://schemas.openxmlformats.org/officeDocument/2006/relationships/hyperlink" Target="https://fred.stlouisfed.org/series/PPIACO" TargetMode="External"/><Relationship Id="rId22" Type="http://schemas.openxmlformats.org/officeDocument/2006/relationships/hyperlink" Target="https://fred.stlouisfed.org/series/VIXC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5D0FE-261B-0D4D-90C2-18A6E4BF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21</Pages>
  <Words>2985</Words>
  <Characters>17016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8</cp:revision>
  <cp:lastPrinted>2020-08-02T20:06:00Z</cp:lastPrinted>
  <dcterms:created xsi:type="dcterms:W3CDTF">2020-08-02T19:43:00Z</dcterms:created>
  <dcterms:modified xsi:type="dcterms:W3CDTF">2020-08-03T00:46:00Z</dcterms:modified>
</cp:coreProperties>
</file>