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77777777" w:rsidR="006663D0" w:rsidRDefault="006663D0" w:rsidP="002E6FDE">
          <w:pPr>
            <w:jc w:val="right"/>
          </w:pPr>
        </w:p>
        <w:p w14:paraId="61E7189B" w14:textId="134D415B" w:rsidR="006663D0" w:rsidRDefault="006663D0" w:rsidP="002E6FDE">
          <w:pPr>
            <w:jc w:val="right"/>
          </w:pPr>
          <w:r w:rsidRPr="006663D0">
            <w:rPr>
              <w:noProof/>
            </w:rPr>
            <w:drawing>
              <wp:inline distT="0" distB="0" distL="0" distR="0" wp14:anchorId="34B25528" wp14:editId="20A044F1">
                <wp:extent cx="5943600" cy="44570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065"/>
                        </a:xfrm>
                        <a:prstGeom prst="rect">
                          <a:avLst/>
                        </a:prstGeom>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7F9A6AA1" w:rsidR="006663D0" w:rsidRDefault="006663D0" w:rsidP="002E6FDE">
          <w:pPr>
            <w:jc w:val="right"/>
            <w:rPr>
              <w:sz w:val="36"/>
              <w:szCs w:val="36"/>
            </w:rPr>
          </w:pPr>
          <w:r w:rsidRPr="006663D0">
            <w:rPr>
              <w:sz w:val="36"/>
              <w:szCs w:val="36"/>
            </w:rPr>
            <w:t xml:space="preserve">For the </w:t>
          </w:r>
          <w:r w:rsidR="00C10F0A">
            <w:rPr>
              <w:sz w:val="36"/>
              <w:szCs w:val="36"/>
            </w:rPr>
            <w:t>3</w:t>
          </w:r>
          <w:r w:rsidR="00C10F0A" w:rsidRPr="00C10F0A">
            <w:rPr>
              <w:sz w:val="36"/>
              <w:szCs w:val="36"/>
              <w:vertAlign w:val="superscript"/>
            </w:rPr>
            <w:t>rd</w:t>
          </w:r>
          <w:r w:rsidR="00C10F0A">
            <w:rPr>
              <w:sz w:val="36"/>
              <w:szCs w:val="36"/>
            </w:rPr>
            <w:t xml:space="preserve"> </w:t>
          </w:r>
          <w:r w:rsidRPr="006663D0">
            <w:rPr>
              <w:sz w:val="36"/>
              <w:szCs w:val="36"/>
            </w:rPr>
            <w:t>Quarter of 2020</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31C4F5C0" w14:textId="3D39C428" w:rsidR="00BD3FA1" w:rsidRPr="00EB1C37" w:rsidRDefault="003071CD" w:rsidP="00BD3FA1">
      <w:r w:rsidRPr="00EB1C37">
        <w:t xml:space="preserve">In the </w:t>
      </w:r>
      <w:r w:rsidR="00331CF3">
        <w:t>3</w:t>
      </w:r>
      <w:r w:rsidR="00331CF3" w:rsidRPr="00331CF3">
        <w:rPr>
          <w:vertAlign w:val="superscript"/>
        </w:rPr>
        <w:t>rd</w:t>
      </w:r>
      <w:r w:rsidR="00331CF3">
        <w:t xml:space="preserve"> </w:t>
      </w:r>
      <w:r w:rsidRPr="00EB1C37">
        <w:t xml:space="preserve">quarter of 2020, the </w:t>
      </w:r>
      <w:r w:rsidR="00494933">
        <w:t xml:space="preserve">U.S. economy </w:t>
      </w:r>
      <w:r w:rsidR="0004306B">
        <w:t>continued to</w:t>
      </w:r>
      <w:r w:rsidR="00610140" w:rsidRPr="00EB1C37">
        <w:t xml:space="preserve"> rebound</w:t>
      </w:r>
      <w:r w:rsidR="0004306B">
        <w:t xml:space="preserve"> from the initial </w:t>
      </w:r>
      <w:r w:rsidR="00B14691">
        <w:t>fallout</w:t>
      </w:r>
      <w:r w:rsidR="0004306B">
        <w:t xml:space="preserve"> of the COVID-19 pandemic</w:t>
      </w:r>
      <w:r w:rsidRPr="00EB1C37">
        <w:t xml:space="preserve">. </w:t>
      </w:r>
      <w:r w:rsidR="0004306B">
        <w:t xml:space="preserve">While growth was strong across many markers of economic </w:t>
      </w:r>
      <w:r w:rsidR="006314B9">
        <w:t>vigor</w:t>
      </w:r>
      <w:r w:rsidR="0004306B">
        <w:t>, gains thus far have not been sufficient to recoup early Spring’s losses</w:t>
      </w:r>
      <w:r w:rsidR="00BD3FA1" w:rsidRPr="00EB1C37">
        <w:t>.</w:t>
      </w:r>
      <w:r w:rsidR="0004306B">
        <w:t xml:space="preserve"> Third quarter </w:t>
      </w:r>
      <w:r w:rsidR="00186873">
        <w:t>growt</w:t>
      </w:r>
      <w:r w:rsidR="00B14691">
        <w:t xml:space="preserve">h, which was especially strong in the </w:t>
      </w:r>
      <w:r w:rsidR="0004306B">
        <w:t>housing and automotive markets,</w:t>
      </w:r>
      <w:r w:rsidR="00B14691">
        <w:t xml:space="preserve"> mixed with stagnating</w:t>
      </w:r>
      <w:r w:rsidR="0004306B">
        <w:t xml:space="preserve"> </w:t>
      </w:r>
      <w:r w:rsidR="00FA71AC">
        <w:t xml:space="preserve">oil prices and </w:t>
      </w:r>
      <w:r w:rsidR="00A30440">
        <w:t xml:space="preserve">a falling </w:t>
      </w:r>
      <w:r w:rsidR="0004306B">
        <w:t xml:space="preserve">U.S. dollar value. U.S. capital markets </w:t>
      </w:r>
      <w:r w:rsidR="00111911">
        <w:t>recorded</w:t>
      </w:r>
      <w:r w:rsidR="0004306B">
        <w:t xml:space="preserve"> strong gains early in the quarter, then suffered a September slump, particularly in the technology sector.</w:t>
      </w:r>
    </w:p>
    <w:p w14:paraId="19CE6CB1" w14:textId="3AD370E8" w:rsidR="00BD3FA1" w:rsidRDefault="006A01A0" w:rsidP="00005111">
      <w:r>
        <w:t>T</w:t>
      </w:r>
      <w:r w:rsidR="00283D6F" w:rsidRPr="00EB1C37">
        <w:t xml:space="preserve">he </w:t>
      </w:r>
      <w:r>
        <w:t xml:space="preserve">national </w:t>
      </w:r>
      <w:r w:rsidR="00283D6F" w:rsidRPr="00EB1C37">
        <w:t>econom</w:t>
      </w:r>
      <w:r w:rsidR="00111911">
        <w:t xml:space="preserve">y has been attempting to shake off the </w:t>
      </w:r>
      <w:r w:rsidR="00283D6F" w:rsidRPr="00EB1C37">
        <w:t xml:space="preserve">effects </w:t>
      </w:r>
      <w:r>
        <w:t xml:space="preserve">of COVID-19 </w:t>
      </w:r>
      <w:r w:rsidR="00111911">
        <w:t xml:space="preserve">since its </w:t>
      </w:r>
      <w:r w:rsidR="00B14691">
        <w:t>plunge</w:t>
      </w:r>
      <w:r w:rsidR="00111911">
        <w:t xml:space="preserve"> in</w:t>
      </w:r>
      <w:r w:rsidR="00283D6F" w:rsidRPr="00EB1C37">
        <w:t xml:space="preserve"> April</w:t>
      </w:r>
      <w:r w:rsidR="00A14CD4" w:rsidRPr="00EB1C37">
        <w:t>.</w:t>
      </w:r>
      <w:r w:rsidR="003A390C">
        <w:t xml:space="preserve"> </w:t>
      </w:r>
      <w:r w:rsidR="003A390C" w:rsidRPr="00EB1C37">
        <w:t xml:space="preserve">Most economic measures </w:t>
      </w:r>
      <w:r w:rsidR="00111911">
        <w:t>have been</w:t>
      </w:r>
      <w:r w:rsidR="003A390C">
        <w:t xml:space="preserve"> </w:t>
      </w:r>
      <w:r w:rsidR="003A390C" w:rsidRPr="00EB1C37">
        <w:t>recuperat</w:t>
      </w:r>
      <w:r w:rsidR="00111911">
        <w:t>ing since May or June</w:t>
      </w:r>
      <w:r w:rsidR="003A390C">
        <w:t xml:space="preserve">, </w:t>
      </w:r>
      <w:r w:rsidR="00111911">
        <w:t xml:space="preserve">yet </w:t>
      </w:r>
      <w:r w:rsidR="00FA71AC">
        <w:t>at the end of the 3</w:t>
      </w:r>
      <w:r w:rsidR="00FA71AC" w:rsidRPr="00FA71AC">
        <w:rPr>
          <w:vertAlign w:val="superscript"/>
        </w:rPr>
        <w:t>rd</w:t>
      </w:r>
      <w:r w:rsidR="00FA71AC">
        <w:t xml:space="preserve"> quarter, </w:t>
      </w:r>
      <w:r w:rsidR="003A390C" w:rsidRPr="00EB1C37">
        <w:t>the U.S. economy remain</w:t>
      </w:r>
      <w:r w:rsidR="00FA71AC">
        <w:t>ed</w:t>
      </w:r>
      <w:r w:rsidR="003A390C" w:rsidRPr="00EB1C37">
        <w:t xml:space="preserve"> less robust than before the pandemic.</w:t>
      </w:r>
      <w:r w:rsidR="00111911">
        <w:t xml:space="preserve"> The U.S. remain</w:t>
      </w:r>
      <w:r w:rsidR="00FA71AC">
        <w:t>ed</w:t>
      </w:r>
      <w:r w:rsidR="00111911">
        <w:t xml:space="preserve"> in a recession</w:t>
      </w:r>
      <w:r w:rsidR="00111911">
        <w:rPr>
          <w:rStyle w:val="FootnoteReference"/>
        </w:rPr>
        <w:footnoteReference w:id="1"/>
      </w:r>
      <w:r w:rsidR="00111911">
        <w:t xml:space="preserve"> that mark</w:t>
      </w:r>
      <w:r w:rsidR="00FA71AC">
        <w:t>ed</w:t>
      </w:r>
      <w:r w:rsidR="00111911">
        <w:t xml:space="preserve"> February as the peak of an economic expansion lasting 128 months from its beginning in June 2009.</w:t>
      </w:r>
    </w:p>
    <w:p w14:paraId="1DC53C15" w14:textId="4214B20E" w:rsidR="001E26E8" w:rsidRDefault="001E26E8" w:rsidP="001E26E8">
      <w:r w:rsidRPr="00445A11">
        <w:t xml:space="preserve">By the end of the </w:t>
      </w:r>
      <w:r w:rsidR="00111911">
        <w:t>3</w:t>
      </w:r>
      <w:r w:rsidR="00111911" w:rsidRPr="00111911">
        <w:rPr>
          <w:vertAlign w:val="superscript"/>
        </w:rPr>
        <w:t>rd</w:t>
      </w:r>
      <w:r w:rsidR="00111911">
        <w:t xml:space="preserve"> </w:t>
      </w:r>
      <w:r w:rsidRPr="00445A11">
        <w:t xml:space="preserve">quarter of 2020, </w:t>
      </w:r>
      <w:r w:rsidR="00111911">
        <w:t>7,174,914</w:t>
      </w:r>
      <w:r w:rsidRPr="00445A11">
        <w:t xml:space="preserve"> cases and </w:t>
      </w:r>
      <w:r w:rsidR="00111911">
        <w:t>205</w:t>
      </w:r>
      <w:r w:rsidRPr="00445A11">
        <w:t>,</w:t>
      </w:r>
      <w:r w:rsidR="00111911">
        <w:t>231</w:t>
      </w:r>
      <w:r w:rsidRPr="00445A11">
        <w:t xml:space="preserve"> deaths had been reported </w:t>
      </w:r>
      <w:r w:rsidR="00AF306C">
        <w:t xml:space="preserve">in the U.S. </w:t>
      </w:r>
      <w:r w:rsidRPr="00445A11">
        <w:t>from COVID-19</w:t>
      </w:r>
      <w:r w:rsidRPr="00445A11">
        <w:rPr>
          <w:rStyle w:val="FootnoteReference"/>
        </w:rPr>
        <w:footnoteReference w:id="2"/>
      </w:r>
      <w:r w:rsidRPr="00445A11">
        <w:t xml:space="preserve">. The viral disease has continued to spread exponentially, and as of </w:t>
      </w:r>
      <w:r w:rsidR="00111911">
        <w:t>October</w:t>
      </w:r>
      <w:r w:rsidR="009F2830" w:rsidRPr="00445A11">
        <w:t xml:space="preserve"> </w:t>
      </w:r>
      <w:r w:rsidR="00111911">
        <w:t>29</w:t>
      </w:r>
      <w:r w:rsidRPr="00445A11">
        <w:t xml:space="preserve">, 2020 there were </w:t>
      </w:r>
      <w:r w:rsidR="00111911">
        <w:t xml:space="preserve">8,864,680 </w:t>
      </w:r>
      <w:r w:rsidRPr="00445A11">
        <w:t xml:space="preserve">confirmed cases and </w:t>
      </w:r>
      <w:r w:rsidR="00111911">
        <w:t>226</w:t>
      </w:r>
      <w:r w:rsidR="009F2830" w:rsidRPr="00445A11">
        <w:t>,</w:t>
      </w:r>
      <w:r w:rsidR="00111911">
        <w:t>371</w:t>
      </w:r>
      <w:r w:rsidRPr="00445A11">
        <w:t xml:space="preserve"> related deaths in the U.S. </w:t>
      </w:r>
    </w:p>
    <w:p w14:paraId="329EC1A7" w14:textId="709BAC22" w:rsidR="001E26E8" w:rsidRDefault="001E26E8" w:rsidP="001E26E8">
      <w:r>
        <w:t>Below is a summary timeline of COVID-19 events in the U.S.</w:t>
      </w:r>
      <w:r w:rsidR="003A390C">
        <w:t xml:space="preserve"> during the </w:t>
      </w:r>
      <w:r w:rsidR="00111911">
        <w:t>3</w:t>
      </w:r>
      <w:r w:rsidR="00111911" w:rsidRPr="00111911">
        <w:rPr>
          <w:vertAlign w:val="superscript"/>
        </w:rPr>
        <w:t>rd</w:t>
      </w:r>
      <w:r w:rsidR="00111911">
        <w:t xml:space="preserve"> q</w:t>
      </w:r>
      <w:r w:rsidR="003A390C">
        <w:t>uarter of 2020</w:t>
      </w:r>
      <w:r>
        <w:t>:</w:t>
      </w:r>
    </w:p>
    <w:tbl>
      <w:tblPr>
        <w:tblStyle w:val="GridTable3-Accent1"/>
        <w:tblW w:w="0" w:type="auto"/>
        <w:tblLook w:val="0400" w:firstRow="0" w:lastRow="0" w:firstColumn="0" w:lastColumn="0" w:noHBand="0" w:noVBand="1"/>
      </w:tblPr>
      <w:tblGrid>
        <w:gridCol w:w="2335"/>
        <w:gridCol w:w="7015"/>
      </w:tblGrid>
      <w:tr w:rsidR="001E26E8" w:rsidRPr="005D1E7F" w14:paraId="217DAEB7"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514E8364" w14:textId="154DA682" w:rsidR="001E26E8" w:rsidRPr="005D1E7F" w:rsidRDefault="00111911" w:rsidP="00D22D6A">
            <w:r>
              <w:t>July 1</w:t>
            </w:r>
            <w:r w:rsidR="001E26E8" w:rsidRPr="005D1E7F">
              <w:t>, 2020</w:t>
            </w:r>
          </w:p>
        </w:tc>
        <w:tc>
          <w:tcPr>
            <w:tcW w:w="7015" w:type="dxa"/>
          </w:tcPr>
          <w:p w14:paraId="4C137509" w14:textId="0528E704" w:rsidR="001E26E8" w:rsidRPr="005D1E7F" w:rsidRDefault="00111911" w:rsidP="00D22D6A">
            <w:r w:rsidRPr="00111911">
              <w:t>Daily</w:t>
            </w:r>
            <w:r w:rsidR="00164566">
              <w:t xml:space="preserve"> new</w:t>
            </w:r>
            <w:r w:rsidRPr="00111911">
              <w:t xml:space="preserve"> COVID-19 </w:t>
            </w:r>
            <w:r w:rsidR="007B5CA1">
              <w:t>c</w:t>
            </w:r>
            <w:r w:rsidRPr="00111911">
              <w:t xml:space="preserve">ases in U.S. </w:t>
            </w:r>
            <w:r w:rsidR="007B5CA1">
              <w:t>reach</w:t>
            </w:r>
            <w:r w:rsidRPr="00111911">
              <w:t xml:space="preserve"> 50,000</w:t>
            </w:r>
          </w:p>
        </w:tc>
      </w:tr>
      <w:tr w:rsidR="001E26E8" w:rsidRPr="005D1E7F" w14:paraId="07F511A0" w14:textId="77777777" w:rsidTr="007B5CA1">
        <w:tc>
          <w:tcPr>
            <w:tcW w:w="2335" w:type="dxa"/>
          </w:tcPr>
          <w:p w14:paraId="6DA47127" w14:textId="51CF9CEF" w:rsidR="001E26E8" w:rsidRPr="005D1E7F" w:rsidRDefault="00327700" w:rsidP="00D22D6A">
            <w:r>
              <w:t>July 4</w:t>
            </w:r>
            <w:r w:rsidR="001E26E8" w:rsidRPr="005D1E7F">
              <w:t>, 2020</w:t>
            </w:r>
          </w:p>
        </w:tc>
        <w:tc>
          <w:tcPr>
            <w:tcW w:w="7015" w:type="dxa"/>
          </w:tcPr>
          <w:p w14:paraId="5895DABB" w14:textId="1ABD6AFF" w:rsidR="001E26E8" w:rsidRPr="005D1E7F" w:rsidRDefault="00327700" w:rsidP="00D22D6A">
            <w:r w:rsidRPr="00327700">
              <w:t>The application period for the Paycheck Protection Program (PPP) is extended to August 8, 2020</w:t>
            </w:r>
          </w:p>
        </w:tc>
      </w:tr>
      <w:tr w:rsidR="001E26E8" w:rsidRPr="005D1E7F" w14:paraId="5B72A40F"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5FB1EADC" w14:textId="2176F6F9" w:rsidR="001E26E8" w:rsidRPr="005D1E7F" w:rsidRDefault="00327700" w:rsidP="00D22D6A">
            <w:r>
              <w:t>July 6</w:t>
            </w:r>
            <w:r w:rsidR="001E26E8" w:rsidRPr="005D1E7F">
              <w:t>, 2020</w:t>
            </w:r>
          </w:p>
        </w:tc>
        <w:tc>
          <w:tcPr>
            <w:tcW w:w="7015" w:type="dxa"/>
          </w:tcPr>
          <w:p w14:paraId="478BDB8E" w14:textId="64703BFA" w:rsidR="001E26E8" w:rsidRPr="005D1E7F" w:rsidRDefault="00327700" w:rsidP="00D22D6A">
            <w:r>
              <w:t>SBA reports 4.9 million PPP loans made</w:t>
            </w:r>
          </w:p>
        </w:tc>
      </w:tr>
      <w:tr w:rsidR="001E26E8" w:rsidRPr="005D1E7F" w14:paraId="1EE72446" w14:textId="77777777" w:rsidTr="007B5CA1">
        <w:tc>
          <w:tcPr>
            <w:tcW w:w="2335" w:type="dxa"/>
          </w:tcPr>
          <w:p w14:paraId="580CCC9B" w14:textId="15AC307F" w:rsidR="001E26E8" w:rsidRPr="005D1E7F" w:rsidRDefault="00327700" w:rsidP="00D22D6A">
            <w:r>
              <w:t>July 6</w:t>
            </w:r>
            <w:r w:rsidR="001E26E8" w:rsidRPr="005D1E7F">
              <w:t>, 2020</w:t>
            </w:r>
          </w:p>
        </w:tc>
        <w:tc>
          <w:tcPr>
            <w:tcW w:w="7015" w:type="dxa"/>
          </w:tcPr>
          <w:p w14:paraId="7E124B7E" w14:textId="1A5B60B2" w:rsidR="001E26E8" w:rsidRPr="005D1E7F" w:rsidRDefault="00327700" w:rsidP="00D22D6A">
            <w:r w:rsidRPr="00327700">
              <w:t>Federal Reserve Bank announces that the Main Street Lending Program</w:t>
            </w:r>
            <w:r>
              <w:t xml:space="preserve"> (MSLP)</w:t>
            </w:r>
            <w:r w:rsidRPr="00327700">
              <w:t xml:space="preserve"> is fully operational</w:t>
            </w:r>
            <w:r w:rsidR="007B5CA1">
              <w:t xml:space="preserve"> for for-profit businesses</w:t>
            </w:r>
          </w:p>
        </w:tc>
      </w:tr>
      <w:tr w:rsidR="001E26E8" w:rsidRPr="005D1E7F" w14:paraId="67E6634B"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246762E1" w14:textId="645359DE" w:rsidR="001E26E8" w:rsidRPr="005D1E7F" w:rsidRDefault="00327700" w:rsidP="00D22D6A">
            <w:r>
              <w:t>July 17</w:t>
            </w:r>
            <w:r w:rsidR="001E26E8" w:rsidRPr="005D1E7F">
              <w:t>, 2020</w:t>
            </w:r>
          </w:p>
        </w:tc>
        <w:tc>
          <w:tcPr>
            <w:tcW w:w="7015" w:type="dxa"/>
          </w:tcPr>
          <w:p w14:paraId="2D491639" w14:textId="277AD5EE" w:rsidR="001E26E8" w:rsidRPr="005D1E7F" w:rsidRDefault="00327700" w:rsidP="00D22D6A">
            <w:r>
              <w:t xml:space="preserve">Federal Reserve Bank </w:t>
            </w:r>
            <w:r w:rsidRPr="00327700">
              <w:t>provide</w:t>
            </w:r>
            <w:r>
              <w:t>s</w:t>
            </w:r>
            <w:r w:rsidRPr="00327700">
              <w:t xml:space="preserve"> greater access to </w:t>
            </w:r>
            <w:r>
              <w:t>MSLP</w:t>
            </w:r>
            <w:r w:rsidRPr="00327700">
              <w:t xml:space="preserve"> for educational institutions, hospitals, social service </w:t>
            </w:r>
            <w:r>
              <w:t xml:space="preserve">and other nonprofit </w:t>
            </w:r>
            <w:r w:rsidRPr="00327700">
              <w:t>organizations</w:t>
            </w:r>
          </w:p>
        </w:tc>
      </w:tr>
      <w:tr w:rsidR="00164566" w:rsidRPr="005D1E7F" w14:paraId="43B7B0A0" w14:textId="77777777" w:rsidTr="007B5CA1">
        <w:tc>
          <w:tcPr>
            <w:tcW w:w="2335" w:type="dxa"/>
          </w:tcPr>
          <w:p w14:paraId="66C2FB2D" w14:textId="33C3C310" w:rsidR="00164566" w:rsidRDefault="00164566" w:rsidP="00D22D6A">
            <w:r>
              <w:t>July 22, 2020</w:t>
            </w:r>
          </w:p>
        </w:tc>
        <w:tc>
          <w:tcPr>
            <w:tcW w:w="7015" w:type="dxa"/>
          </w:tcPr>
          <w:p w14:paraId="612AD845" w14:textId="22B46898" w:rsidR="00164566" w:rsidRDefault="00164566" w:rsidP="00327700">
            <w:r>
              <w:t>Global confirmed cases of COVID-19 reach 15 million</w:t>
            </w:r>
          </w:p>
        </w:tc>
      </w:tr>
      <w:tr w:rsidR="007B5CA1" w:rsidRPr="005D1E7F" w14:paraId="73AFB428"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42454341" w14:textId="5FEE1C63" w:rsidR="007B5CA1" w:rsidRDefault="007B5CA1" w:rsidP="00D22D6A">
            <w:r>
              <w:t>July 23, 2020</w:t>
            </w:r>
          </w:p>
        </w:tc>
        <w:tc>
          <w:tcPr>
            <w:tcW w:w="7015" w:type="dxa"/>
          </w:tcPr>
          <w:p w14:paraId="7631E874" w14:textId="68D50D88" w:rsidR="007B5CA1" w:rsidRDefault="007B5CA1" w:rsidP="00327700">
            <w:r>
              <w:t>U.S. confirmed cases of COVID-19 reach 4 million</w:t>
            </w:r>
          </w:p>
        </w:tc>
      </w:tr>
      <w:tr w:rsidR="001E26E8" w:rsidRPr="005D1E7F" w14:paraId="4509AA5D" w14:textId="77777777" w:rsidTr="007B5CA1">
        <w:tc>
          <w:tcPr>
            <w:tcW w:w="2335" w:type="dxa"/>
          </w:tcPr>
          <w:p w14:paraId="0C7C253E" w14:textId="5AE82CA4" w:rsidR="001E26E8" w:rsidRPr="005D1E7F" w:rsidRDefault="00327700" w:rsidP="00D22D6A">
            <w:r>
              <w:t>July 28</w:t>
            </w:r>
            <w:r w:rsidR="001E26E8" w:rsidRPr="005D1E7F">
              <w:t>, 2020</w:t>
            </w:r>
          </w:p>
        </w:tc>
        <w:tc>
          <w:tcPr>
            <w:tcW w:w="7015" w:type="dxa"/>
          </w:tcPr>
          <w:p w14:paraId="11AD6BB5" w14:textId="61D83940" w:rsidR="001E26E8" w:rsidRPr="005D1E7F" w:rsidRDefault="00327700" w:rsidP="00327700">
            <w:r>
              <w:t>Federal Reserve extends emergency lending facilities by three months</w:t>
            </w:r>
          </w:p>
        </w:tc>
      </w:tr>
      <w:tr w:rsidR="007B5CA1" w:rsidRPr="005D1E7F" w14:paraId="39527C4F"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643F5DB2" w14:textId="4E2E9FFE" w:rsidR="007B5CA1" w:rsidRDefault="007B5CA1" w:rsidP="00D22D6A">
            <w:r>
              <w:t xml:space="preserve">July 29, 2020 </w:t>
            </w:r>
          </w:p>
        </w:tc>
        <w:tc>
          <w:tcPr>
            <w:tcW w:w="7015" w:type="dxa"/>
          </w:tcPr>
          <w:p w14:paraId="6DFA606F" w14:textId="38AE1AA1" w:rsidR="007B5CA1" w:rsidRPr="00327700" w:rsidRDefault="007B5CA1" w:rsidP="00D22D6A">
            <w:r>
              <w:t>U.S. death toll from COVID-19 reaches 150 thousand</w:t>
            </w:r>
          </w:p>
        </w:tc>
      </w:tr>
      <w:tr w:rsidR="001E26E8" w:rsidRPr="005D1E7F" w14:paraId="12EFE977" w14:textId="77777777" w:rsidTr="007B5CA1">
        <w:tc>
          <w:tcPr>
            <w:tcW w:w="2335" w:type="dxa"/>
          </w:tcPr>
          <w:p w14:paraId="1ED980B0" w14:textId="087E4F81" w:rsidR="001E26E8" w:rsidRPr="005D1E7F" w:rsidRDefault="00327700" w:rsidP="00D22D6A">
            <w:r>
              <w:t>July 29</w:t>
            </w:r>
            <w:r w:rsidR="001E26E8" w:rsidRPr="005D1E7F">
              <w:t>, 2020</w:t>
            </w:r>
          </w:p>
        </w:tc>
        <w:tc>
          <w:tcPr>
            <w:tcW w:w="7015" w:type="dxa"/>
          </w:tcPr>
          <w:p w14:paraId="192A9DAE" w14:textId="1403070C" w:rsidR="001E26E8" w:rsidRPr="005D1E7F" w:rsidRDefault="00327700" w:rsidP="00D22D6A">
            <w:r w:rsidRPr="00327700">
              <w:t xml:space="preserve">Federal Reserve </w:t>
            </w:r>
            <w:r>
              <w:t>extends</w:t>
            </w:r>
            <w:r w:rsidRPr="00327700">
              <w:t xml:space="preserve"> its temporary U.S. dollar liquidity swap lines and repurchase agreement</w:t>
            </w:r>
            <w:r>
              <w:t>s</w:t>
            </w:r>
            <w:r w:rsidRPr="00327700">
              <w:t xml:space="preserve"> for international monetary authoritie</w:t>
            </w:r>
            <w:r>
              <w:t>s</w:t>
            </w:r>
          </w:p>
        </w:tc>
      </w:tr>
      <w:tr w:rsidR="00FA71AC" w:rsidRPr="005D1E7F" w14:paraId="17332DCA"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292B09B0" w14:textId="704A1F5D" w:rsidR="00FA71AC" w:rsidRDefault="00FA71AC" w:rsidP="00D22D6A">
            <w:r>
              <w:t>July 31, 2020</w:t>
            </w:r>
          </w:p>
        </w:tc>
        <w:tc>
          <w:tcPr>
            <w:tcW w:w="7015" w:type="dxa"/>
          </w:tcPr>
          <w:p w14:paraId="731F6A05" w14:textId="19DE8E1B" w:rsidR="00FA71AC" w:rsidRPr="00327700" w:rsidRDefault="00FA71AC" w:rsidP="00D22D6A">
            <w:r>
              <w:t>Pandemic Unemployment Assistance (PUA) expire</w:t>
            </w:r>
            <w:r w:rsidR="00FA1D86">
              <w:t>s</w:t>
            </w:r>
          </w:p>
        </w:tc>
      </w:tr>
      <w:tr w:rsidR="007B5CA1" w:rsidRPr="005D1E7F" w14:paraId="4485BA36" w14:textId="77777777" w:rsidTr="007B5CA1">
        <w:tc>
          <w:tcPr>
            <w:tcW w:w="2335" w:type="dxa"/>
          </w:tcPr>
          <w:p w14:paraId="47A8FEAD" w14:textId="0CEA7146" w:rsidR="007B5CA1" w:rsidRPr="005D1E7F" w:rsidRDefault="007B5CA1" w:rsidP="00D22D6A">
            <w:r>
              <w:t>August 9, 2020</w:t>
            </w:r>
          </w:p>
        </w:tc>
        <w:tc>
          <w:tcPr>
            <w:tcW w:w="7015" w:type="dxa"/>
          </w:tcPr>
          <w:p w14:paraId="393F17ED" w14:textId="1E327144" w:rsidR="007B5CA1" w:rsidRPr="00327700" w:rsidRDefault="007B5CA1" w:rsidP="00D22D6A">
            <w:r>
              <w:t xml:space="preserve">U.S. confirmed cases of COVID-19 reach </w:t>
            </w:r>
            <w:r w:rsidRPr="007B5CA1">
              <w:t>5 million</w:t>
            </w:r>
          </w:p>
        </w:tc>
      </w:tr>
      <w:tr w:rsidR="007B5CA1" w:rsidRPr="005D1E7F" w14:paraId="7B5C4B43"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1F62B131" w14:textId="1AF559A1" w:rsidR="007B5CA1" w:rsidRPr="005D1E7F" w:rsidRDefault="007B5CA1" w:rsidP="00D22D6A">
            <w:r>
              <w:t>August 10, 2020</w:t>
            </w:r>
          </w:p>
        </w:tc>
        <w:tc>
          <w:tcPr>
            <w:tcW w:w="7015" w:type="dxa"/>
          </w:tcPr>
          <w:p w14:paraId="2834598D" w14:textId="15D0DB5A" w:rsidR="007B5CA1" w:rsidRPr="00327700" w:rsidRDefault="007B5CA1" w:rsidP="00D22D6A">
            <w:r>
              <w:t>Global confirmed cases of COVID-19 reach 20 million</w:t>
            </w:r>
          </w:p>
        </w:tc>
      </w:tr>
      <w:tr w:rsidR="001E26E8" w:rsidRPr="005D1E7F" w14:paraId="6BB98FC9" w14:textId="77777777" w:rsidTr="007B5CA1">
        <w:tc>
          <w:tcPr>
            <w:tcW w:w="2335" w:type="dxa"/>
          </w:tcPr>
          <w:p w14:paraId="18DC3820" w14:textId="76CA7F09" w:rsidR="001E26E8" w:rsidRPr="005D1E7F" w:rsidRDefault="001E26E8" w:rsidP="00D22D6A">
            <w:r w:rsidRPr="005D1E7F">
              <w:lastRenderedPageBreak/>
              <w:t>A</w:t>
            </w:r>
            <w:r w:rsidR="00327700">
              <w:t>ugust 11, 2020</w:t>
            </w:r>
          </w:p>
        </w:tc>
        <w:tc>
          <w:tcPr>
            <w:tcW w:w="7015" w:type="dxa"/>
          </w:tcPr>
          <w:p w14:paraId="5361D873" w14:textId="50A5965E" w:rsidR="001E26E8" w:rsidRPr="005D1E7F" w:rsidRDefault="00327700" w:rsidP="00D22D6A">
            <w:r w:rsidRPr="00327700">
              <w:t xml:space="preserve">Federal Reserve </w:t>
            </w:r>
            <w:r>
              <w:t>l</w:t>
            </w:r>
            <w:r w:rsidRPr="00327700">
              <w:t xml:space="preserve">owers </w:t>
            </w:r>
            <w:r>
              <w:t>i</w:t>
            </w:r>
            <w:r w:rsidRPr="00327700">
              <w:t xml:space="preserve">nterest </w:t>
            </w:r>
            <w:r>
              <w:t>r</w:t>
            </w:r>
            <w:r w:rsidRPr="00327700">
              <w:t>ates on tax-exempt notes</w:t>
            </w:r>
            <w:r>
              <w:t xml:space="preserve"> </w:t>
            </w:r>
            <w:r w:rsidRPr="00327700">
              <w:t>for Municipal Liquidity Facility</w:t>
            </w:r>
            <w:r>
              <w:t xml:space="preserve"> (MLF)</w:t>
            </w:r>
          </w:p>
        </w:tc>
      </w:tr>
      <w:tr w:rsidR="00FA1D86" w:rsidRPr="005D1E7F" w14:paraId="58CE7561"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50BF93B2" w14:textId="3C574A23" w:rsidR="00FA1D86" w:rsidRDefault="00FA1D86" w:rsidP="00164566">
            <w:r>
              <w:t>August 13, 2020</w:t>
            </w:r>
          </w:p>
        </w:tc>
        <w:tc>
          <w:tcPr>
            <w:tcW w:w="7015" w:type="dxa"/>
          </w:tcPr>
          <w:p w14:paraId="6091EA18" w14:textId="32500D3A" w:rsidR="00FA1D86" w:rsidRDefault="00FA1D86" w:rsidP="00164566">
            <w:r>
              <w:t>Department of Labor releases guidance for Lost Wage Assistance (LWA) federal-state funded program</w:t>
            </w:r>
          </w:p>
        </w:tc>
      </w:tr>
      <w:tr w:rsidR="009F7EB5" w:rsidRPr="005D1E7F" w14:paraId="62439858" w14:textId="77777777" w:rsidTr="007B5CA1">
        <w:tc>
          <w:tcPr>
            <w:tcW w:w="2335" w:type="dxa"/>
          </w:tcPr>
          <w:p w14:paraId="72F7669C" w14:textId="440AAA66" w:rsidR="009F7EB5" w:rsidRDefault="009F7EB5" w:rsidP="00164566">
            <w:r>
              <w:t>August 13, 2020</w:t>
            </w:r>
          </w:p>
        </w:tc>
        <w:tc>
          <w:tcPr>
            <w:tcW w:w="7015" w:type="dxa"/>
          </w:tcPr>
          <w:p w14:paraId="18286F54" w14:textId="169E2891" w:rsidR="009F7EB5" w:rsidRDefault="009F7EB5" w:rsidP="00164566">
            <w:r>
              <w:t>Global death toll from COVID-19 reaches 750,000</w:t>
            </w:r>
          </w:p>
        </w:tc>
      </w:tr>
      <w:tr w:rsidR="00164566" w:rsidRPr="005D1E7F" w14:paraId="3661F159"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24B070BD" w14:textId="4969C881" w:rsidR="00164566" w:rsidRDefault="00164566" w:rsidP="00164566">
            <w:r>
              <w:t>August 30, 2020</w:t>
            </w:r>
          </w:p>
        </w:tc>
        <w:tc>
          <w:tcPr>
            <w:tcW w:w="7015" w:type="dxa"/>
          </w:tcPr>
          <w:p w14:paraId="1FE1D981" w14:textId="6EC25829" w:rsidR="00164566" w:rsidRDefault="00164566" w:rsidP="00164566">
            <w:r>
              <w:t>Global confirmed cases of COVID-19 reach 25 million</w:t>
            </w:r>
          </w:p>
        </w:tc>
      </w:tr>
      <w:tr w:rsidR="00164566" w:rsidRPr="005D1E7F" w14:paraId="02FF84E1" w14:textId="77777777" w:rsidTr="007B5CA1">
        <w:tc>
          <w:tcPr>
            <w:tcW w:w="2335" w:type="dxa"/>
          </w:tcPr>
          <w:p w14:paraId="6B8BF47F" w14:textId="77A341AA" w:rsidR="00164566" w:rsidRDefault="00164566" w:rsidP="00164566">
            <w:r>
              <w:t>September 1, 2020</w:t>
            </w:r>
          </w:p>
        </w:tc>
        <w:tc>
          <w:tcPr>
            <w:tcW w:w="7015" w:type="dxa"/>
          </w:tcPr>
          <w:p w14:paraId="732F91F6" w14:textId="5C0ED01E" w:rsidR="00164566" w:rsidRPr="00327700" w:rsidRDefault="00164566" w:rsidP="00164566">
            <w:r>
              <w:t>U.S. confirmed cases of COVID-19 reach 6</w:t>
            </w:r>
            <w:r w:rsidRPr="007B5CA1">
              <w:t xml:space="preserve"> million</w:t>
            </w:r>
          </w:p>
        </w:tc>
      </w:tr>
      <w:tr w:rsidR="00164566" w:rsidRPr="005D1E7F" w14:paraId="6852656F"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48CE1452" w14:textId="68558951" w:rsidR="00164566" w:rsidRPr="005D1E7F" w:rsidRDefault="00164566" w:rsidP="00164566">
            <w:r>
              <w:t>September 4</w:t>
            </w:r>
            <w:r w:rsidRPr="005D1E7F">
              <w:t>, 2020</w:t>
            </w:r>
          </w:p>
        </w:tc>
        <w:tc>
          <w:tcPr>
            <w:tcW w:w="7015" w:type="dxa"/>
          </w:tcPr>
          <w:p w14:paraId="24EE62D6" w14:textId="4CEFF69D" w:rsidR="00164566" w:rsidRPr="005D1E7F" w:rsidRDefault="00164566" w:rsidP="00164566">
            <w:r w:rsidRPr="00327700">
              <w:t>Federal Reserve Bank announces that the Main Street Lending Program</w:t>
            </w:r>
            <w:r>
              <w:t xml:space="preserve"> (MSLP)</w:t>
            </w:r>
            <w:r w:rsidRPr="00327700">
              <w:t xml:space="preserve"> is fully operational</w:t>
            </w:r>
            <w:r>
              <w:t xml:space="preserve"> for nonprofit businesses</w:t>
            </w:r>
          </w:p>
        </w:tc>
      </w:tr>
      <w:tr w:rsidR="00164566" w:rsidRPr="005D1E7F" w14:paraId="0AC423B2" w14:textId="77777777" w:rsidTr="007B5CA1">
        <w:tc>
          <w:tcPr>
            <w:tcW w:w="2335" w:type="dxa"/>
          </w:tcPr>
          <w:p w14:paraId="7E63850B" w14:textId="11F2D58D" w:rsidR="00164566" w:rsidRDefault="00164566" w:rsidP="00164566">
            <w:r>
              <w:t>September 17, 2020</w:t>
            </w:r>
          </w:p>
        </w:tc>
        <w:tc>
          <w:tcPr>
            <w:tcW w:w="7015" w:type="dxa"/>
          </w:tcPr>
          <w:p w14:paraId="4AF3EC7C" w14:textId="77799BC1" w:rsidR="00164566" w:rsidRDefault="00164566" w:rsidP="00164566">
            <w:r>
              <w:t>Global confirmed cases of COVID-19 reach 30 million</w:t>
            </w:r>
          </w:p>
        </w:tc>
      </w:tr>
      <w:tr w:rsidR="00164566" w:rsidRPr="005D1E7F" w14:paraId="35F56F11"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79EDEDE5" w14:textId="4D4A4B7E" w:rsidR="00164566" w:rsidRDefault="00164566" w:rsidP="00164566">
            <w:r>
              <w:t>September 23, 2020</w:t>
            </w:r>
          </w:p>
        </w:tc>
        <w:tc>
          <w:tcPr>
            <w:tcW w:w="7015" w:type="dxa"/>
          </w:tcPr>
          <w:p w14:paraId="37CC5C15" w14:textId="09DF649E" w:rsidR="00164566" w:rsidRDefault="00164566" w:rsidP="00164566">
            <w:r>
              <w:t>U.S. death toll from COVID-19 reaches 200 thousand</w:t>
            </w:r>
          </w:p>
        </w:tc>
      </w:tr>
      <w:tr w:rsidR="00164566" w:rsidRPr="005D1E7F" w14:paraId="27418724" w14:textId="77777777" w:rsidTr="007B5CA1">
        <w:tc>
          <w:tcPr>
            <w:tcW w:w="2335" w:type="dxa"/>
          </w:tcPr>
          <w:p w14:paraId="39F65F71" w14:textId="5CA207AC" w:rsidR="00164566" w:rsidRDefault="00164566" w:rsidP="00164566">
            <w:r>
              <w:t>September 26, 2020</w:t>
            </w:r>
          </w:p>
        </w:tc>
        <w:tc>
          <w:tcPr>
            <w:tcW w:w="7015" w:type="dxa"/>
          </w:tcPr>
          <w:p w14:paraId="3BB84526" w14:textId="45529435" w:rsidR="00164566" w:rsidRDefault="00164566" w:rsidP="00164566">
            <w:r>
              <w:t>U.S. confirmed cases of COVID-19 reach 7</w:t>
            </w:r>
            <w:r w:rsidRPr="007B5CA1">
              <w:t xml:space="preserve"> million</w:t>
            </w:r>
          </w:p>
        </w:tc>
      </w:tr>
      <w:tr w:rsidR="00164566" w:rsidRPr="005D1E7F" w14:paraId="0942245E"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3FFB04A3" w14:textId="3371F4E8" w:rsidR="00164566" w:rsidRDefault="00164566" w:rsidP="00164566">
            <w:r>
              <w:t>September 28, 2020</w:t>
            </w:r>
          </w:p>
        </w:tc>
        <w:tc>
          <w:tcPr>
            <w:tcW w:w="7015" w:type="dxa"/>
          </w:tcPr>
          <w:p w14:paraId="1BEDB4EA" w14:textId="7961E8C3" w:rsidR="00164566" w:rsidRPr="007B5CA1" w:rsidRDefault="00164566" w:rsidP="00164566">
            <w:r>
              <w:t>Global death toll from COVID-19 reaches 1 million</w:t>
            </w:r>
          </w:p>
        </w:tc>
      </w:tr>
      <w:tr w:rsidR="00FA71AC" w:rsidRPr="005D1E7F" w14:paraId="13F74343" w14:textId="77777777" w:rsidTr="007B5CA1">
        <w:tc>
          <w:tcPr>
            <w:tcW w:w="2335" w:type="dxa"/>
          </w:tcPr>
          <w:p w14:paraId="12FE5C6B" w14:textId="507321FE" w:rsidR="00164566" w:rsidRPr="005D1E7F" w:rsidRDefault="00164566" w:rsidP="00164566">
            <w:r>
              <w:t>September 30, 2020</w:t>
            </w:r>
          </w:p>
        </w:tc>
        <w:tc>
          <w:tcPr>
            <w:tcW w:w="7015" w:type="dxa"/>
          </w:tcPr>
          <w:p w14:paraId="432C4246" w14:textId="33977DF4" w:rsidR="00164566" w:rsidRPr="005D1E7F" w:rsidRDefault="00164566" w:rsidP="00164566">
            <w:r w:rsidRPr="007B5CA1">
              <w:t>Federal Reserve Board extend</w:t>
            </w:r>
            <w:r>
              <w:t>s</w:t>
            </w:r>
            <w:r w:rsidRPr="007B5CA1">
              <w:t xml:space="preserve"> measures to ensure capital resilience</w:t>
            </w:r>
            <w:r>
              <w:t xml:space="preserve"> among </w:t>
            </w:r>
            <w:r w:rsidRPr="007B5CA1">
              <w:t xml:space="preserve">large banks </w:t>
            </w:r>
            <w:r>
              <w:t>by 3 months</w:t>
            </w:r>
          </w:p>
        </w:tc>
      </w:tr>
    </w:tbl>
    <w:p w14:paraId="380DE2B2" w14:textId="44599925" w:rsidR="00F03302" w:rsidRDefault="00A615E8" w:rsidP="001E26E8">
      <w:pPr>
        <w:spacing w:before="160"/>
      </w:pPr>
      <w:r>
        <w:t xml:space="preserve">The Philadelphia Fed’s coincident index of economic activity in the U.S. </w:t>
      </w:r>
      <w:r w:rsidR="003A390C">
        <w:t xml:space="preserve">rose </w:t>
      </w:r>
      <w:r w:rsidR="00C10F0A">
        <w:t>0.5</w:t>
      </w:r>
      <w:r w:rsidR="003A390C">
        <w:t xml:space="preserve">% in </w:t>
      </w:r>
      <w:r w:rsidR="00C10F0A">
        <w:t>September</w:t>
      </w:r>
      <w:r w:rsidR="003A390C">
        <w:t xml:space="preserve"> 2020</w:t>
      </w:r>
      <w:r w:rsidR="00C10F0A">
        <w:t xml:space="preserve"> and 2.3% throughout</w:t>
      </w:r>
      <w:r>
        <w:t xml:space="preserve"> the </w:t>
      </w:r>
      <w:r w:rsidR="00C10F0A">
        <w:t>3</w:t>
      </w:r>
      <w:r w:rsidR="00C10F0A" w:rsidRPr="00C10F0A">
        <w:rPr>
          <w:vertAlign w:val="superscript"/>
        </w:rPr>
        <w:t>rd</w:t>
      </w:r>
      <w:r w:rsidR="00C10F0A">
        <w:t xml:space="preserve"> </w:t>
      </w:r>
      <w:r>
        <w:t>quarter</w:t>
      </w:r>
      <w:r w:rsidR="00AF420E">
        <w:t xml:space="preserve">. </w:t>
      </w:r>
      <w:r w:rsidR="003A390C" w:rsidRPr="00A615E8">
        <w:t xml:space="preserve">In </w:t>
      </w:r>
      <w:r w:rsidR="00C10F0A">
        <w:t>September</w:t>
      </w:r>
      <w:r w:rsidRPr="00A615E8">
        <w:t xml:space="preserve">, </w:t>
      </w:r>
      <w:r w:rsidR="00714B74">
        <w:t xml:space="preserve">state </w:t>
      </w:r>
      <w:r>
        <w:t>coincident</w:t>
      </w:r>
      <w:r w:rsidRPr="00A615E8">
        <w:t xml:space="preserve"> indexes</w:t>
      </w:r>
      <w:r w:rsidR="00714B74">
        <w:rPr>
          <w:rStyle w:val="FootnoteReference"/>
        </w:rPr>
        <w:footnoteReference w:id="3"/>
      </w:r>
      <w:r w:rsidRPr="00A615E8">
        <w:t xml:space="preserve"> </w:t>
      </w:r>
      <w:r>
        <w:t>showed</w:t>
      </w:r>
      <w:r w:rsidR="003A390C" w:rsidRPr="003A390C">
        <w:t xml:space="preserve"> </w:t>
      </w:r>
      <w:r w:rsidR="003A390C" w:rsidRPr="00A615E8">
        <w:t xml:space="preserve">increased </w:t>
      </w:r>
      <w:r w:rsidR="003A390C">
        <w:t>economic activity</w:t>
      </w:r>
      <w:r w:rsidR="003A390C" w:rsidRPr="00A615E8">
        <w:t xml:space="preserve"> in </w:t>
      </w:r>
      <w:r w:rsidR="00C10F0A">
        <w:t>39</w:t>
      </w:r>
      <w:r w:rsidR="003A390C" w:rsidRPr="00A615E8">
        <w:t xml:space="preserve"> states, decreased </w:t>
      </w:r>
      <w:r w:rsidR="003A390C">
        <w:t xml:space="preserve">activity </w:t>
      </w:r>
      <w:r w:rsidR="003A390C" w:rsidRPr="00A615E8">
        <w:t xml:space="preserve">in </w:t>
      </w:r>
      <w:r w:rsidR="00C10F0A">
        <w:t>8</w:t>
      </w:r>
      <w:r w:rsidR="003A390C" w:rsidRPr="00A615E8">
        <w:t xml:space="preserve"> states, and stable </w:t>
      </w:r>
      <w:r w:rsidR="003A390C">
        <w:t xml:space="preserve">activity </w:t>
      </w:r>
      <w:r w:rsidR="003A390C" w:rsidRPr="00A615E8">
        <w:t xml:space="preserve">in </w:t>
      </w:r>
      <w:r w:rsidR="00C10F0A">
        <w:t>3</w:t>
      </w:r>
      <w:r w:rsidRPr="00A615E8">
        <w:t>.</w:t>
      </w:r>
      <w:r w:rsidR="003A390C" w:rsidRPr="003A390C">
        <w:t xml:space="preserve"> </w:t>
      </w:r>
      <w:r w:rsidR="00C10F0A">
        <w:t>O</w:t>
      </w:r>
      <w:r w:rsidR="003A390C" w:rsidRPr="00A615E8">
        <w:t xml:space="preserve">ver the </w:t>
      </w:r>
      <w:r w:rsidR="003A390C">
        <w:t>entire quarter</w:t>
      </w:r>
      <w:r w:rsidRPr="00A615E8">
        <w:t xml:space="preserve">, </w:t>
      </w:r>
      <w:r>
        <w:t>coincident</w:t>
      </w:r>
      <w:r w:rsidRPr="00A615E8">
        <w:t xml:space="preserve"> indexes </w:t>
      </w:r>
      <w:r w:rsidR="00C10F0A">
        <w:t>increased</w:t>
      </w:r>
      <w:r w:rsidR="003A390C">
        <w:t xml:space="preserve"> </w:t>
      </w:r>
      <w:r w:rsidR="003A390C" w:rsidRPr="00A615E8">
        <w:t xml:space="preserve">in </w:t>
      </w:r>
      <w:r w:rsidR="003A390C">
        <w:t>4</w:t>
      </w:r>
      <w:r w:rsidR="0015037B">
        <w:t>7</w:t>
      </w:r>
      <w:r w:rsidR="003A390C" w:rsidRPr="00A615E8">
        <w:t xml:space="preserve"> states</w:t>
      </w:r>
      <w:r w:rsidR="00C10F0A">
        <w:t xml:space="preserve"> and</w:t>
      </w:r>
      <w:r w:rsidR="00466612">
        <w:t xml:space="preserve"> </w:t>
      </w:r>
      <w:r w:rsidR="00C10F0A">
        <w:t>de</w:t>
      </w:r>
      <w:r w:rsidR="003A390C">
        <w:t>creased</w:t>
      </w:r>
      <w:r w:rsidR="003A390C" w:rsidRPr="00A615E8">
        <w:t xml:space="preserve"> in </w:t>
      </w:r>
      <w:r w:rsidR="0015037B">
        <w:t>3</w:t>
      </w:r>
      <w:r w:rsidRPr="00A615E8">
        <w:t>.</w:t>
      </w:r>
      <w:r>
        <w:t xml:space="preserve"> Coincident indexes reflect </w:t>
      </w:r>
      <w:r w:rsidR="00714B74">
        <w:t>unemployment, payroll employment, manufacturing hours, and wages and salaries</w:t>
      </w:r>
      <w:r w:rsidR="00A14CD4">
        <w:t>.</w:t>
      </w:r>
      <w:r w:rsidR="00714B74">
        <w:t xml:space="preserve"> </w:t>
      </w:r>
      <w:r w:rsidR="00442565">
        <w:t xml:space="preserve">Unemployment strongly influences the indexes; </w:t>
      </w:r>
      <w:r w:rsidR="00CF6B8A">
        <w:t>despite falling in September, unemployment rates and counts remain elevated from their pre-pandemic levels</w:t>
      </w:r>
      <w:r w:rsidR="00442565">
        <w:t>.</w:t>
      </w:r>
    </w:p>
    <w:p w14:paraId="7739DC43" w14:textId="5283D8A7" w:rsidR="00A96A6A" w:rsidRDefault="0027585A" w:rsidP="006D4E8F">
      <w:pPr>
        <w:jc w:val="center"/>
      </w:pPr>
      <w:r w:rsidRPr="0027585A">
        <w:rPr>
          <w:noProof/>
        </w:rPr>
        <w:lastRenderedPageBreak/>
        <w:t xml:space="preserve"> </w:t>
      </w:r>
      <w:r w:rsidR="0015037B" w:rsidRPr="0015037B">
        <w:drawing>
          <wp:inline distT="0" distB="0" distL="0" distR="0" wp14:anchorId="0BB4F9F3" wp14:editId="555DB24E">
            <wp:extent cx="5943600" cy="3424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14:paraId="022CFF26" w14:textId="0358A06F"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4"/>
      </w:r>
      <w:r w:rsidR="009E4D8D" w:rsidRPr="00CA74AC">
        <w:t xml:space="preserve"> </w:t>
      </w:r>
      <w:r w:rsidR="00442565">
        <w:t>fell</w:t>
      </w:r>
      <w:r w:rsidR="00DA3959">
        <w:t xml:space="preserve"> </w:t>
      </w:r>
      <w:r w:rsidR="00CF6B8A">
        <w:t>2.91</w:t>
      </w:r>
      <w:r w:rsidR="00442565">
        <w:t>% during</w:t>
      </w:r>
      <w:r w:rsidR="00DA3959">
        <w:t xml:space="preserve"> the </w:t>
      </w:r>
      <w:r w:rsidR="00CF6B8A">
        <w:t>3</w:t>
      </w:r>
      <w:r w:rsidR="00CF6B8A" w:rsidRPr="00CF6B8A">
        <w:rPr>
          <w:vertAlign w:val="superscript"/>
        </w:rPr>
        <w:t>rd</w:t>
      </w:r>
      <w:r w:rsidR="00CF6B8A">
        <w:t xml:space="preserve"> </w:t>
      </w:r>
      <w:r w:rsidR="00DA3959">
        <w:t>quarter of 2020</w:t>
      </w:r>
      <w:r>
        <w:t xml:space="preserve"> </w:t>
      </w:r>
      <w:r w:rsidR="00442565">
        <w:t>and 0.</w:t>
      </w:r>
      <w:r w:rsidR="00CF6B8A">
        <w:t>54</w:t>
      </w:r>
      <w:r w:rsidR="00442565">
        <w:t>%</w:t>
      </w:r>
      <w:r w:rsidR="009E4D8D" w:rsidRPr="00CA74AC">
        <w:t xml:space="preserve"> </w:t>
      </w:r>
      <w:r w:rsidR="00442565">
        <w:t xml:space="preserve">since the </w:t>
      </w:r>
      <w:r w:rsidR="00CF6B8A">
        <w:t>3</w:t>
      </w:r>
      <w:r w:rsidR="00CF6B8A" w:rsidRPr="00CF6B8A">
        <w:rPr>
          <w:vertAlign w:val="superscript"/>
        </w:rPr>
        <w:t>rd</w:t>
      </w:r>
      <w:r w:rsidR="00CF6B8A">
        <w:t xml:space="preserve"> </w:t>
      </w:r>
      <w:r w:rsidR="00D01E9D">
        <w:t>quarter</w:t>
      </w:r>
      <w:r w:rsidR="00DA3959">
        <w:t xml:space="preserve"> </w:t>
      </w:r>
      <w:r w:rsidR="00CF6B8A">
        <w:t>of 2019</w:t>
      </w:r>
      <w:r w:rsidR="009E4D8D" w:rsidRPr="00CA74AC">
        <w:t>.</w:t>
      </w:r>
      <w:r w:rsidR="00E24F81" w:rsidRPr="00CA74AC">
        <w:t xml:space="preserve"> </w:t>
      </w:r>
      <w:r w:rsidR="00CF6B8A">
        <w:t>Dollar</w:t>
      </w:r>
      <w:r w:rsidR="00C54129">
        <w:t xml:space="preserve"> </w:t>
      </w:r>
      <w:r w:rsidR="000E6060">
        <w:t xml:space="preserve">demand has </w:t>
      </w:r>
      <w:r w:rsidR="00CF6B8A">
        <w:t xml:space="preserve">been falling </w:t>
      </w:r>
      <w:r w:rsidR="00220B63">
        <w:t>since the Spring, fueled in part by poor control of the COVID-19 pandemic and in part by monetary policy changes that favor prolonged suppression of interest rates nationally</w:t>
      </w:r>
      <w:r w:rsidR="00E37A8F">
        <w:t>.</w:t>
      </w:r>
      <w:r w:rsidR="001C7617">
        <w:t xml:space="preserve"> </w:t>
      </w:r>
      <w:r w:rsidR="00220B63">
        <w:t>In September, the dollar index partially rebounded after soft performances in technology stocks led investors to seek safer markets</w:t>
      </w:r>
      <w:r w:rsidR="00813396">
        <w:t>.</w:t>
      </w:r>
    </w:p>
    <w:p w14:paraId="5FD9C9E3" w14:textId="47DCA259" w:rsidR="004D1C9D" w:rsidRDefault="0015037B" w:rsidP="006D4E8F">
      <w:pPr>
        <w:jc w:val="center"/>
      </w:pPr>
      <w:r>
        <w:rPr>
          <w:noProof/>
        </w:rPr>
        <w:drawing>
          <wp:inline distT="0" distB="0" distL="0" distR="0" wp14:anchorId="34EFD5B6" wp14:editId="28CFD2F4">
            <wp:extent cx="4097020" cy="274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EF9" w14:textId="77777777" w:rsidR="002731EF" w:rsidRDefault="002731EF" w:rsidP="001475FF">
      <w:pPr>
        <w:pStyle w:val="Heading1"/>
      </w:pPr>
      <w:r>
        <w:lastRenderedPageBreak/>
        <w:t>Economic Highlights</w:t>
      </w:r>
    </w:p>
    <w:p w14:paraId="149D5EFA" w14:textId="5D5BBD44" w:rsidR="002608F3" w:rsidRPr="009A6A40" w:rsidRDefault="006C2DAB" w:rsidP="00E528F7">
      <w:pPr>
        <w:pStyle w:val="ListParagraph"/>
        <w:numPr>
          <w:ilvl w:val="0"/>
          <w:numId w:val="3"/>
        </w:numPr>
      </w:pPr>
      <w:r w:rsidRPr="009A6A40">
        <w:t>Real GDP for the 3</w:t>
      </w:r>
      <w:r w:rsidRPr="009A6A40">
        <w:rPr>
          <w:vertAlign w:val="superscript"/>
        </w:rPr>
        <w:t>rd</w:t>
      </w:r>
      <w:r w:rsidRPr="009A6A40">
        <w:t xml:space="preserve"> quarter of 2020 rebounded at an annual rate of 33.1% but remained 2.9% below its year-ago level</w:t>
      </w:r>
      <w:r w:rsidR="002608F3" w:rsidRPr="009A6A40">
        <w:t>.</w:t>
      </w:r>
    </w:p>
    <w:p w14:paraId="149D5EFC" w14:textId="6A95793A" w:rsidR="00E24F81" w:rsidRPr="009A6A40" w:rsidRDefault="00E24F81" w:rsidP="00E528F7">
      <w:pPr>
        <w:pStyle w:val="ListParagraph"/>
        <w:numPr>
          <w:ilvl w:val="0"/>
          <w:numId w:val="3"/>
        </w:numPr>
      </w:pPr>
      <w:r w:rsidRPr="009A6A40">
        <w:t xml:space="preserve">The U.S. dollar index </w:t>
      </w:r>
      <w:r w:rsidR="009A6A40" w:rsidRPr="009A6A40">
        <w:t>fell 2.91% during the 3</w:t>
      </w:r>
      <w:r w:rsidR="009A6A40" w:rsidRPr="009A6A40">
        <w:rPr>
          <w:vertAlign w:val="superscript"/>
        </w:rPr>
        <w:t>rd</w:t>
      </w:r>
      <w:r w:rsidR="009A6A40" w:rsidRPr="009A6A40">
        <w:t xml:space="preserve"> quarter of 2020 and 0.54% since the 3</w:t>
      </w:r>
      <w:r w:rsidR="009A6A40" w:rsidRPr="009A6A40">
        <w:rPr>
          <w:vertAlign w:val="superscript"/>
        </w:rPr>
        <w:t>rd</w:t>
      </w:r>
      <w:r w:rsidR="009A6A40" w:rsidRPr="009A6A40">
        <w:t xml:space="preserve"> quarter of 2019</w:t>
      </w:r>
      <w:r w:rsidRPr="009A6A40">
        <w:t>.</w:t>
      </w:r>
    </w:p>
    <w:p w14:paraId="149D5EFD" w14:textId="33F1A90E" w:rsidR="0076717F" w:rsidRPr="009A6A40" w:rsidRDefault="00E23CA2" w:rsidP="00E528F7">
      <w:pPr>
        <w:pStyle w:val="ListParagraph"/>
        <w:numPr>
          <w:ilvl w:val="0"/>
          <w:numId w:val="3"/>
        </w:numPr>
      </w:pPr>
      <w:r w:rsidRPr="009A6A40">
        <w:t>Throughout</w:t>
      </w:r>
      <w:r w:rsidR="00E50993" w:rsidRPr="009A6A40">
        <w:t xml:space="preserve"> </w:t>
      </w:r>
      <w:r w:rsidR="0092347C" w:rsidRPr="009A6A40">
        <w:t xml:space="preserve">the </w:t>
      </w:r>
      <w:r w:rsidR="009A6A40" w:rsidRPr="009A6A40">
        <w:t>3</w:t>
      </w:r>
      <w:r w:rsidR="009A6A40" w:rsidRPr="009A6A40">
        <w:rPr>
          <w:vertAlign w:val="superscript"/>
        </w:rPr>
        <w:t>rd</w:t>
      </w:r>
      <w:r w:rsidR="009A6A40" w:rsidRPr="009A6A40">
        <w:t xml:space="preserve"> </w:t>
      </w:r>
      <w:r w:rsidR="0092347C" w:rsidRPr="009A6A40">
        <w:t>quarter</w:t>
      </w:r>
      <w:r w:rsidR="00E37A8F" w:rsidRPr="009A6A40">
        <w:t>,</w:t>
      </w:r>
      <w:r w:rsidR="00E50993" w:rsidRPr="009A6A40">
        <w:t xml:space="preserve"> the Federal Reserve </w:t>
      </w:r>
      <w:r w:rsidR="0092347C" w:rsidRPr="009A6A40">
        <w:t>held</w:t>
      </w:r>
      <w:r w:rsidR="00E37A8F" w:rsidRPr="009A6A40">
        <w:t xml:space="preserve"> the federal funds target rate </w:t>
      </w:r>
      <w:r w:rsidR="0092347C" w:rsidRPr="009A6A40">
        <w:t>at</w:t>
      </w:r>
      <w:r w:rsidR="00E37A8F" w:rsidRPr="009A6A40">
        <w:t xml:space="preserve"> a range of </w:t>
      </w:r>
      <w:r w:rsidR="001E26E8" w:rsidRPr="009A6A40">
        <w:t>0</w:t>
      </w:r>
      <w:r w:rsidR="005117CA" w:rsidRPr="009A6A40">
        <w:t>.</w:t>
      </w:r>
      <w:r w:rsidR="001E26E8" w:rsidRPr="009A6A40">
        <w:t>0</w:t>
      </w:r>
      <w:r w:rsidR="00FE67AA" w:rsidRPr="009A6A40">
        <w:t>0</w:t>
      </w:r>
      <w:r w:rsidR="00E37A8F" w:rsidRPr="009A6A40">
        <w:t xml:space="preserve"> to </w:t>
      </w:r>
      <w:r w:rsidR="001E26E8" w:rsidRPr="009A6A40">
        <w:t>0</w:t>
      </w:r>
      <w:r w:rsidR="00FE67AA" w:rsidRPr="009A6A40">
        <w:t>.</w:t>
      </w:r>
      <w:r w:rsidR="001E26E8" w:rsidRPr="009A6A40">
        <w:t>2</w:t>
      </w:r>
      <w:r w:rsidR="00FE67AA" w:rsidRPr="009A6A40">
        <w:t>5</w:t>
      </w:r>
      <w:r w:rsidR="00E37A8F" w:rsidRPr="009A6A40">
        <w:t xml:space="preserve"> percent</w:t>
      </w:r>
      <w:r w:rsidR="0035542E" w:rsidRPr="009A6A40">
        <w:t>.</w:t>
      </w:r>
    </w:p>
    <w:p w14:paraId="149D5EFE" w14:textId="512CAE6C" w:rsidR="003E4ACB" w:rsidRPr="009A6A40" w:rsidRDefault="00FE67AA" w:rsidP="00E528F7">
      <w:pPr>
        <w:pStyle w:val="ListParagraph"/>
        <w:numPr>
          <w:ilvl w:val="0"/>
          <w:numId w:val="3"/>
        </w:numPr>
      </w:pPr>
      <w:r w:rsidRPr="009A6A40">
        <w:t xml:space="preserve">Bond </w:t>
      </w:r>
      <w:r w:rsidR="001E26E8" w:rsidRPr="009A6A40">
        <w:t>yields</w:t>
      </w:r>
      <w:r w:rsidR="003E4ACB" w:rsidRPr="009A6A40">
        <w:t xml:space="preserve"> </w:t>
      </w:r>
      <w:r w:rsidR="00BE1260" w:rsidRPr="009A6A40">
        <w:t>remained low</w:t>
      </w:r>
      <w:r w:rsidR="00E37A8F" w:rsidRPr="009A6A40">
        <w:t xml:space="preserve"> </w:t>
      </w:r>
      <w:r w:rsidR="003E4ACB" w:rsidRPr="009A6A40">
        <w:t>during the quarter</w:t>
      </w:r>
      <w:r w:rsidR="001E26E8" w:rsidRPr="009A6A40">
        <w:t>,</w:t>
      </w:r>
      <w:r w:rsidR="003E4ACB" w:rsidRPr="009A6A40">
        <w:t xml:space="preserve"> with the 10-y</w:t>
      </w:r>
      <w:r w:rsidR="002F1C7B" w:rsidRPr="009A6A40">
        <w:t xml:space="preserve">ear U.S. treasury </w:t>
      </w:r>
      <w:r w:rsidR="009A6A40" w:rsidRPr="009A6A40">
        <w:t>yielding 0.69% annually at the end of September 2020 and the 30-year treasury yielding 1.46</w:t>
      </w:r>
      <w:r w:rsidR="002F1C7B" w:rsidRPr="009A6A40">
        <w:t>%</w:t>
      </w:r>
      <w:r w:rsidR="004D0515" w:rsidRPr="009A6A40">
        <w:t>.</w:t>
      </w:r>
    </w:p>
    <w:p w14:paraId="2A4826B3" w14:textId="77777777" w:rsidR="0069122E" w:rsidRPr="007B0FB5" w:rsidRDefault="0069122E" w:rsidP="0069122E">
      <w:pPr>
        <w:pStyle w:val="ListParagraph"/>
        <w:numPr>
          <w:ilvl w:val="0"/>
          <w:numId w:val="3"/>
        </w:numPr>
      </w:pPr>
      <w:r w:rsidRPr="007B0FB5">
        <w:t>Unemployment fell throughout the 3</w:t>
      </w:r>
      <w:r w:rsidRPr="007B0FB5">
        <w:rPr>
          <w:vertAlign w:val="superscript"/>
        </w:rPr>
        <w:t>rd</w:t>
      </w:r>
      <w:r w:rsidRPr="007B0FB5">
        <w:t xml:space="preserve"> quarter to 7.9% in September 2020, and payroll employment </w:t>
      </w:r>
      <w:r w:rsidRPr="007B0FB5">
        <w:rPr>
          <w:color w:val="000000" w:themeColor="text1"/>
        </w:rPr>
        <w:t>regained 3.9 million jobs during the 3</w:t>
      </w:r>
      <w:r w:rsidRPr="007B0FB5">
        <w:rPr>
          <w:color w:val="000000" w:themeColor="text1"/>
          <w:vertAlign w:val="superscript"/>
        </w:rPr>
        <w:t>rd</w:t>
      </w:r>
      <w:r w:rsidRPr="007B0FB5">
        <w:rPr>
          <w:color w:val="000000" w:themeColor="text1"/>
        </w:rPr>
        <w:t xml:space="preserve"> quarter</w:t>
      </w:r>
      <w:r w:rsidRPr="007B0FB5">
        <w:t>.</w:t>
      </w:r>
    </w:p>
    <w:p w14:paraId="149D5EFF" w14:textId="5911157A" w:rsidR="003E4ACB" w:rsidRPr="009A6A40" w:rsidRDefault="00CD3F6E" w:rsidP="00E528F7">
      <w:pPr>
        <w:pStyle w:val="ListParagraph"/>
        <w:numPr>
          <w:ilvl w:val="0"/>
          <w:numId w:val="3"/>
        </w:numPr>
      </w:pPr>
      <w:r w:rsidRPr="009A6A40">
        <w:t>Consumer i</w:t>
      </w:r>
      <w:r w:rsidR="006E4B4F" w:rsidRPr="009A6A40">
        <w:t xml:space="preserve">nflation </w:t>
      </w:r>
      <w:r w:rsidR="00BE1260" w:rsidRPr="009A6A40">
        <w:t xml:space="preserve">rose </w:t>
      </w:r>
      <w:r w:rsidR="009A6A40" w:rsidRPr="009A6A40">
        <w:t>1.41% since last September</w:t>
      </w:r>
      <w:r w:rsidR="003E4ACB" w:rsidRPr="009A6A40">
        <w:t>.</w:t>
      </w:r>
    </w:p>
    <w:p w14:paraId="02DFF80C" w14:textId="77685525" w:rsidR="0069122E" w:rsidRPr="009A6A40" w:rsidRDefault="0069122E" w:rsidP="0069122E">
      <w:pPr>
        <w:pStyle w:val="ListParagraph"/>
        <w:numPr>
          <w:ilvl w:val="0"/>
          <w:numId w:val="3"/>
        </w:numPr>
      </w:pPr>
      <w:r w:rsidRPr="009A6A40">
        <w:t>Oil prices plateaued in the 3</w:t>
      </w:r>
      <w:r w:rsidRPr="009A6A40">
        <w:rPr>
          <w:vertAlign w:val="superscript"/>
        </w:rPr>
        <w:t>rd</w:t>
      </w:r>
      <w:r w:rsidRPr="009A6A40">
        <w:t xml:space="preserve"> quarter and were $39.63 per barrel </w:t>
      </w:r>
      <w:r w:rsidR="00DF7314">
        <w:t>to end</w:t>
      </w:r>
      <w:r w:rsidRPr="009A6A40">
        <w:t xml:space="preserve"> September.</w:t>
      </w:r>
    </w:p>
    <w:p w14:paraId="149D5F00" w14:textId="0A5573A0" w:rsidR="003E4ACB" w:rsidRPr="007B0FB5" w:rsidRDefault="00E736EF" w:rsidP="00E528F7">
      <w:pPr>
        <w:pStyle w:val="ListParagraph"/>
        <w:numPr>
          <w:ilvl w:val="0"/>
          <w:numId w:val="3"/>
        </w:numPr>
      </w:pPr>
      <w:r w:rsidRPr="007B0FB5">
        <w:t xml:space="preserve">New </w:t>
      </w:r>
      <w:r w:rsidR="00BE1260" w:rsidRPr="007B0FB5">
        <w:t xml:space="preserve">housing starts </w:t>
      </w:r>
      <w:r w:rsidR="007B0FB5" w:rsidRPr="007B0FB5">
        <w:t>grew 11.9% over the 3</w:t>
      </w:r>
      <w:r w:rsidR="007B0FB5" w:rsidRPr="007B0FB5">
        <w:rPr>
          <w:vertAlign w:val="superscript"/>
        </w:rPr>
        <w:t>rd</w:t>
      </w:r>
      <w:r w:rsidR="007B0FB5" w:rsidRPr="007B0FB5">
        <w:t xml:space="preserve"> quarter yet remained 12.5% below their 13-year peak in January 2020</w:t>
      </w:r>
      <w:r w:rsidR="0035542E" w:rsidRPr="007B0FB5">
        <w:t>.</w:t>
      </w:r>
    </w:p>
    <w:p w14:paraId="149D5F03" w14:textId="54E70D02" w:rsidR="0076717F" w:rsidRPr="00F94484" w:rsidRDefault="00FC013E" w:rsidP="00F94484">
      <w:pPr>
        <w:pStyle w:val="ListParagraph"/>
        <w:numPr>
          <w:ilvl w:val="0"/>
          <w:numId w:val="3"/>
        </w:numPr>
      </w:pPr>
      <w:r w:rsidRPr="007B0FB5">
        <w:t>U</w:t>
      </w:r>
      <w:r w:rsidR="00F74174" w:rsidRPr="007B0FB5">
        <w:t>.</w:t>
      </w:r>
      <w:r w:rsidRPr="007B0FB5">
        <w:t>S</w:t>
      </w:r>
      <w:r w:rsidR="00F74174" w:rsidRPr="007B0FB5">
        <w:t>.</w:t>
      </w:r>
      <w:r w:rsidRPr="007B0FB5">
        <w:t xml:space="preserve"> </w:t>
      </w:r>
      <w:r w:rsidR="00F94484" w:rsidRPr="007B0FB5">
        <w:t xml:space="preserve">capital </w:t>
      </w:r>
      <w:r w:rsidRPr="007B0FB5">
        <w:t>markets</w:t>
      </w:r>
      <w:r w:rsidR="00D928C8" w:rsidRPr="007B0FB5">
        <w:t xml:space="preserve"> </w:t>
      </w:r>
      <w:r w:rsidR="007B0FB5" w:rsidRPr="007B0FB5">
        <w:t>continued their rally into the 3</w:t>
      </w:r>
      <w:r w:rsidR="007B0FB5" w:rsidRPr="007B0FB5">
        <w:rPr>
          <w:vertAlign w:val="superscript"/>
        </w:rPr>
        <w:t>rd</w:t>
      </w:r>
      <w:r w:rsidR="007B0FB5" w:rsidRPr="007B0FB5">
        <w:t xml:space="preserve"> quarter but entered a slide in September.</w:t>
      </w:r>
      <w:r w:rsidR="00E736EF" w:rsidRPr="007B0FB5">
        <w:t xml:space="preserve"> </w:t>
      </w:r>
      <w:r w:rsidR="007B0FB5" w:rsidRPr="007B0FB5">
        <w:t>During the 3</w:t>
      </w:r>
      <w:r w:rsidR="007B0FB5" w:rsidRPr="007B0FB5">
        <w:rPr>
          <w:vertAlign w:val="superscript"/>
        </w:rPr>
        <w:t>rd</w:t>
      </w:r>
      <w:r w:rsidR="007B0FB5" w:rsidRPr="007B0FB5">
        <w:t xml:space="preserve"> quarter, the NASDAQ Composite rose 11.0% the S&amp;P 500 climbed 8.5%.</w:t>
      </w:r>
      <w:r w:rsidR="0076717F">
        <w:br w:type="page"/>
      </w:r>
    </w:p>
    <w:p w14:paraId="149D5F04" w14:textId="77777777" w:rsidR="00057711" w:rsidRDefault="00057711" w:rsidP="00057711">
      <w:pPr>
        <w:pStyle w:val="Heading1"/>
      </w:pPr>
      <w:r>
        <w:lastRenderedPageBreak/>
        <w:t>Business Activity</w:t>
      </w:r>
    </w:p>
    <w:p w14:paraId="25413EE4" w14:textId="42CF1049" w:rsidR="00A96A6A" w:rsidRPr="00F27E28" w:rsidRDefault="0080028D" w:rsidP="00057711">
      <w:r w:rsidRPr="00F27E28">
        <w:t>According to the Bureau of Economic Analysis</w:t>
      </w:r>
      <w:r w:rsidR="002608F3" w:rsidRPr="00F27E28">
        <w:t xml:space="preserve"> (BEA)</w:t>
      </w:r>
      <w:r w:rsidRPr="00F27E28">
        <w:t>, real gross domestic product (GDP)</w:t>
      </w:r>
      <w:r w:rsidR="00A8559D" w:rsidRPr="00F27E28">
        <w:rPr>
          <w:rStyle w:val="FootnoteReference"/>
        </w:rPr>
        <w:footnoteReference w:id="5"/>
      </w:r>
      <w:r w:rsidRPr="00F27E28">
        <w:t xml:space="preserve"> </w:t>
      </w:r>
      <w:r w:rsidR="00BD0BA8" w:rsidRPr="00F27E28">
        <w:t xml:space="preserve">for the </w:t>
      </w:r>
      <w:r w:rsidR="00220B63">
        <w:t>3</w:t>
      </w:r>
      <w:r w:rsidR="00220B63" w:rsidRPr="00220B63">
        <w:rPr>
          <w:vertAlign w:val="superscript"/>
        </w:rPr>
        <w:t>rd</w:t>
      </w:r>
      <w:r w:rsidR="00220B63">
        <w:t xml:space="preserve"> </w:t>
      </w:r>
      <w:r w:rsidR="00BD0BA8" w:rsidRPr="00F27E28">
        <w:t xml:space="preserve">quarter of </w:t>
      </w:r>
      <w:r w:rsidR="00813396">
        <w:t>2020</w:t>
      </w:r>
      <w:r w:rsidR="00700166" w:rsidRPr="00F27E28">
        <w:t xml:space="preserve"> </w:t>
      </w:r>
      <w:r w:rsidR="00220B63">
        <w:t>rebounded</w:t>
      </w:r>
      <w:r w:rsidR="00BD0BA8" w:rsidRPr="00F27E28">
        <w:t xml:space="preserve"> </w:t>
      </w:r>
      <w:r w:rsidRPr="00F27E28">
        <w:t xml:space="preserve">at an annual rate of </w:t>
      </w:r>
      <w:r w:rsidR="005650CD">
        <w:t>3</w:t>
      </w:r>
      <w:r w:rsidR="00220B63">
        <w:t>3</w:t>
      </w:r>
      <w:r w:rsidR="005650CD">
        <w:t>.</w:t>
      </w:r>
      <w:r w:rsidR="00220B63">
        <w:t>1</w:t>
      </w:r>
      <w:r w:rsidR="00321AA2" w:rsidRPr="00F27E28">
        <w:t>%</w:t>
      </w:r>
      <w:r w:rsidR="001756EC" w:rsidRPr="00F27E28">
        <w:t>,</w:t>
      </w:r>
      <w:r w:rsidRPr="00F27E28">
        <w:t xml:space="preserve"> </w:t>
      </w:r>
      <w:r w:rsidR="005650CD">
        <w:t xml:space="preserve">its largest single-quarter </w:t>
      </w:r>
      <w:r w:rsidR="00220B63">
        <w:t>gain</w:t>
      </w:r>
      <w:r w:rsidR="005650CD">
        <w:t xml:space="preserve"> ever, after</w:t>
      </w:r>
      <w:r w:rsidR="002F1660">
        <w:t xml:space="preserve"> </w:t>
      </w:r>
      <w:r w:rsidR="00E23CA2">
        <w:t>the prior</w:t>
      </w:r>
      <w:r w:rsidR="002F1660">
        <w:t xml:space="preserve"> quarter’s </w:t>
      </w:r>
      <w:r w:rsidR="00D36137">
        <w:t>drop</w:t>
      </w:r>
      <w:r w:rsidR="002F1660">
        <w:t xml:space="preserve"> of </w:t>
      </w:r>
      <w:r w:rsidR="00D36137">
        <w:t>31.4</w:t>
      </w:r>
      <w:r w:rsidR="002F1660">
        <w:t>%</w:t>
      </w:r>
      <w:r w:rsidR="005650CD">
        <w:t>.</w:t>
      </w:r>
      <w:r w:rsidR="002F1660">
        <w:t xml:space="preserve"> </w:t>
      </w:r>
      <w:r w:rsidR="00D36137">
        <w:t>Over the last</w:t>
      </w:r>
      <w:r w:rsidR="00B40AF8" w:rsidRPr="00F27E28">
        <w:t xml:space="preserve"> 30</w:t>
      </w:r>
      <w:r w:rsidR="00D36137">
        <w:t xml:space="preserve"> </w:t>
      </w:r>
      <w:r w:rsidR="00B40AF8" w:rsidRPr="00F27E28">
        <w:t>year</w:t>
      </w:r>
      <w:r w:rsidR="00D36137">
        <w:t>s, the</w:t>
      </w:r>
      <w:r w:rsidR="00B40AF8" w:rsidRPr="00F27E28">
        <w:t xml:space="preserve"> average</w:t>
      </w:r>
      <w:r w:rsidR="005650CD" w:rsidRPr="005650CD">
        <w:t xml:space="preserve"> </w:t>
      </w:r>
      <w:r w:rsidR="00D36137">
        <w:t xml:space="preserve">compounded </w:t>
      </w:r>
      <w:r w:rsidR="005650CD" w:rsidRPr="00F27E28">
        <w:t>annual</w:t>
      </w:r>
      <w:r w:rsidR="00B40AF8" w:rsidRPr="00F27E28">
        <w:t xml:space="preserve"> rate of </w:t>
      </w:r>
      <w:r w:rsidR="005650CD">
        <w:t xml:space="preserve">GDP growth </w:t>
      </w:r>
      <w:r w:rsidR="00D36137">
        <w:t>was 2.4</w:t>
      </w:r>
      <w:r w:rsidRPr="004F67A9">
        <w:t>%.</w:t>
      </w:r>
      <w:r w:rsidR="001756EC" w:rsidRPr="00F27E28">
        <w:t xml:space="preserve"> </w:t>
      </w:r>
      <w:r w:rsidR="002F1660" w:rsidRPr="002F1660">
        <w:t>The</w:t>
      </w:r>
      <w:r w:rsidR="00D36137">
        <w:t xml:space="preserve"> better-than-expected</w:t>
      </w:r>
      <w:r w:rsidR="002F1660" w:rsidRPr="002F1660">
        <w:t xml:space="preserve"> </w:t>
      </w:r>
      <w:r w:rsidR="00D36137">
        <w:t>3</w:t>
      </w:r>
      <w:r w:rsidR="00D36137" w:rsidRPr="00D36137">
        <w:rPr>
          <w:vertAlign w:val="superscript"/>
        </w:rPr>
        <w:t>rd</w:t>
      </w:r>
      <w:r w:rsidR="002F1660">
        <w:t>-</w:t>
      </w:r>
      <w:r w:rsidR="002F1660" w:rsidRPr="002F1660">
        <w:t xml:space="preserve">quarter </w:t>
      </w:r>
      <w:r w:rsidR="00D36137">
        <w:t>GDP rally</w:t>
      </w:r>
      <w:r w:rsidR="002F1660">
        <w:t xml:space="preserve"> reflected</w:t>
      </w:r>
      <w:r w:rsidR="002F1660" w:rsidRPr="002F1660">
        <w:t xml:space="preserve"> </w:t>
      </w:r>
      <w:r w:rsidR="00D36137">
        <w:t>the nation’s ongoing return to business and recreational activities amid the COVID-19 pandemic</w:t>
      </w:r>
      <w:r w:rsidR="005650CD">
        <w:t xml:space="preserve">. </w:t>
      </w:r>
      <w:r w:rsidR="00FF3086">
        <w:t>F</w:t>
      </w:r>
      <w:r w:rsidR="00584B8E">
        <w:t>inancial</w:t>
      </w:r>
      <w:r w:rsidR="005650CD" w:rsidRPr="005650CD">
        <w:t xml:space="preserve"> pandemic assistance </w:t>
      </w:r>
      <w:r w:rsidR="00584B8E">
        <w:t>from the federal government</w:t>
      </w:r>
      <w:r w:rsidR="00D36137">
        <w:t>, which</w:t>
      </w:r>
      <w:r w:rsidR="00584B8E">
        <w:t xml:space="preserve"> reached</w:t>
      </w:r>
      <w:r w:rsidR="00D36137">
        <w:t xml:space="preserve"> most</w:t>
      </w:r>
      <w:r w:rsidR="00584B8E">
        <w:t xml:space="preserve"> households, businesses, and states </w:t>
      </w:r>
      <w:r w:rsidR="00D36137">
        <w:t>prior to the beginning of the 3</w:t>
      </w:r>
      <w:r w:rsidR="00D36137" w:rsidRPr="00D36137">
        <w:rPr>
          <w:vertAlign w:val="superscript"/>
        </w:rPr>
        <w:t>rd</w:t>
      </w:r>
      <w:r w:rsidR="00D36137">
        <w:t xml:space="preserve"> quarter</w:t>
      </w:r>
      <w:r w:rsidR="00C978AB">
        <w:t xml:space="preserve">, fueled some of the rebound, but these supports were </w:t>
      </w:r>
      <w:r w:rsidR="00A30440">
        <w:t xml:space="preserve">largely </w:t>
      </w:r>
      <w:r w:rsidR="00C978AB">
        <w:t>expiring as the quarter came to a close</w:t>
      </w:r>
      <w:r w:rsidR="002F1660" w:rsidRPr="002F1660">
        <w:t xml:space="preserve">. </w:t>
      </w:r>
      <w:r w:rsidR="00D36137">
        <w:t>Despite the 3</w:t>
      </w:r>
      <w:r w:rsidR="00D36137" w:rsidRPr="00D36137">
        <w:rPr>
          <w:vertAlign w:val="superscript"/>
        </w:rPr>
        <w:t>rd</w:t>
      </w:r>
      <w:r w:rsidR="00584B8E">
        <w:t xml:space="preserve"> </w:t>
      </w:r>
      <w:r w:rsidR="002F1660">
        <w:t>quarter</w:t>
      </w:r>
      <w:r w:rsidR="00D36137">
        <w:t>’s strong gains,</w:t>
      </w:r>
      <w:r w:rsidR="00A52E02">
        <w:t xml:space="preserve"> real GDP </w:t>
      </w:r>
      <w:r w:rsidR="00D36137">
        <w:t>remained 2.9% below its year-ago level</w:t>
      </w:r>
      <w:r w:rsidR="00F27E28" w:rsidRPr="00F27E28">
        <w:t>.</w:t>
      </w:r>
    </w:p>
    <w:p w14:paraId="7810A9C6" w14:textId="3977CC02" w:rsidR="00A96A6A" w:rsidRDefault="0015037B" w:rsidP="005117CA">
      <w:pPr>
        <w:jc w:val="center"/>
      </w:pPr>
      <w:r>
        <w:rPr>
          <w:noProof/>
        </w:rPr>
        <w:drawing>
          <wp:inline distT="0" distB="0" distL="0" distR="0" wp14:anchorId="11BA0903" wp14:editId="274C697E">
            <wp:extent cx="4097020" cy="274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6E9155B" w14:textId="1CB09A49" w:rsidR="00D55969" w:rsidRDefault="00584B8E" w:rsidP="00CD643D">
      <w:r>
        <w:t xml:space="preserve">The </w:t>
      </w:r>
      <w:r w:rsidR="00C978AB">
        <w:t>3</w:t>
      </w:r>
      <w:r w:rsidR="00C978AB" w:rsidRPr="00C978AB">
        <w:rPr>
          <w:vertAlign w:val="superscript"/>
        </w:rPr>
        <w:t>rd</w:t>
      </w:r>
      <w:r w:rsidR="00C978AB">
        <w:t xml:space="preserve"> </w:t>
      </w:r>
      <w:r>
        <w:t xml:space="preserve">quarter GDP </w:t>
      </w:r>
      <w:r w:rsidR="00C978AB">
        <w:t>bounce</w:t>
      </w:r>
      <w:r>
        <w:t xml:space="preserve"> primarily reflected </w:t>
      </w:r>
      <w:r w:rsidR="00C978AB">
        <w:t>strong</w:t>
      </w:r>
      <w:r w:rsidR="007A7FCF">
        <w:t xml:space="preserve"> personal consumption </w:t>
      </w:r>
      <w:r>
        <w:t xml:space="preserve">spending, particularly spending on </w:t>
      </w:r>
      <w:r w:rsidR="00C978AB">
        <w:t xml:space="preserve">household services and healthcare, and </w:t>
      </w:r>
      <w:r>
        <w:t>private inventory investment.</w:t>
      </w:r>
      <w:r w:rsidR="00CD643D">
        <w:t xml:space="preserve"> </w:t>
      </w:r>
      <w:r w:rsidR="006619DC">
        <w:t>Exports also rose during the 3</w:t>
      </w:r>
      <w:r w:rsidR="006619DC" w:rsidRPr="006619DC">
        <w:rPr>
          <w:vertAlign w:val="superscript"/>
        </w:rPr>
        <w:t>rd</w:t>
      </w:r>
      <w:r w:rsidR="006619DC">
        <w:t xml:space="preserve"> quarter but were more than offset by a sharper rise in imports</w:t>
      </w:r>
      <w:r w:rsidR="00CD643D">
        <w:t>.</w:t>
      </w:r>
    </w:p>
    <w:p w14:paraId="74EC7CAF" w14:textId="3CD863BD" w:rsidR="004D1C9D" w:rsidRDefault="0015037B" w:rsidP="005117CA">
      <w:pPr>
        <w:jc w:val="center"/>
      </w:pPr>
      <w:r>
        <w:rPr>
          <w:noProof/>
        </w:rPr>
        <w:lastRenderedPageBreak/>
        <w:drawing>
          <wp:inline distT="0" distB="0" distL="0" distR="0" wp14:anchorId="0F6C1EE9" wp14:editId="6823B4B5">
            <wp:extent cx="4224655" cy="34874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487420"/>
                    </a:xfrm>
                    <a:prstGeom prst="rect">
                      <a:avLst/>
                    </a:prstGeom>
                    <a:noFill/>
                  </pic:spPr>
                </pic:pic>
              </a:graphicData>
            </a:graphic>
          </wp:inline>
        </w:drawing>
      </w:r>
    </w:p>
    <w:p w14:paraId="31033888" w14:textId="0A500D26" w:rsidR="004D1C9D" w:rsidRDefault="006331A2" w:rsidP="00174BCD">
      <w:r w:rsidRPr="006331A2">
        <w:t>T</w:t>
      </w:r>
      <w:r w:rsidR="00EF008E" w:rsidRPr="006331A2">
        <w:t>he Industrial Production Index</w:t>
      </w:r>
      <w:r w:rsidR="006A114D" w:rsidRPr="006331A2">
        <w:rPr>
          <w:rStyle w:val="FootnoteReference"/>
        </w:rPr>
        <w:footnoteReference w:id="6"/>
      </w:r>
      <w:r w:rsidR="00EF008E" w:rsidRPr="006331A2">
        <w:t xml:space="preserve"> </w:t>
      </w:r>
      <w:r w:rsidR="00B00E83" w:rsidRPr="006331A2">
        <w:t>stood</w:t>
      </w:r>
      <w:r w:rsidR="00DA5A96" w:rsidRPr="006331A2">
        <w:t xml:space="preserve"> at</w:t>
      </w:r>
      <w:r w:rsidR="008636F9" w:rsidRPr="006331A2">
        <w:t xml:space="preserve"> </w:t>
      </w:r>
      <w:r w:rsidR="006619DC" w:rsidRPr="006331A2">
        <w:t>101.51</w:t>
      </w:r>
      <w:r w:rsidRPr="006331A2">
        <w:t xml:space="preserve"> to end the 3</w:t>
      </w:r>
      <w:r w:rsidRPr="006331A2">
        <w:rPr>
          <w:vertAlign w:val="superscript"/>
        </w:rPr>
        <w:t>rd</w:t>
      </w:r>
      <w:r w:rsidRPr="006331A2">
        <w:t xml:space="preserve"> quarter of 2020</w:t>
      </w:r>
      <w:r w:rsidR="006619DC" w:rsidRPr="006331A2">
        <w:t>,</w:t>
      </w:r>
      <w:r w:rsidR="00AA651C" w:rsidRPr="006331A2">
        <w:t xml:space="preserve"> </w:t>
      </w:r>
      <w:r w:rsidR="006619DC" w:rsidRPr="006331A2">
        <w:t>up 4.0</w:t>
      </w:r>
      <w:r w:rsidR="009E4A2E" w:rsidRPr="006331A2">
        <w:t xml:space="preserve">% </w:t>
      </w:r>
      <w:r w:rsidRPr="006331A2">
        <w:t>from the 2</w:t>
      </w:r>
      <w:r w:rsidRPr="006331A2">
        <w:rPr>
          <w:vertAlign w:val="superscript"/>
        </w:rPr>
        <w:t>nd</w:t>
      </w:r>
      <w:r w:rsidRPr="006331A2">
        <w:t xml:space="preserve"> </w:t>
      </w:r>
      <w:r w:rsidR="009E4A2E" w:rsidRPr="006331A2">
        <w:t>quarter</w:t>
      </w:r>
      <w:r w:rsidR="001C1070" w:rsidRPr="006331A2">
        <w:t>.</w:t>
      </w:r>
      <w:r w:rsidR="008636F9">
        <w:t xml:space="preserve"> </w:t>
      </w:r>
      <w:r w:rsidR="00FA283E">
        <w:t>M</w:t>
      </w:r>
      <w:r w:rsidR="006619DC">
        <w:t>uch of the gain occurred in July, as automobile and auto</w:t>
      </w:r>
      <w:r w:rsidR="008E1296">
        <w:t xml:space="preserve"> parts</w:t>
      </w:r>
      <w:r w:rsidR="006619DC">
        <w:t xml:space="preserve"> rebounded after Spring shutdowns and rising temps boosted demand for energy</w:t>
      </w:r>
      <w:r w:rsidR="008E1296">
        <w:t>.</w:t>
      </w:r>
      <w:r w:rsidR="0041138E">
        <w:t xml:space="preserve"> </w:t>
      </w:r>
      <w:r w:rsidR="00FA283E">
        <w:t>T</w:t>
      </w:r>
      <w:r w:rsidR="001A6C86">
        <w:t>he</w:t>
      </w:r>
      <w:r w:rsidR="00332197">
        <w:t xml:space="preserve"> Industrial Production Index </w:t>
      </w:r>
      <w:r w:rsidR="006619DC">
        <w:t>softened later in the 3</w:t>
      </w:r>
      <w:r w:rsidR="006619DC" w:rsidRPr="006619DC">
        <w:rPr>
          <w:vertAlign w:val="superscript"/>
        </w:rPr>
        <w:t>rd</w:t>
      </w:r>
      <w:r w:rsidR="006619DC">
        <w:t xml:space="preserve"> quarter, decreasing 0.6% in the month of September</w:t>
      </w:r>
      <w:r w:rsidR="00BB226D">
        <w:t xml:space="preserve"> 2020</w:t>
      </w:r>
      <w:r w:rsidR="00E528F9">
        <w:t xml:space="preserve">. The index </w:t>
      </w:r>
      <w:r w:rsidR="00BB226D">
        <w:t>remained</w:t>
      </w:r>
      <w:r w:rsidR="00FA283E">
        <w:t xml:space="preserve"> </w:t>
      </w:r>
      <w:r w:rsidR="00BB226D">
        <w:t>7.3</w:t>
      </w:r>
      <w:r w:rsidR="00FA283E">
        <w:t>% lower</w:t>
      </w:r>
      <w:r w:rsidR="00332197">
        <w:t xml:space="preserve"> </w:t>
      </w:r>
      <w:r w:rsidR="00BB226D">
        <w:t>than in September 2019</w:t>
      </w:r>
      <w:r w:rsidR="00332197">
        <w:t>.</w:t>
      </w:r>
    </w:p>
    <w:p w14:paraId="149D5F1F" w14:textId="37E9E0D0" w:rsidR="00172307" w:rsidRDefault="0015037B" w:rsidP="00BA7A2C">
      <w:pPr>
        <w:jc w:val="center"/>
      </w:pPr>
      <w:r>
        <w:rPr>
          <w:noProof/>
        </w:rPr>
        <w:drawing>
          <wp:inline distT="0" distB="0" distL="0" distR="0" wp14:anchorId="623F8032" wp14:editId="3DEC93AB">
            <wp:extent cx="3816350" cy="2737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49D5F20" w14:textId="72147876" w:rsidR="00005111" w:rsidRPr="005261C1" w:rsidRDefault="00005111" w:rsidP="005261C1">
      <w:pPr>
        <w:pStyle w:val="Heading1"/>
      </w:pPr>
      <w:r w:rsidRPr="005261C1">
        <w:lastRenderedPageBreak/>
        <w:t>Interest Rates</w:t>
      </w:r>
    </w:p>
    <w:p w14:paraId="472CBB47" w14:textId="0A368612" w:rsidR="00A96A6A" w:rsidRPr="00AE64EF" w:rsidRDefault="008E1296" w:rsidP="00005111">
      <w:pPr>
        <w:rPr>
          <w:color w:val="000000" w:themeColor="text1"/>
        </w:rPr>
      </w:pPr>
      <w:r>
        <w:t>Short- and l</w:t>
      </w:r>
      <w:r w:rsidR="00022BB4">
        <w:t>ong-term treasury bond yields</w:t>
      </w:r>
      <w:r w:rsidR="00B65667">
        <w:rPr>
          <w:rStyle w:val="FootnoteReference"/>
        </w:rPr>
        <w:footnoteReference w:id="7"/>
      </w:r>
      <w:r w:rsidR="00022BB4">
        <w:t xml:space="preserve"> </w:t>
      </w:r>
      <w:r w:rsidR="006E6EAA">
        <w:t>remained near historic lows</w:t>
      </w:r>
      <w:r>
        <w:t xml:space="preserve"> </w:t>
      </w:r>
      <w:r w:rsidR="00E528F9">
        <w:t>throughout</w:t>
      </w:r>
      <w:r>
        <w:t xml:space="preserve"> the </w:t>
      </w:r>
      <w:r w:rsidR="006E6EAA">
        <w:t>3</w:t>
      </w:r>
      <w:r w:rsidR="006E6EAA" w:rsidRPr="006E6EAA">
        <w:rPr>
          <w:vertAlign w:val="superscript"/>
        </w:rPr>
        <w:t>rd</w:t>
      </w:r>
      <w:r w:rsidR="006E6EAA">
        <w:t xml:space="preserve"> </w:t>
      </w:r>
      <w:r>
        <w:t>quarter of 2020</w:t>
      </w:r>
      <w:r w:rsidR="0009699C">
        <w:t>,</w:t>
      </w:r>
      <w:r w:rsidR="005E7A94">
        <w:t xml:space="preserve"> </w:t>
      </w:r>
      <w:r w:rsidR="00B524BD">
        <w:t xml:space="preserve">as </w:t>
      </w:r>
      <w:r w:rsidR="00AA236F">
        <w:t xml:space="preserve">weak economic data </w:t>
      </w:r>
      <w:r w:rsidR="006331A2">
        <w:t>were</w:t>
      </w:r>
      <w:r w:rsidR="00385105">
        <w:t xml:space="preserve"> </w:t>
      </w:r>
      <w:proofErr w:type="gramStart"/>
      <w:r w:rsidR="00385105">
        <w:t>released</w:t>
      </w:r>
      <w:proofErr w:type="gramEnd"/>
      <w:r w:rsidR="00AA236F">
        <w:t xml:space="preserve"> and stimulus talks stalled in the U.S. capitol</w:t>
      </w:r>
      <w:r w:rsidR="00022BB4">
        <w:t xml:space="preserve">. </w:t>
      </w:r>
      <w:r w:rsidR="005E7A94">
        <w:t xml:space="preserve">The 1-year and 2-year annual treasury yields </w:t>
      </w:r>
      <w:r w:rsidR="00B65667">
        <w:t>ended the quarter</w:t>
      </w:r>
      <w:r w:rsidR="005E7A94">
        <w:t xml:space="preserve"> at </w:t>
      </w:r>
      <w:r w:rsidR="00B65667">
        <w:t>0.</w:t>
      </w:r>
      <w:r w:rsidR="00B34926">
        <w:t>1</w:t>
      </w:r>
      <w:r w:rsidR="006E6EAA">
        <w:t>2</w:t>
      </w:r>
      <w:r w:rsidR="005E7A94">
        <w:t>%</w:t>
      </w:r>
      <w:r w:rsidR="006E6EAA">
        <w:t xml:space="preserve"> and 0.13%, respectively</w:t>
      </w:r>
      <w:r w:rsidR="005E7A94">
        <w:t>. T</w:t>
      </w:r>
      <w:r w:rsidR="0061080D" w:rsidRPr="0005726F">
        <w:t xml:space="preserve">he </w:t>
      </w:r>
      <w:r w:rsidR="005E7A94">
        <w:t xml:space="preserve">benchmark </w:t>
      </w:r>
      <w:r w:rsidR="00022BB4">
        <w:t>1</w:t>
      </w:r>
      <w:r w:rsidR="0061080D" w:rsidRPr="0005726F">
        <w:t xml:space="preserve">0-year treasury </w:t>
      </w:r>
      <w:r w:rsidR="005E7A94">
        <w:t>yielded</w:t>
      </w:r>
      <w:r w:rsidR="0061080D" w:rsidRPr="0005726F">
        <w:t xml:space="preserve"> </w:t>
      </w:r>
      <w:r w:rsidR="00B65667">
        <w:t>0.</w:t>
      </w:r>
      <w:r w:rsidR="00B34926">
        <w:t>6</w:t>
      </w:r>
      <w:r w:rsidR="006E6EAA">
        <w:t>9</w:t>
      </w:r>
      <w:r w:rsidR="0061080D" w:rsidRPr="0005726F">
        <w:t>%</w:t>
      </w:r>
      <w:r w:rsidR="005E7A94">
        <w:t xml:space="preserve"> annually at the</w:t>
      </w:r>
      <w:r w:rsidR="00B65667">
        <w:t xml:space="preserve"> end of </w:t>
      </w:r>
      <w:r w:rsidR="006E6EAA">
        <w:t>September</w:t>
      </w:r>
      <w:r w:rsidR="00B65667">
        <w:t xml:space="preserve"> 2020</w:t>
      </w:r>
      <w:r w:rsidR="005E7A94">
        <w:t xml:space="preserve">, while </w:t>
      </w:r>
      <w:r w:rsidR="00D851AB" w:rsidRPr="0005726F">
        <w:t xml:space="preserve">the </w:t>
      </w:r>
      <w:r w:rsidR="00022BB4">
        <w:t>3</w:t>
      </w:r>
      <w:r w:rsidR="00D851AB" w:rsidRPr="0005726F">
        <w:t xml:space="preserve">0-year treasury </w:t>
      </w:r>
      <w:r w:rsidR="00B65667">
        <w:t>yielded</w:t>
      </w:r>
      <w:r w:rsidR="00D851AB" w:rsidRPr="0005726F">
        <w:t xml:space="preserve"> </w:t>
      </w:r>
      <w:r w:rsidR="00B65667">
        <w:t>1.</w:t>
      </w:r>
      <w:r w:rsidR="00B34926">
        <w:t>4</w:t>
      </w:r>
      <w:r w:rsidR="006E6EAA">
        <w:t>6</w:t>
      </w:r>
      <w:r w:rsidR="00D851AB" w:rsidRPr="0005726F">
        <w:t>%</w:t>
      </w:r>
      <w:r w:rsidR="00AE64EF" w:rsidRPr="007807DE">
        <w:rPr>
          <w:color w:val="000000" w:themeColor="text1"/>
        </w:rPr>
        <w:t>.</w:t>
      </w:r>
    </w:p>
    <w:p w14:paraId="0614E8BB" w14:textId="2816384F" w:rsidR="004D1C9D" w:rsidRDefault="008E1296" w:rsidP="005117CA">
      <w:pPr>
        <w:jc w:val="center"/>
      </w:pPr>
      <w:r>
        <w:rPr>
          <w:noProof/>
        </w:rPr>
        <w:t xml:space="preserve"> </w:t>
      </w:r>
      <w:r w:rsidR="0015037B">
        <w:rPr>
          <w:noProof/>
        </w:rPr>
        <w:drawing>
          <wp:inline distT="0" distB="0" distL="0" distR="0" wp14:anchorId="11A83001" wp14:editId="50715D54">
            <wp:extent cx="3493135" cy="2755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2755900"/>
                    </a:xfrm>
                    <a:prstGeom prst="rect">
                      <a:avLst/>
                    </a:prstGeom>
                    <a:noFill/>
                  </pic:spPr>
                </pic:pic>
              </a:graphicData>
            </a:graphic>
          </wp:inline>
        </w:drawing>
      </w:r>
    </w:p>
    <w:p w14:paraId="031CA932" w14:textId="036C2956" w:rsidR="00B00681" w:rsidRDefault="00171C8E" w:rsidP="00005111">
      <w:r w:rsidRPr="004709B0">
        <w:t xml:space="preserve">In </w:t>
      </w:r>
      <w:r w:rsidR="00B34926">
        <w:t xml:space="preserve">the </w:t>
      </w:r>
      <w:r w:rsidR="00AA236F">
        <w:t>3</w:t>
      </w:r>
      <w:r w:rsidR="00AA236F" w:rsidRPr="00AA236F">
        <w:rPr>
          <w:vertAlign w:val="superscript"/>
        </w:rPr>
        <w:t>rd</w:t>
      </w:r>
      <w:r w:rsidR="00AA236F">
        <w:t xml:space="preserve"> </w:t>
      </w:r>
      <w:r w:rsidR="00B34926">
        <w:t>quarter of 2020</w:t>
      </w:r>
      <w:r w:rsidR="00FE4D42">
        <w:t>,</w:t>
      </w:r>
      <w:r w:rsidRPr="004709B0">
        <w:t xml:space="preserve"> the Federal Reserve </w:t>
      </w:r>
      <w:r w:rsidR="00BA1CC0">
        <w:t>kept</w:t>
      </w:r>
      <w:r w:rsidR="003376CD" w:rsidRPr="004709B0">
        <w:t xml:space="preserve"> </w:t>
      </w:r>
      <w:r w:rsidR="00D851AB" w:rsidRPr="004709B0">
        <w:t>the federal funds target rate</w:t>
      </w:r>
      <w:r w:rsidR="00740863">
        <w:t xml:space="preserve"> </w:t>
      </w:r>
      <w:r w:rsidR="00B34926">
        <w:t>steady at</w:t>
      </w:r>
      <w:r w:rsidR="004709B0" w:rsidRPr="004709B0">
        <w:t xml:space="preserve"> </w:t>
      </w:r>
      <w:r w:rsidR="00624AEF">
        <w:t xml:space="preserve">a range of </w:t>
      </w:r>
      <w:r w:rsidR="00B65667">
        <w:t>0.0</w:t>
      </w:r>
      <w:r w:rsidR="005E7A94">
        <w:t>0</w:t>
      </w:r>
      <w:r w:rsidR="00624AEF">
        <w:t xml:space="preserve"> to </w:t>
      </w:r>
      <w:r w:rsidR="00B65667">
        <w:t>0.2</w:t>
      </w:r>
      <w:r w:rsidR="005E7A94">
        <w:t>5</w:t>
      </w:r>
      <w:r w:rsidR="004709B0" w:rsidRPr="004709B0">
        <w:t xml:space="preserve"> percent</w:t>
      </w:r>
      <w:r w:rsidR="00BA1CC0">
        <w:t xml:space="preserve">, pledging to hold that rate until </w:t>
      </w:r>
      <w:r w:rsidR="00AA236F">
        <w:t xml:space="preserve">U.S. inflation </w:t>
      </w:r>
      <w:r w:rsidR="006B792C">
        <w:t>is</w:t>
      </w:r>
      <w:r w:rsidR="00AA236F">
        <w:t xml:space="preserve"> consistently</w:t>
      </w:r>
      <w:r w:rsidR="006B792C">
        <w:t xml:space="preserve"> rising above the Fed’s goals</w:t>
      </w:r>
      <w:r w:rsidR="000B0583">
        <w:t xml:space="preserve">. </w:t>
      </w:r>
      <w:r w:rsidR="003F5061">
        <w:t>The effective federal funds rate</w:t>
      </w:r>
      <w:r w:rsidR="003F5061">
        <w:rPr>
          <w:rStyle w:val="FootnoteReference"/>
        </w:rPr>
        <w:footnoteReference w:id="8"/>
      </w:r>
      <w:r w:rsidR="003F5061">
        <w:t xml:space="preserve"> as of </w:t>
      </w:r>
      <w:r w:rsidR="006B792C">
        <w:t>September</w:t>
      </w:r>
      <w:r w:rsidR="00BA1CC0">
        <w:t xml:space="preserve"> </w:t>
      </w:r>
      <w:r w:rsidR="00B00E83">
        <w:t>wa</w:t>
      </w:r>
      <w:r w:rsidR="003F5061">
        <w:t xml:space="preserve">s </w:t>
      </w:r>
      <w:r w:rsidR="00955094">
        <w:t>0.</w:t>
      </w:r>
      <w:r w:rsidR="00BA1CC0">
        <w:t>0</w:t>
      </w:r>
      <w:r w:rsidR="006B792C">
        <w:t>9</w:t>
      </w:r>
      <w:r w:rsidR="003F5061">
        <w:t>%.</w:t>
      </w:r>
    </w:p>
    <w:p w14:paraId="515AD2F7" w14:textId="07D04D41" w:rsidR="004D1C9D" w:rsidRDefault="00B61DE8" w:rsidP="00166C08">
      <w:pPr>
        <w:jc w:val="center"/>
      </w:pPr>
      <w:r>
        <w:rPr>
          <w:noProof/>
        </w:rPr>
        <w:lastRenderedPageBreak/>
        <w:drawing>
          <wp:inline distT="0" distB="0" distL="0" distR="0" wp14:anchorId="566F7E2F" wp14:editId="1C2663D3">
            <wp:extent cx="3493135" cy="274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7D026DBE" w14:textId="460FDB20" w:rsidR="004D1C9D" w:rsidRDefault="005117CA" w:rsidP="005261C1">
      <w:r>
        <w:t>T</w:t>
      </w:r>
      <w:r w:rsidR="002978F9" w:rsidRPr="003376CD">
        <w:t xml:space="preserve">he yield on the </w:t>
      </w:r>
      <w:r w:rsidR="0039196F">
        <w:t xml:space="preserve">benchmark </w:t>
      </w:r>
      <w:r w:rsidR="002978F9" w:rsidRPr="003376CD">
        <w:t>10-year U.S. treasury</w:t>
      </w:r>
      <w:r w:rsidR="004759DB">
        <w:rPr>
          <w:rStyle w:val="FootnoteReference"/>
        </w:rPr>
        <w:footnoteReference w:id="9"/>
      </w:r>
      <w:r w:rsidR="002978F9" w:rsidRPr="003376CD">
        <w:t xml:space="preserve"> </w:t>
      </w:r>
      <w:r w:rsidR="006B792C">
        <w:t>rose</w:t>
      </w:r>
      <w:r w:rsidR="00D22D6A">
        <w:t xml:space="preserve"> 0.0</w:t>
      </w:r>
      <w:r w:rsidR="006B792C">
        <w:t>3</w:t>
      </w:r>
      <w:r>
        <w:t xml:space="preserve"> percentage points </w:t>
      </w:r>
      <w:r w:rsidR="00D22D6A">
        <w:t xml:space="preserve">during the </w:t>
      </w:r>
      <w:r w:rsidR="006B792C">
        <w:t>3</w:t>
      </w:r>
      <w:r w:rsidR="006B792C" w:rsidRPr="006B792C">
        <w:rPr>
          <w:vertAlign w:val="superscript"/>
        </w:rPr>
        <w:t>rd</w:t>
      </w:r>
      <w:r w:rsidR="006B792C">
        <w:t xml:space="preserve"> </w:t>
      </w:r>
      <w:r>
        <w:t>quarter</w:t>
      </w:r>
      <w:r w:rsidR="00B00E83">
        <w:t xml:space="preserve"> </w:t>
      </w:r>
      <w:r w:rsidR="000B0583">
        <w:t xml:space="preserve">to end </w:t>
      </w:r>
      <w:r w:rsidR="006B792C">
        <w:t>September</w:t>
      </w:r>
      <w:r w:rsidR="00CA112C">
        <w:t xml:space="preserve"> </w:t>
      </w:r>
      <w:r w:rsidR="00BF0B27">
        <w:t xml:space="preserve">2020 </w:t>
      </w:r>
      <w:r w:rsidR="00CA112C">
        <w:t xml:space="preserve">at </w:t>
      </w:r>
      <w:r w:rsidR="00955094">
        <w:t>0.</w:t>
      </w:r>
      <w:r w:rsidR="00D22D6A">
        <w:t>6</w:t>
      </w:r>
      <w:r w:rsidR="006B792C">
        <w:t>9</w:t>
      </w:r>
      <w:r w:rsidR="00CA112C">
        <w:t>%</w:t>
      </w:r>
      <w:r w:rsidR="00D22D6A">
        <w:t xml:space="preserve">, well </w:t>
      </w:r>
      <w:r w:rsidR="00071875" w:rsidRPr="003376CD">
        <w:t xml:space="preserve">below the average yield of </w:t>
      </w:r>
      <w:r w:rsidR="003376CD" w:rsidRPr="003376CD">
        <w:t>4.</w:t>
      </w:r>
      <w:r w:rsidR="00D22D6A">
        <w:t>3</w:t>
      </w:r>
      <w:r w:rsidR="006B792C">
        <w:t>2</w:t>
      </w:r>
      <w:r w:rsidR="004965CE" w:rsidRPr="003376CD">
        <w:t>% over the last 30 years</w:t>
      </w:r>
      <w:r w:rsidR="00CA112C">
        <w:t xml:space="preserve"> and</w:t>
      </w:r>
      <w:r w:rsidR="000874E3" w:rsidRPr="003376CD">
        <w:t xml:space="preserve"> the </w:t>
      </w:r>
      <w:r w:rsidR="006B792C">
        <w:t>1.68</w:t>
      </w:r>
      <w:r w:rsidR="000874E3" w:rsidRPr="003376CD">
        <w:t xml:space="preserve">% </w:t>
      </w:r>
      <w:r w:rsidR="0016688A" w:rsidRPr="003376CD">
        <w:t xml:space="preserve">yield </w:t>
      </w:r>
      <w:r w:rsidR="00C9379B">
        <w:t xml:space="preserve">from </w:t>
      </w:r>
      <w:r w:rsidR="00F3628D">
        <w:t>the same period last year</w:t>
      </w:r>
      <w:r w:rsidR="00CB629F" w:rsidRPr="003376CD">
        <w:t>.</w:t>
      </w:r>
    </w:p>
    <w:p w14:paraId="67433862" w14:textId="2E04922E" w:rsidR="004D1C9D" w:rsidRDefault="0015037B" w:rsidP="005117CA">
      <w:pPr>
        <w:jc w:val="center"/>
      </w:pPr>
      <w:r>
        <w:rPr>
          <w:noProof/>
        </w:rPr>
        <w:drawing>
          <wp:inline distT="0" distB="0" distL="0" distR="0" wp14:anchorId="5F036F06" wp14:editId="64CD2B57">
            <wp:extent cx="3499485" cy="274955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9485" cy="2749550"/>
                    </a:xfrm>
                    <a:prstGeom prst="rect">
                      <a:avLst/>
                    </a:prstGeom>
                    <a:noFill/>
                  </pic:spPr>
                </pic:pic>
              </a:graphicData>
            </a:graphic>
          </wp:inline>
        </w:drawing>
      </w:r>
    </w:p>
    <w:p w14:paraId="62B8B6AA" w14:textId="5520414F" w:rsidR="00A96A6A" w:rsidRDefault="00F02B3A" w:rsidP="00460436">
      <w:r w:rsidRPr="007E5B14">
        <w:t xml:space="preserve">Corporate bond yields </w:t>
      </w:r>
      <w:r w:rsidR="006B792C">
        <w:t>declined</w:t>
      </w:r>
      <w:r w:rsidR="00D22D6A">
        <w:t xml:space="preserve"> </w:t>
      </w:r>
      <w:r w:rsidR="006B792C">
        <w:t>in</w:t>
      </w:r>
      <w:r w:rsidRPr="007E5B14">
        <w:t xml:space="preserve"> th</w:t>
      </w:r>
      <w:r w:rsidR="00D22D6A">
        <w:t>e</w:t>
      </w:r>
      <w:r w:rsidRPr="007E5B14">
        <w:t xml:space="preserve"> </w:t>
      </w:r>
      <w:r w:rsidR="006B792C">
        <w:t>3</w:t>
      </w:r>
      <w:r w:rsidR="006B792C" w:rsidRPr="006B792C">
        <w:rPr>
          <w:vertAlign w:val="superscript"/>
        </w:rPr>
        <w:t>rd</w:t>
      </w:r>
      <w:r w:rsidR="006B792C">
        <w:t xml:space="preserve"> </w:t>
      </w:r>
      <w:r w:rsidRPr="007E5B14">
        <w:t>quarter</w:t>
      </w:r>
      <w:r w:rsidR="00BF0B27">
        <w:t xml:space="preserve"> of 2020</w:t>
      </w:r>
      <w:r w:rsidRPr="007E5B14">
        <w:t>, with the Moody’s Baa Corpor</w:t>
      </w:r>
      <w:r w:rsidR="00102080" w:rsidRPr="007E5B14">
        <w:t xml:space="preserve">ate Bond Yield </w:t>
      </w:r>
      <w:r w:rsidR="004E3393" w:rsidRPr="007E5B14">
        <w:t>Index</w:t>
      </w:r>
      <w:r w:rsidR="004E5EC0">
        <w:rPr>
          <w:rStyle w:val="FootnoteReference"/>
        </w:rPr>
        <w:footnoteReference w:id="10"/>
      </w:r>
      <w:r w:rsidR="004E3393" w:rsidRPr="007E5B14">
        <w:t xml:space="preserve"> </w:t>
      </w:r>
      <w:r w:rsidR="00102080" w:rsidRPr="007E5B14">
        <w:t>ending the quarter</w:t>
      </w:r>
      <w:r w:rsidRPr="007E5B14">
        <w:t xml:space="preserve"> at </w:t>
      </w:r>
      <w:r w:rsidR="00D22D6A">
        <w:t>3.</w:t>
      </w:r>
      <w:r w:rsidR="006B792C">
        <w:t>36</w:t>
      </w:r>
      <w:r w:rsidR="004965CE" w:rsidRPr="007E5B14">
        <w:t xml:space="preserve">% compared to </w:t>
      </w:r>
      <w:r w:rsidR="006B792C">
        <w:t>3.64</w:t>
      </w:r>
      <w:r w:rsidRPr="007E5B14">
        <w:t xml:space="preserve">% for the </w:t>
      </w:r>
      <w:r w:rsidR="006B792C">
        <w:t>2</w:t>
      </w:r>
      <w:r w:rsidR="006B792C" w:rsidRPr="006B792C">
        <w:rPr>
          <w:vertAlign w:val="superscript"/>
        </w:rPr>
        <w:t>nd</w:t>
      </w:r>
      <w:r w:rsidR="006B792C">
        <w:t xml:space="preserve"> </w:t>
      </w:r>
      <w:r w:rsidRPr="007E5B14">
        <w:t>quarter</w:t>
      </w:r>
      <w:r w:rsidR="00823E2B">
        <w:t xml:space="preserve">. </w:t>
      </w:r>
      <w:r w:rsidR="006B792C">
        <w:t>The 3</w:t>
      </w:r>
      <w:r w:rsidR="006B792C" w:rsidRPr="006B792C">
        <w:rPr>
          <w:vertAlign w:val="superscript"/>
        </w:rPr>
        <w:t>rd</w:t>
      </w:r>
      <w:r w:rsidR="006B792C">
        <w:t xml:space="preserve"> quarter rate </w:t>
      </w:r>
      <w:r w:rsidR="00550C7C">
        <w:t>is lower than the</w:t>
      </w:r>
      <w:r w:rsidR="00285F67">
        <w:t xml:space="preserve"> </w:t>
      </w:r>
      <w:r w:rsidR="006B792C">
        <w:t>3.91</w:t>
      </w:r>
      <w:r w:rsidR="00CD40BC">
        <w:t xml:space="preserve">% yield from the </w:t>
      </w:r>
      <w:r w:rsidR="00CD40BC" w:rsidRPr="007E5B14">
        <w:t>same period last year</w:t>
      </w:r>
      <w:r w:rsidR="00323C75">
        <w:t>, as well as its 30-year average yield of 6.71%</w:t>
      </w:r>
      <w:r w:rsidRPr="00AF6040">
        <w:t>.</w:t>
      </w:r>
    </w:p>
    <w:p w14:paraId="7CE57D35" w14:textId="61D10024" w:rsidR="005117CA" w:rsidRDefault="00B61DE8" w:rsidP="005117CA">
      <w:pPr>
        <w:jc w:val="center"/>
      </w:pPr>
      <w:r>
        <w:rPr>
          <w:noProof/>
        </w:rPr>
        <w:lastRenderedPageBreak/>
        <w:drawing>
          <wp:inline distT="0" distB="0" distL="0" distR="0" wp14:anchorId="07FA8EF0" wp14:editId="6B922CE3">
            <wp:extent cx="3493135"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2F" w14:textId="479C442E" w:rsidR="00005111" w:rsidRDefault="00005111" w:rsidP="005261C1">
      <w:pPr>
        <w:pStyle w:val="Heading1"/>
      </w:pPr>
      <w:r>
        <w:t>Employment</w:t>
      </w:r>
    </w:p>
    <w:p w14:paraId="149D5F31" w14:textId="6CC582A4" w:rsidR="00C05052" w:rsidRPr="00D74F6D" w:rsidRDefault="00D839AA" w:rsidP="00B84330">
      <w:pPr>
        <w:rPr>
          <w:color w:val="000000" w:themeColor="text1"/>
        </w:rPr>
      </w:pPr>
      <w:r>
        <w:t>T</w:t>
      </w:r>
      <w:r w:rsidR="00D03F0F">
        <w:t xml:space="preserve">he </w:t>
      </w:r>
      <w:r w:rsidR="00F24605">
        <w:t>U</w:t>
      </w:r>
      <w:r w:rsidR="00BC00A7">
        <w:t>.</w:t>
      </w:r>
      <w:r w:rsidR="00F24605">
        <w:t>S</w:t>
      </w:r>
      <w:r w:rsidR="00BC00A7">
        <w:t>.</w:t>
      </w:r>
      <w:r w:rsidR="00F24605">
        <w:t xml:space="preserve"> </w:t>
      </w:r>
      <w:r w:rsidR="00D74F6D">
        <w:t>unemployment rate</w:t>
      </w:r>
      <w:r w:rsidR="00D03F0F">
        <w:t xml:space="preserve"> </w:t>
      </w:r>
      <w:r w:rsidR="00323C75">
        <w:t>continued its decline throughout the 3</w:t>
      </w:r>
      <w:r w:rsidR="00323C75" w:rsidRPr="00323C75">
        <w:rPr>
          <w:vertAlign w:val="superscript"/>
        </w:rPr>
        <w:t>rd</w:t>
      </w:r>
      <w:r w:rsidR="00323C75">
        <w:t xml:space="preserve"> quarter yet remained well above pre-pandemic levels</w:t>
      </w:r>
      <w:r w:rsidR="00105413">
        <w:rPr>
          <w:color w:val="000000" w:themeColor="text1"/>
        </w:rPr>
        <w:t xml:space="preserve">. </w:t>
      </w:r>
      <w:r w:rsidR="00323C75">
        <w:rPr>
          <w:color w:val="000000" w:themeColor="text1"/>
        </w:rPr>
        <w:t xml:space="preserve">Similarly, </w:t>
      </w:r>
      <w:r w:rsidR="00BF0B27">
        <w:rPr>
          <w:color w:val="000000" w:themeColor="text1"/>
        </w:rPr>
        <w:t xml:space="preserve">while </w:t>
      </w:r>
      <w:r w:rsidR="00323C75">
        <w:rPr>
          <w:color w:val="000000" w:themeColor="text1"/>
        </w:rPr>
        <w:t>the</w:t>
      </w:r>
      <w:r w:rsidR="001E15B0">
        <w:rPr>
          <w:color w:val="000000" w:themeColor="text1"/>
        </w:rPr>
        <w:t xml:space="preserve"> U.S. </w:t>
      </w:r>
      <w:r w:rsidR="00323C75">
        <w:rPr>
          <w:color w:val="000000" w:themeColor="text1"/>
        </w:rPr>
        <w:t>regained</w:t>
      </w:r>
      <w:r w:rsidR="001E15B0">
        <w:rPr>
          <w:color w:val="000000" w:themeColor="text1"/>
        </w:rPr>
        <w:t xml:space="preserve"> </w:t>
      </w:r>
      <w:r w:rsidR="00323C75">
        <w:rPr>
          <w:color w:val="000000" w:themeColor="text1"/>
        </w:rPr>
        <w:t>3.9</w:t>
      </w:r>
      <w:r w:rsidR="001E15B0">
        <w:rPr>
          <w:color w:val="000000" w:themeColor="text1"/>
        </w:rPr>
        <w:t xml:space="preserve"> million jobs </w:t>
      </w:r>
      <w:r w:rsidR="00323C75">
        <w:rPr>
          <w:color w:val="000000" w:themeColor="text1"/>
        </w:rPr>
        <w:t>during</w:t>
      </w:r>
      <w:r w:rsidR="00D31166">
        <w:rPr>
          <w:color w:val="000000" w:themeColor="text1"/>
        </w:rPr>
        <w:t xml:space="preserve"> the </w:t>
      </w:r>
      <w:r w:rsidR="00323C75">
        <w:rPr>
          <w:color w:val="000000" w:themeColor="text1"/>
        </w:rPr>
        <w:t>3</w:t>
      </w:r>
      <w:r w:rsidR="00323C75" w:rsidRPr="00323C75">
        <w:rPr>
          <w:color w:val="000000" w:themeColor="text1"/>
          <w:vertAlign w:val="superscript"/>
        </w:rPr>
        <w:t>rd</w:t>
      </w:r>
      <w:r w:rsidR="00323C75">
        <w:rPr>
          <w:color w:val="000000" w:themeColor="text1"/>
        </w:rPr>
        <w:t xml:space="preserve"> </w:t>
      </w:r>
      <w:r w:rsidR="00D31166">
        <w:rPr>
          <w:color w:val="000000" w:themeColor="text1"/>
        </w:rPr>
        <w:t>quarter</w:t>
      </w:r>
      <w:r w:rsidR="00BF0B27">
        <w:rPr>
          <w:color w:val="000000" w:themeColor="text1"/>
        </w:rPr>
        <w:t>,</w:t>
      </w:r>
      <w:r w:rsidR="00323C75">
        <w:rPr>
          <w:color w:val="000000" w:themeColor="text1"/>
        </w:rPr>
        <w:t xml:space="preserve"> </w:t>
      </w:r>
      <w:r w:rsidR="001E15B0">
        <w:rPr>
          <w:color w:val="000000" w:themeColor="text1"/>
        </w:rPr>
        <w:t>t</w:t>
      </w:r>
      <w:r w:rsidR="00102080" w:rsidRPr="00865CE8">
        <w:rPr>
          <w:color w:val="000000" w:themeColor="text1"/>
        </w:rPr>
        <w:t xml:space="preserve">otal </w:t>
      </w:r>
      <w:r w:rsidR="00DB663A" w:rsidRPr="00D74F6D">
        <w:rPr>
          <w:color w:val="000000" w:themeColor="text1"/>
        </w:rPr>
        <w:t>nonfarm payrolls</w:t>
      </w:r>
      <w:r w:rsidR="0052077C" w:rsidRPr="00D74F6D">
        <w:rPr>
          <w:rStyle w:val="FootnoteReference"/>
          <w:color w:val="000000" w:themeColor="text1"/>
        </w:rPr>
        <w:footnoteReference w:id="11"/>
      </w:r>
      <w:r w:rsidR="00DB663A" w:rsidRPr="00D74F6D">
        <w:rPr>
          <w:color w:val="000000" w:themeColor="text1"/>
        </w:rPr>
        <w:t xml:space="preserve"> </w:t>
      </w:r>
      <w:r w:rsidR="00BF0B27">
        <w:rPr>
          <w:color w:val="000000" w:themeColor="text1"/>
        </w:rPr>
        <w:t>in September 2020 were still</w:t>
      </w:r>
      <w:r w:rsidR="00323C75">
        <w:rPr>
          <w:color w:val="000000" w:themeColor="text1"/>
        </w:rPr>
        <w:t xml:space="preserve"> more than 10 million jobs below pre-pandemic levels</w:t>
      </w:r>
      <w:r w:rsidR="00572F03">
        <w:rPr>
          <w:color w:val="000000" w:themeColor="text1"/>
        </w:rPr>
        <w:t xml:space="preserve">. </w:t>
      </w:r>
      <w:r w:rsidR="00F70A8F">
        <w:rPr>
          <w:color w:val="000000" w:themeColor="text1"/>
        </w:rPr>
        <w:t xml:space="preserve">The largest </w:t>
      </w:r>
      <w:r w:rsidR="00162E77">
        <w:rPr>
          <w:color w:val="000000" w:themeColor="text1"/>
        </w:rPr>
        <w:t>3</w:t>
      </w:r>
      <w:r w:rsidR="00162E77" w:rsidRPr="00162E77">
        <w:rPr>
          <w:color w:val="000000" w:themeColor="text1"/>
          <w:vertAlign w:val="superscript"/>
        </w:rPr>
        <w:t>rd</w:t>
      </w:r>
      <w:r w:rsidR="00162E77">
        <w:rPr>
          <w:color w:val="000000" w:themeColor="text1"/>
        </w:rPr>
        <w:t xml:space="preserve">-quarter payroll </w:t>
      </w:r>
      <w:r w:rsidR="00BF0B27">
        <w:rPr>
          <w:color w:val="000000" w:themeColor="text1"/>
        </w:rPr>
        <w:t>increases</w:t>
      </w:r>
      <w:r w:rsidR="00F70A8F">
        <w:rPr>
          <w:color w:val="000000" w:themeColor="text1"/>
        </w:rPr>
        <w:t xml:space="preserve"> were in leisure &amp; hospitality, especially eating &amp; drinking places; </w:t>
      </w:r>
      <w:r w:rsidR="00162E77">
        <w:rPr>
          <w:color w:val="000000" w:themeColor="text1"/>
        </w:rPr>
        <w:t xml:space="preserve">retail trade; and </w:t>
      </w:r>
      <w:r w:rsidR="00F70A8F">
        <w:rPr>
          <w:color w:val="000000" w:themeColor="text1"/>
        </w:rPr>
        <w:t>health care</w:t>
      </w:r>
      <w:r w:rsidR="00CD40BC">
        <w:rPr>
          <w:color w:val="000000" w:themeColor="text1"/>
        </w:rPr>
        <w:t xml:space="preserve"> and social assistance</w:t>
      </w:r>
      <w:r w:rsidR="003E18DF">
        <w:rPr>
          <w:color w:val="000000" w:themeColor="text1"/>
        </w:rPr>
        <w:t xml:space="preserve">. </w:t>
      </w:r>
      <w:r w:rsidR="00572F03">
        <w:rPr>
          <w:color w:val="000000" w:themeColor="text1"/>
        </w:rPr>
        <w:t xml:space="preserve">Payrolls </w:t>
      </w:r>
      <w:r w:rsidR="00BF0B27">
        <w:rPr>
          <w:color w:val="000000" w:themeColor="text1"/>
        </w:rPr>
        <w:t>grew</w:t>
      </w:r>
      <w:r w:rsidR="00BE1260">
        <w:rPr>
          <w:color w:val="000000" w:themeColor="text1"/>
        </w:rPr>
        <w:t xml:space="preserve"> </w:t>
      </w:r>
      <w:r w:rsidR="00162E77">
        <w:rPr>
          <w:color w:val="000000" w:themeColor="text1"/>
        </w:rPr>
        <w:t>0.7</w:t>
      </w:r>
      <w:r w:rsidR="00BE1260">
        <w:rPr>
          <w:color w:val="000000" w:themeColor="text1"/>
        </w:rPr>
        <w:t xml:space="preserve"> million in </w:t>
      </w:r>
      <w:r w:rsidR="00162E77">
        <w:rPr>
          <w:color w:val="000000" w:themeColor="text1"/>
        </w:rPr>
        <w:t xml:space="preserve">September </w:t>
      </w:r>
      <w:r w:rsidR="00BF0B27">
        <w:rPr>
          <w:color w:val="000000" w:themeColor="text1"/>
        </w:rPr>
        <w:t xml:space="preserve">2020 </w:t>
      </w:r>
      <w:r w:rsidR="00162E77">
        <w:rPr>
          <w:color w:val="000000" w:themeColor="text1"/>
        </w:rPr>
        <w:t xml:space="preserve">but </w:t>
      </w:r>
      <w:r w:rsidR="00BF0B27">
        <w:rPr>
          <w:color w:val="000000" w:themeColor="text1"/>
        </w:rPr>
        <w:t>stood</w:t>
      </w:r>
      <w:r w:rsidR="00BE1260">
        <w:rPr>
          <w:color w:val="000000" w:themeColor="text1"/>
        </w:rPr>
        <w:t xml:space="preserve"> </w:t>
      </w:r>
      <w:r w:rsidR="00162E77">
        <w:rPr>
          <w:color w:val="000000" w:themeColor="text1"/>
        </w:rPr>
        <w:t>9</w:t>
      </w:r>
      <w:r w:rsidR="003E18DF">
        <w:rPr>
          <w:color w:val="000000" w:themeColor="text1"/>
        </w:rPr>
        <w:t>.</w:t>
      </w:r>
      <w:r w:rsidR="00162E77">
        <w:rPr>
          <w:color w:val="000000" w:themeColor="text1"/>
        </w:rPr>
        <w:t>6</w:t>
      </w:r>
      <w:r w:rsidR="00572F03">
        <w:rPr>
          <w:color w:val="000000" w:themeColor="text1"/>
        </w:rPr>
        <w:t xml:space="preserve"> million </w:t>
      </w:r>
      <w:r w:rsidR="003E18DF">
        <w:rPr>
          <w:color w:val="000000" w:themeColor="text1"/>
        </w:rPr>
        <w:t>below</w:t>
      </w:r>
      <w:r w:rsidR="00572F03">
        <w:rPr>
          <w:color w:val="000000" w:themeColor="text1"/>
        </w:rPr>
        <w:t xml:space="preserve"> </w:t>
      </w:r>
      <w:r w:rsidR="003E18DF">
        <w:rPr>
          <w:color w:val="000000" w:themeColor="text1"/>
        </w:rPr>
        <w:t xml:space="preserve">last </w:t>
      </w:r>
      <w:r w:rsidR="00162E77">
        <w:rPr>
          <w:color w:val="000000" w:themeColor="text1"/>
        </w:rPr>
        <w:t>September’s</w:t>
      </w:r>
      <w:r w:rsidR="003E18DF">
        <w:rPr>
          <w:color w:val="000000" w:themeColor="text1"/>
        </w:rPr>
        <w:t xml:space="preserve"> levels</w:t>
      </w:r>
      <w:r w:rsidR="00572F03">
        <w:rPr>
          <w:color w:val="000000" w:themeColor="text1"/>
        </w:rPr>
        <w:t>.</w:t>
      </w:r>
    </w:p>
    <w:p w14:paraId="149D5F33" w14:textId="0ECBCBE7" w:rsidR="00B84330" w:rsidRDefault="00743A12" w:rsidP="004D099A">
      <w:pPr>
        <w:jc w:val="center"/>
      </w:pPr>
      <w:r>
        <w:rPr>
          <w:noProof/>
        </w:rPr>
        <w:drawing>
          <wp:inline distT="0" distB="0" distL="0" distR="0" wp14:anchorId="517F20EC" wp14:editId="5BC77B23">
            <wp:extent cx="3846830" cy="2743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6830" cy="2743200"/>
                    </a:xfrm>
                    <a:prstGeom prst="rect">
                      <a:avLst/>
                    </a:prstGeom>
                    <a:noFill/>
                  </pic:spPr>
                </pic:pic>
              </a:graphicData>
            </a:graphic>
          </wp:inline>
        </w:drawing>
      </w:r>
    </w:p>
    <w:p w14:paraId="0D3BFDA8" w14:textId="4E020EF1" w:rsidR="00A96A6A" w:rsidRDefault="00D74F6D" w:rsidP="00005111">
      <w:r>
        <w:lastRenderedPageBreak/>
        <w:t>The</w:t>
      </w:r>
      <w:r w:rsidR="00C05052" w:rsidRPr="00925F58">
        <w:t xml:space="preserve"> unemp</w:t>
      </w:r>
      <w:r w:rsidR="00F81F49" w:rsidRPr="00925F58">
        <w:t>loyment rate</w:t>
      </w:r>
      <w:r w:rsidR="00C937ED">
        <w:rPr>
          <w:rStyle w:val="FootnoteReference"/>
        </w:rPr>
        <w:footnoteReference w:id="12"/>
      </w:r>
      <w:r w:rsidR="00F81F49" w:rsidRPr="00925F58">
        <w:t xml:space="preserve"> </w:t>
      </w:r>
      <w:r w:rsidR="00162E77">
        <w:t>fell throughout the 3</w:t>
      </w:r>
      <w:r w:rsidR="00162E77" w:rsidRPr="00162E77">
        <w:rPr>
          <w:vertAlign w:val="superscript"/>
        </w:rPr>
        <w:t>rd</w:t>
      </w:r>
      <w:r w:rsidR="00162E77">
        <w:t xml:space="preserve"> quarter to 7.9% in September 2020</w:t>
      </w:r>
      <w:r w:rsidR="001E15B0">
        <w:rPr>
          <w:color w:val="000000" w:themeColor="text1"/>
        </w:rPr>
        <w:t>.</w:t>
      </w:r>
      <w:r w:rsidR="001E15B0">
        <w:t xml:space="preserve"> </w:t>
      </w:r>
      <w:r w:rsidR="003E18DF">
        <w:t xml:space="preserve">Those reporting temporary layoffs fell by </w:t>
      </w:r>
      <w:r w:rsidR="00162E77">
        <w:t>1.5</w:t>
      </w:r>
      <w:r w:rsidR="003E18DF">
        <w:t xml:space="preserve"> million in </w:t>
      </w:r>
      <w:r w:rsidR="00162E77">
        <w:t>September</w:t>
      </w:r>
      <w:r w:rsidR="003E18DF">
        <w:t xml:space="preserve">, yet </w:t>
      </w:r>
      <w:r w:rsidR="00982654">
        <w:t xml:space="preserve">those experiencing </w:t>
      </w:r>
      <w:r w:rsidR="003E18DF">
        <w:t>permanent job loss</w:t>
      </w:r>
      <w:r w:rsidR="00982654">
        <w:t>es</w:t>
      </w:r>
      <w:r w:rsidR="003E18DF">
        <w:t xml:space="preserve"> </w:t>
      </w:r>
      <w:r w:rsidR="00982654">
        <w:t>rose</w:t>
      </w:r>
      <w:r w:rsidR="00BF0B27">
        <w:t xml:space="preserve"> by</w:t>
      </w:r>
      <w:r w:rsidR="00982654">
        <w:t xml:space="preserve"> 0.</w:t>
      </w:r>
      <w:r w:rsidR="00162E77">
        <w:t>3</w:t>
      </w:r>
      <w:r w:rsidR="00982654">
        <w:t xml:space="preserve"> million. </w:t>
      </w:r>
      <w:r w:rsidR="00D57C94">
        <w:t>T</w:t>
      </w:r>
      <w:r>
        <w:t xml:space="preserve">he </w:t>
      </w:r>
      <w:r w:rsidR="00162E77">
        <w:t>September</w:t>
      </w:r>
      <w:r w:rsidR="00982654">
        <w:t xml:space="preserve"> unemployment </w:t>
      </w:r>
      <w:r>
        <w:t xml:space="preserve">rate was </w:t>
      </w:r>
      <w:r w:rsidR="00162E77">
        <w:t>4</w:t>
      </w:r>
      <w:r w:rsidR="00982654">
        <w:t>.4</w:t>
      </w:r>
      <w:r w:rsidR="00162E77">
        <w:t xml:space="preserve"> percentage points higher than</w:t>
      </w:r>
      <w:r w:rsidR="001744C6" w:rsidRPr="00925F58">
        <w:t xml:space="preserve"> the </w:t>
      </w:r>
      <w:r w:rsidR="00162E77">
        <w:t>previous September</w:t>
      </w:r>
      <w:r w:rsidR="001744C6" w:rsidRPr="00925F58">
        <w:t xml:space="preserve"> </w:t>
      </w:r>
      <w:r w:rsidR="00982654">
        <w:t xml:space="preserve">and </w:t>
      </w:r>
      <w:r w:rsidR="00162E77">
        <w:t xml:space="preserve">remained </w:t>
      </w:r>
      <w:r w:rsidR="00982654">
        <w:t>above</w:t>
      </w:r>
      <w:r w:rsidR="001744C6" w:rsidRPr="00925F58">
        <w:t xml:space="preserve"> the 30-year average </w:t>
      </w:r>
      <w:r w:rsidR="00D644B7" w:rsidRPr="00925F58">
        <w:t xml:space="preserve">unemployment rate </w:t>
      </w:r>
      <w:r w:rsidR="001744C6" w:rsidRPr="00925F58">
        <w:t xml:space="preserve">of </w:t>
      </w:r>
      <w:r w:rsidR="00D501BC" w:rsidRPr="00925F58">
        <w:t>5.</w:t>
      </w:r>
      <w:r w:rsidR="00982654">
        <w:t>9</w:t>
      </w:r>
      <w:r w:rsidR="001744C6" w:rsidRPr="00925F58">
        <w:t>%</w:t>
      </w:r>
      <w:r w:rsidR="008C798A">
        <w:t>.</w:t>
      </w:r>
    </w:p>
    <w:p w14:paraId="1926EEEC" w14:textId="45026458" w:rsidR="0017576B" w:rsidRDefault="00743A12" w:rsidP="00D57C94">
      <w:pPr>
        <w:jc w:val="center"/>
      </w:pPr>
      <w:r>
        <w:rPr>
          <w:noProof/>
        </w:rPr>
        <w:drawing>
          <wp:inline distT="0" distB="0" distL="0" distR="0" wp14:anchorId="35633D23" wp14:editId="6301540D">
            <wp:extent cx="3493135"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8" w14:textId="77777777" w:rsidR="00005111" w:rsidRDefault="00005111" w:rsidP="001475FF">
      <w:pPr>
        <w:pStyle w:val="Heading1"/>
      </w:pPr>
      <w:r>
        <w:t>Inflation</w:t>
      </w:r>
    </w:p>
    <w:p w14:paraId="149D5F3A" w14:textId="7E8FBF4B" w:rsidR="00172307" w:rsidRDefault="00C90C6F" w:rsidP="00005111">
      <w:r>
        <w:t xml:space="preserve">Inflation </w:t>
      </w:r>
      <w:r w:rsidR="006E621A">
        <w:t xml:space="preserve">softened </w:t>
      </w:r>
      <w:r w:rsidR="0069122E">
        <w:t>during</w:t>
      </w:r>
      <w:r w:rsidR="006E621A">
        <w:t xml:space="preserve"> the 3</w:t>
      </w:r>
      <w:r w:rsidR="006E621A" w:rsidRPr="006E621A">
        <w:rPr>
          <w:vertAlign w:val="superscript"/>
        </w:rPr>
        <w:t>rd</w:t>
      </w:r>
      <w:r w:rsidR="006E621A">
        <w:t xml:space="preserve"> </w:t>
      </w:r>
      <w:r w:rsidR="00982654">
        <w:t>quarter</w:t>
      </w:r>
      <w:r w:rsidR="0069122E">
        <w:t xml:space="preserve"> of 2020</w:t>
      </w:r>
      <w:r w:rsidR="00982654">
        <w:t xml:space="preserve">, </w:t>
      </w:r>
      <w:r w:rsidR="006E621A">
        <w:t>continuing to increase, but at a decelerating rate</w:t>
      </w:r>
      <w:r w:rsidR="001E7445">
        <w:t>.</w:t>
      </w:r>
      <w:r w:rsidR="00982654">
        <w:t xml:space="preserve"> </w:t>
      </w:r>
      <w:r w:rsidR="006E621A">
        <w:t xml:space="preserve">September price increases were led by used cars and trucks and natural gas, yet moderated by lower prices for fuel oil, motor vehicle insurance, and airline fares. </w:t>
      </w:r>
      <w:r w:rsidR="00C50E71">
        <w:t>T</w:t>
      </w:r>
      <w:r w:rsidR="006F7FB2" w:rsidRPr="0016088B">
        <w:t>he Consumer Price Index (CPI)</w:t>
      </w:r>
      <w:r w:rsidR="0076678E">
        <w:rPr>
          <w:rStyle w:val="FootnoteReference"/>
        </w:rPr>
        <w:footnoteReference w:id="13"/>
      </w:r>
      <w:r w:rsidR="006F7FB2" w:rsidRPr="0016088B">
        <w:t xml:space="preserve"> </w:t>
      </w:r>
      <w:r w:rsidR="00CD3F6E">
        <w:t xml:space="preserve">has </w:t>
      </w:r>
      <w:r w:rsidR="006F7FB2" w:rsidRPr="0016088B">
        <w:t xml:space="preserve">increased </w:t>
      </w:r>
      <w:r w:rsidR="0016088B" w:rsidRPr="0016088B">
        <w:t xml:space="preserve">by </w:t>
      </w:r>
      <w:r w:rsidR="006E621A">
        <w:t>1.41</w:t>
      </w:r>
      <w:r w:rsidR="0016088B" w:rsidRPr="0016088B">
        <w:t>%</w:t>
      </w:r>
      <w:r w:rsidR="00CD3F6E">
        <w:t xml:space="preserve"> since</w:t>
      </w:r>
      <w:r>
        <w:t xml:space="preserve"> </w:t>
      </w:r>
      <w:r w:rsidR="00072C36">
        <w:t xml:space="preserve">last </w:t>
      </w:r>
      <w:r w:rsidR="006E621A">
        <w:t>September</w:t>
      </w:r>
      <w:r w:rsidR="006F7FB2" w:rsidRPr="0016088B">
        <w:t>.</w:t>
      </w:r>
      <w:r w:rsidR="00B071DB" w:rsidRPr="0016088B">
        <w:t xml:space="preserve"> </w:t>
      </w:r>
      <w:r w:rsidR="00BD3693">
        <w:t xml:space="preserve">According to </w:t>
      </w:r>
      <w:r w:rsidR="001E6FCC">
        <w:t xml:space="preserve">the </w:t>
      </w:r>
      <w:r w:rsidR="00BD3693">
        <w:t>Federal Reserve Bank of New York’s S</w:t>
      </w:r>
      <w:r w:rsidR="00A82B9E">
        <w:t>urvey of Consumer Expectations,</w:t>
      </w:r>
      <w:r w:rsidR="00BD3693">
        <w:t xml:space="preserve"> inflation</w:t>
      </w:r>
      <w:r w:rsidR="00A82B9E">
        <w:t xml:space="preserve"> </w:t>
      </w:r>
      <w:r w:rsidR="001E7445">
        <w:t>expectations</w:t>
      </w:r>
      <w:r w:rsidR="008155BA">
        <w:rPr>
          <w:rStyle w:val="FootnoteReference"/>
        </w:rPr>
        <w:footnoteReference w:id="14"/>
      </w:r>
      <w:r w:rsidR="00E274D8">
        <w:t xml:space="preserve"> </w:t>
      </w:r>
      <w:r w:rsidR="00BC04D5">
        <w:t>rose slightly in September</w:t>
      </w:r>
      <w:r w:rsidR="00C50E71">
        <w:t xml:space="preserve"> to </w:t>
      </w:r>
      <w:r w:rsidR="00BC04D5">
        <w:t>3.0</w:t>
      </w:r>
      <w:r w:rsidR="009C74AB">
        <w:t xml:space="preserve">% </w:t>
      </w:r>
      <w:r w:rsidR="00E274D8">
        <w:t xml:space="preserve">for the </w:t>
      </w:r>
      <w:r w:rsidR="00BD3693">
        <w:t>one</w:t>
      </w:r>
      <w:r w:rsidR="00E274D8">
        <w:t>-</w:t>
      </w:r>
      <w:r w:rsidR="00BD3693">
        <w:t>year</w:t>
      </w:r>
      <w:r>
        <w:t xml:space="preserve"> </w:t>
      </w:r>
      <w:r w:rsidR="009C74AB">
        <w:t xml:space="preserve">horizon </w:t>
      </w:r>
      <w:r w:rsidR="00E274D8">
        <w:t>and</w:t>
      </w:r>
      <w:r w:rsidR="001A4F9E">
        <w:t xml:space="preserve"> </w:t>
      </w:r>
      <w:r w:rsidR="009C74AB">
        <w:t>2</w:t>
      </w:r>
      <w:r w:rsidR="00BC04D5">
        <w:t>.7</w:t>
      </w:r>
      <w:r w:rsidR="009C74AB">
        <w:t xml:space="preserve">% for the </w:t>
      </w:r>
      <w:r w:rsidR="00E274D8">
        <w:t>three-year</w:t>
      </w:r>
      <w:r w:rsidR="009C74AB">
        <w:t xml:space="preserve"> horizon</w:t>
      </w:r>
      <w:r w:rsidR="00BD3693">
        <w:t xml:space="preserve">. </w:t>
      </w:r>
    </w:p>
    <w:p w14:paraId="149D5F3C" w14:textId="09782F70" w:rsidR="00B94E68" w:rsidRDefault="00743A12" w:rsidP="0026599C">
      <w:pPr>
        <w:jc w:val="center"/>
      </w:pPr>
      <w:r>
        <w:rPr>
          <w:noProof/>
        </w:rPr>
        <w:lastRenderedPageBreak/>
        <w:drawing>
          <wp:inline distT="0" distB="0" distL="0" distR="0" wp14:anchorId="0B8C03F2" wp14:editId="620F8BEF">
            <wp:extent cx="349313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E" w14:textId="42AAF19A" w:rsidR="00A11CAC" w:rsidRDefault="006F7FB2" w:rsidP="006F7FB2">
      <w:r w:rsidRPr="004E4B6F">
        <w:t>Prices at the prod</w:t>
      </w:r>
      <w:r w:rsidR="000E6A61" w:rsidRPr="004E4B6F">
        <w:t>ucer level</w:t>
      </w:r>
      <w:r w:rsidR="00E274D8">
        <w:t xml:space="preserve"> </w:t>
      </w:r>
      <w:r w:rsidR="00737D58">
        <w:t>continued to rebound</w:t>
      </w:r>
      <w:r w:rsidR="00C50E71">
        <w:t xml:space="preserve"> </w:t>
      </w:r>
      <w:r w:rsidR="00737D58">
        <w:t>during the 3</w:t>
      </w:r>
      <w:r w:rsidR="00737D58" w:rsidRPr="00737D58">
        <w:rPr>
          <w:vertAlign w:val="superscript"/>
        </w:rPr>
        <w:t>rd</w:t>
      </w:r>
      <w:r w:rsidR="00C50E71">
        <w:t xml:space="preserve"> quarter</w:t>
      </w:r>
      <w:r w:rsidR="0042476E">
        <w:t>,</w:t>
      </w:r>
      <w:r w:rsidR="00FE5B60">
        <w:t xml:space="preserve"> with </w:t>
      </w:r>
      <w:r w:rsidR="00737D58">
        <w:t>September</w:t>
      </w:r>
      <w:r w:rsidR="00FE5B60">
        <w:t xml:space="preserve"> </w:t>
      </w:r>
      <w:r w:rsidR="0069122E">
        <w:t xml:space="preserve">2020 </w:t>
      </w:r>
      <w:r w:rsidR="00FE5B60">
        <w:t>price</w:t>
      </w:r>
      <w:r w:rsidR="002435D7">
        <w:t>s</w:t>
      </w:r>
      <w:r w:rsidR="00FE5B60">
        <w:t xml:space="preserve"> </w:t>
      </w:r>
      <w:r w:rsidR="00C50E71">
        <w:t>up</w:t>
      </w:r>
      <w:r w:rsidR="00FE5B60">
        <w:t xml:space="preserve"> </w:t>
      </w:r>
      <w:r w:rsidR="00C50E71">
        <w:t>0.</w:t>
      </w:r>
      <w:r w:rsidR="00737D58">
        <w:t>72</w:t>
      </w:r>
      <w:r w:rsidR="00C50E71">
        <w:t xml:space="preserve">% </w:t>
      </w:r>
      <w:r w:rsidR="0069122E">
        <w:t xml:space="preserve">over the month </w:t>
      </w:r>
      <w:r w:rsidR="00FE5B60">
        <w:t>for</w:t>
      </w:r>
      <w:r w:rsidR="008155BA">
        <w:t xml:space="preserve"> </w:t>
      </w:r>
      <w:r w:rsidR="00C50E71">
        <w:t>all commodities</w:t>
      </w:r>
      <w:r w:rsidR="008155BA">
        <w:t xml:space="preserve">, </w:t>
      </w:r>
      <w:r w:rsidR="00737D58">
        <w:t>especially lumber, farm products, and nonferrous metals</w:t>
      </w:r>
      <w:r w:rsidR="00FE5B60">
        <w:t>. T</w:t>
      </w:r>
      <w:r w:rsidRPr="004E4B6F">
        <w:t>he Producer Pr</w:t>
      </w:r>
      <w:r w:rsidR="00174B44" w:rsidRPr="004E4B6F">
        <w:t>ice Index (PPI)</w:t>
      </w:r>
      <w:r w:rsidR="00CB1375">
        <w:rPr>
          <w:rStyle w:val="FootnoteReference"/>
        </w:rPr>
        <w:footnoteReference w:id="15"/>
      </w:r>
      <w:r w:rsidR="00174B44" w:rsidRPr="004E4B6F">
        <w:t xml:space="preserve"> </w:t>
      </w:r>
      <w:r w:rsidR="0042476E">
        <w:t xml:space="preserve">for all commodities </w:t>
      </w:r>
      <w:r w:rsidR="002435D7">
        <w:t>was</w:t>
      </w:r>
      <w:r w:rsidR="007B7D73" w:rsidRPr="004E4B6F">
        <w:t xml:space="preserve"> </w:t>
      </w:r>
      <w:r w:rsidR="00737D58">
        <w:t>1.51</w:t>
      </w:r>
      <w:r w:rsidR="00174B44" w:rsidRPr="004E4B6F">
        <w:t>%</w:t>
      </w:r>
      <w:r w:rsidRPr="004E4B6F">
        <w:t xml:space="preserve"> </w:t>
      </w:r>
      <w:r w:rsidR="002435D7">
        <w:t xml:space="preserve">lower </w:t>
      </w:r>
      <w:r w:rsidR="0039736B">
        <w:t xml:space="preserve">in </w:t>
      </w:r>
      <w:r w:rsidR="00737D58">
        <w:t>September</w:t>
      </w:r>
      <w:r w:rsidR="0039736B">
        <w:t xml:space="preserve"> </w:t>
      </w:r>
      <w:r w:rsidR="00737D58">
        <w:t xml:space="preserve">2020 </w:t>
      </w:r>
      <w:r w:rsidRPr="004E4B6F">
        <w:t>compared to the same period last year</w:t>
      </w:r>
      <w:r w:rsidR="00737D58">
        <w:t>. T</w:t>
      </w:r>
      <w:r w:rsidR="0031179D" w:rsidRPr="004E4B6F">
        <w:t xml:space="preserve">he average </w:t>
      </w:r>
      <w:r w:rsidR="00737D58">
        <w:t>annual increase of the PPI was</w:t>
      </w:r>
      <w:r w:rsidR="00FD35EB">
        <w:t xml:space="preserve"> 1.9</w:t>
      </w:r>
      <w:r w:rsidR="00737D58">
        <w:t>1</w:t>
      </w:r>
      <w:r w:rsidR="0031179D" w:rsidRPr="004E4B6F">
        <w:t>%</w:t>
      </w:r>
      <w:r w:rsidR="00737D58">
        <w:t xml:space="preserve"> over the last 30 years</w:t>
      </w:r>
      <w:r w:rsidR="0031179D" w:rsidRPr="004E4B6F">
        <w:t xml:space="preserve">. </w:t>
      </w:r>
    </w:p>
    <w:p w14:paraId="149D5F40" w14:textId="49BF8299" w:rsidR="00B94E68" w:rsidRDefault="00743A12" w:rsidP="00166C08">
      <w:pPr>
        <w:jc w:val="center"/>
      </w:pPr>
      <w:r>
        <w:rPr>
          <w:noProof/>
        </w:rPr>
        <w:drawing>
          <wp:inline distT="0" distB="0" distL="0" distR="0" wp14:anchorId="59F54EC3" wp14:editId="65CECDF1">
            <wp:extent cx="3493135"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491A6E5E" w14:textId="167849B6" w:rsidR="00F03302" w:rsidRDefault="00FD35EB" w:rsidP="00F03302">
      <w:r>
        <w:t>D</w:t>
      </w:r>
      <w:r w:rsidR="00F03302">
        <w:t xml:space="preserve">uring the </w:t>
      </w:r>
      <w:r w:rsidR="00737D58">
        <w:t>3</w:t>
      </w:r>
      <w:r w:rsidR="00737D58" w:rsidRPr="00737D58">
        <w:rPr>
          <w:vertAlign w:val="superscript"/>
        </w:rPr>
        <w:t>rd</w:t>
      </w:r>
      <w:r w:rsidR="00737D58">
        <w:t xml:space="preserve"> </w:t>
      </w:r>
      <w:r w:rsidR="00F03302">
        <w:t>quarter</w:t>
      </w:r>
      <w:r w:rsidR="0074137C">
        <w:t xml:space="preserve">, </w:t>
      </w:r>
      <w:r w:rsidR="005C0423">
        <w:t xml:space="preserve">the late-Spring rebound in </w:t>
      </w:r>
      <w:r w:rsidR="0074137C">
        <w:t>U.S. crude oil</w:t>
      </w:r>
      <w:r w:rsidR="0074137C">
        <w:rPr>
          <w:rStyle w:val="FootnoteReference"/>
        </w:rPr>
        <w:footnoteReference w:id="16"/>
      </w:r>
      <w:r w:rsidR="0074137C">
        <w:t xml:space="preserve"> </w:t>
      </w:r>
      <w:r w:rsidR="00660C7A">
        <w:t xml:space="preserve">prices </w:t>
      </w:r>
      <w:r w:rsidR="005C0423">
        <w:t xml:space="preserve">plateaued as worldwide demand for travel fuel </w:t>
      </w:r>
      <w:r w:rsidR="0069122E">
        <w:t>weakened</w:t>
      </w:r>
      <w:r w:rsidR="005C0423">
        <w:t xml:space="preserve"> again, with renewed travel restrictions in some European countries and U.S. travel remaining below typical levels</w:t>
      </w:r>
      <w:r w:rsidR="0074137C">
        <w:t>.</w:t>
      </w:r>
      <w:r w:rsidR="00F03302">
        <w:t xml:space="preserve"> </w:t>
      </w:r>
      <w:r w:rsidR="005C0423">
        <w:t xml:space="preserve">The U.S. drew down stocks of crude oil </w:t>
      </w:r>
      <w:r w:rsidR="005C0423">
        <w:lastRenderedPageBreak/>
        <w:t>during September, but not enough to overcome demand constraints</w:t>
      </w:r>
      <w:r w:rsidR="00F03302">
        <w:t>. Crude oil prices</w:t>
      </w:r>
      <w:r w:rsidR="0074137C">
        <w:t xml:space="preserve"> </w:t>
      </w:r>
      <w:r w:rsidR="00F03302">
        <w:t xml:space="preserve">ended the quarter at </w:t>
      </w:r>
      <w:r w:rsidR="0074137C">
        <w:t>$</w:t>
      </w:r>
      <w:r>
        <w:t>3</w:t>
      </w:r>
      <w:r w:rsidR="005C0423">
        <w:t>9</w:t>
      </w:r>
      <w:r w:rsidR="0074137C">
        <w:t>.</w:t>
      </w:r>
      <w:r w:rsidR="005C0423">
        <w:t>63</w:t>
      </w:r>
      <w:r w:rsidR="0074137C">
        <w:t xml:space="preserve"> </w:t>
      </w:r>
      <w:r w:rsidR="00F03302">
        <w:t xml:space="preserve">per barrel in </w:t>
      </w:r>
      <w:r w:rsidR="005C0423">
        <w:t>September</w:t>
      </w:r>
      <w:r w:rsidR="0069122E">
        <w:t xml:space="preserve"> 2020</w:t>
      </w:r>
      <w:r w:rsidR="00F03302">
        <w:t xml:space="preserve">, </w:t>
      </w:r>
      <w:r>
        <w:t>up</w:t>
      </w:r>
      <w:r w:rsidR="00F03302">
        <w:t xml:space="preserve"> </w:t>
      </w:r>
      <w:r>
        <w:t>3</w:t>
      </w:r>
      <w:r w:rsidR="0074137C">
        <w:t>.</w:t>
      </w:r>
      <w:r w:rsidR="005C0423">
        <w:t>4</w:t>
      </w:r>
      <w:r w:rsidR="00F03302">
        <w:t>% from the previous quarter</w:t>
      </w:r>
      <w:r>
        <w:t xml:space="preserve"> yet</w:t>
      </w:r>
      <w:r w:rsidR="00F03302">
        <w:t xml:space="preserve"> </w:t>
      </w:r>
      <w:r w:rsidR="001E6FCC">
        <w:t xml:space="preserve">still </w:t>
      </w:r>
      <w:r w:rsidR="005C0423">
        <w:t>30.4</w:t>
      </w:r>
      <w:r w:rsidR="00F03302" w:rsidRPr="00892D49">
        <w:t xml:space="preserve">% </w:t>
      </w:r>
      <w:r w:rsidR="0074137C">
        <w:t>lower</w:t>
      </w:r>
      <w:r w:rsidR="00F03302">
        <w:t xml:space="preserve"> than</w:t>
      </w:r>
      <w:r w:rsidR="00F03302" w:rsidRPr="00892D49">
        <w:t xml:space="preserve"> last </w:t>
      </w:r>
      <w:r w:rsidR="005C0423">
        <w:t>September</w:t>
      </w:r>
      <w:r w:rsidR="00F03302">
        <w:t>.</w:t>
      </w:r>
    </w:p>
    <w:p w14:paraId="51050840" w14:textId="1F5D1941" w:rsidR="00F03302" w:rsidRDefault="00B61DE8" w:rsidP="00166C08">
      <w:pPr>
        <w:jc w:val="center"/>
      </w:pPr>
      <w:r>
        <w:rPr>
          <w:noProof/>
        </w:rPr>
        <w:drawing>
          <wp:inline distT="0" distB="0" distL="0" distR="0" wp14:anchorId="01A2A586" wp14:editId="6CD41601">
            <wp:extent cx="3609340"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149D5F41" w14:textId="77777777" w:rsidR="00005111" w:rsidRDefault="00005111" w:rsidP="001475FF">
      <w:pPr>
        <w:pStyle w:val="Heading1"/>
      </w:pPr>
      <w:r>
        <w:t>Housing</w:t>
      </w:r>
    </w:p>
    <w:p w14:paraId="7135DBE1" w14:textId="160D2D49" w:rsidR="00A96A6A" w:rsidRDefault="00BC04D5">
      <w:r>
        <w:t>T</w:t>
      </w:r>
      <w:r w:rsidR="00B0395F" w:rsidRPr="0094654A">
        <w:t>he h</w:t>
      </w:r>
      <w:r w:rsidR="00CD0AEC" w:rsidRPr="0094654A">
        <w:t xml:space="preserve">ousing </w:t>
      </w:r>
      <w:r w:rsidR="00B0395F" w:rsidRPr="0094654A">
        <w:t xml:space="preserve">market </w:t>
      </w:r>
      <w:r>
        <w:t>continued its late-Spring rebound in the 3</w:t>
      </w:r>
      <w:r w:rsidRPr="00BC04D5">
        <w:rPr>
          <w:vertAlign w:val="superscript"/>
        </w:rPr>
        <w:t>rd</w:t>
      </w:r>
      <w:r>
        <w:t xml:space="preserve"> quarter of 2020</w:t>
      </w:r>
      <w:r w:rsidR="00536754">
        <w:t>, with n</w:t>
      </w:r>
      <w:r w:rsidR="00B0395F" w:rsidRPr="0094654A">
        <w:t>ew home starts</w:t>
      </w:r>
      <w:r w:rsidR="00C828B0">
        <w:rPr>
          <w:rStyle w:val="FootnoteReference"/>
        </w:rPr>
        <w:footnoteReference w:id="17"/>
      </w:r>
      <w:r w:rsidR="00B0395F" w:rsidRPr="0094654A">
        <w:t xml:space="preserve"> </w:t>
      </w:r>
      <w:r w:rsidR="00C82545">
        <w:t xml:space="preserve">ending the quarter </w:t>
      </w:r>
      <w:r>
        <w:t>at 1.42</w:t>
      </w:r>
      <w:r w:rsidR="00B0395F" w:rsidRPr="0094654A">
        <w:t xml:space="preserve"> million in </w:t>
      </w:r>
      <w:r>
        <w:t>September</w:t>
      </w:r>
      <w:r w:rsidR="00B0395F" w:rsidRPr="0094654A">
        <w:t xml:space="preserve">. </w:t>
      </w:r>
      <w:r w:rsidR="00536754">
        <w:t>T</w:t>
      </w:r>
      <w:r w:rsidR="0028237E">
        <w:t xml:space="preserve">otal </w:t>
      </w:r>
      <w:r w:rsidR="00536754">
        <w:t xml:space="preserve">new </w:t>
      </w:r>
      <w:r w:rsidR="0028237E">
        <w:t xml:space="preserve">housing starts </w:t>
      </w:r>
      <w:r>
        <w:t>grew 11.9</w:t>
      </w:r>
      <w:r w:rsidR="0028237E">
        <w:t xml:space="preserve">% over </w:t>
      </w:r>
      <w:r w:rsidR="00BE1260">
        <w:t xml:space="preserve">the </w:t>
      </w:r>
      <w:r>
        <w:t>3</w:t>
      </w:r>
      <w:r w:rsidRPr="00BC04D5">
        <w:rPr>
          <w:vertAlign w:val="superscript"/>
        </w:rPr>
        <w:t>rd</w:t>
      </w:r>
      <w:r>
        <w:t xml:space="preserve"> </w:t>
      </w:r>
      <w:r w:rsidR="0028237E">
        <w:t>quarter</w:t>
      </w:r>
      <w:r w:rsidR="00660C7A">
        <w:t xml:space="preserve"> </w:t>
      </w:r>
      <w:r>
        <w:t xml:space="preserve">yet </w:t>
      </w:r>
      <w:r w:rsidR="00C82545">
        <w:t>remained</w:t>
      </w:r>
      <w:r w:rsidR="00660C7A">
        <w:t xml:space="preserve"> </w:t>
      </w:r>
      <w:r>
        <w:t>12</w:t>
      </w:r>
      <w:r w:rsidR="00660C7A">
        <w:t>.</w:t>
      </w:r>
      <w:r>
        <w:t>5</w:t>
      </w:r>
      <w:r w:rsidR="00660C7A">
        <w:t xml:space="preserve">% </w:t>
      </w:r>
      <w:r w:rsidR="00C82545">
        <w:t>below</w:t>
      </w:r>
      <w:r w:rsidR="00660C7A">
        <w:t xml:space="preserve"> the</w:t>
      </w:r>
      <w:r w:rsidR="00C82545">
        <w:t>ir 13-year peak in January</w:t>
      </w:r>
      <w:r w:rsidR="00660C7A">
        <w:t xml:space="preserve"> 2020</w:t>
      </w:r>
      <w:r w:rsidR="0028237E">
        <w:t xml:space="preserve">. </w:t>
      </w:r>
      <w:r w:rsidR="00C82545">
        <w:t>Single-family homebuilding surged as mortgage</w:t>
      </w:r>
      <w:r w:rsidR="00F277D7">
        <w:t xml:space="preserve"> rates </w:t>
      </w:r>
      <w:r w:rsidR="00C82545">
        <w:t>remained near record</w:t>
      </w:r>
      <w:r w:rsidR="00F277D7">
        <w:t xml:space="preserve"> lows and </w:t>
      </w:r>
      <w:r w:rsidR="00C82545">
        <w:t>home demand in suburban areas spiked as Americans sought more spacious homes</w:t>
      </w:r>
      <w:r w:rsidR="00B0395F" w:rsidRPr="0094654A">
        <w:t xml:space="preserve">. </w:t>
      </w:r>
      <w:r w:rsidR="00C82545">
        <w:t xml:space="preserve">However, multi-family homebuilding continued to struggle amidst the pandemic. </w:t>
      </w:r>
      <w:r w:rsidR="003B0615">
        <w:t xml:space="preserve">New home starts </w:t>
      </w:r>
      <w:r w:rsidR="00105A55">
        <w:t>outpaced</w:t>
      </w:r>
      <w:r w:rsidR="00424E74" w:rsidRPr="0094654A">
        <w:t xml:space="preserve"> the 30-year average of 1.</w:t>
      </w:r>
      <w:r w:rsidR="00B135D7">
        <w:t>30</w:t>
      </w:r>
      <w:r w:rsidR="00424E74" w:rsidRPr="0094654A">
        <w:t xml:space="preserve"> </w:t>
      </w:r>
      <w:r w:rsidR="00424E74" w:rsidRPr="004F1527">
        <w:t>million</w:t>
      </w:r>
      <w:r w:rsidR="00D55969">
        <w:t xml:space="preserve"> units per month</w:t>
      </w:r>
      <w:r w:rsidR="00660C7A" w:rsidRPr="00660C7A">
        <w:t xml:space="preserve"> </w:t>
      </w:r>
      <w:r w:rsidR="00660C7A">
        <w:t xml:space="preserve">throughout the </w:t>
      </w:r>
      <w:r w:rsidR="00105A55">
        <w:t>3</w:t>
      </w:r>
      <w:r w:rsidR="00105A55" w:rsidRPr="00105A55">
        <w:rPr>
          <w:vertAlign w:val="superscript"/>
        </w:rPr>
        <w:t>rd</w:t>
      </w:r>
      <w:r w:rsidR="00105A55">
        <w:t xml:space="preserve"> </w:t>
      </w:r>
      <w:r w:rsidR="00660C7A">
        <w:t>quarter of 2020</w:t>
      </w:r>
      <w:r w:rsidR="00424E74" w:rsidRPr="004F1527">
        <w:t>.</w:t>
      </w:r>
      <w:r w:rsidR="00F80395">
        <w:t xml:space="preserve"> </w:t>
      </w:r>
    </w:p>
    <w:p w14:paraId="149D5F44" w14:textId="55B8F1F6" w:rsidR="00B5315D" w:rsidRDefault="00F363E0" w:rsidP="001B4B76">
      <w:pPr>
        <w:jc w:val="center"/>
      </w:pPr>
      <w:r>
        <w:rPr>
          <w:noProof/>
        </w:rPr>
        <w:lastRenderedPageBreak/>
        <w:drawing>
          <wp:inline distT="0" distB="0" distL="0" distR="0" wp14:anchorId="420EF6D7" wp14:editId="60CDE437">
            <wp:extent cx="3816350"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0" cy="2743200"/>
                    </a:xfrm>
                    <a:prstGeom prst="rect">
                      <a:avLst/>
                    </a:prstGeom>
                    <a:noFill/>
                  </pic:spPr>
                </pic:pic>
              </a:graphicData>
            </a:graphic>
          </wp:inline>
        </w:drawing>
      </w:r>
    </w:p>
    <w:p w14:paraId="149D5F46" w14:textId="4E422A9E" w:rsidR="00A96795" w:rsidRDefault="00A223EC" w:rsidP="000A1224">
      <w:r>
        <w:t xml:space="preserve">The cost </w:t>
      </w:r>
      <w:r w:rsidR="00BC00A7">
        <w:t xml:space="preserve">of financing </w:t>
      </w:r>
      <w:r>
        <w:t xml:space="preserve">for </w:t>
      </w:r>
      <w:r w:rsidR="001B4B76">
        <w:t xml:space="preserve">would-be homebuyers </w:t>
      </w:r>
      <w:r w:rsidR="00F277D7">
        <w:t>continued to decline</w:t>
      </w:r>
      <w:r w:rsidR="003B0615">
        <w:t xml:space="preserve"> </w:t>
      </w:r>
      <w:r w:rsidR="00670FB1">
        <w:t>during</w:t>
      </w:r>
      <w:r w:rsidR="00394236">
        <w:t xml:space="preserve"> the </w:t>
      </w:r>
      <w:r w:rsidR="00105A55">
        <w:t>3</w:t>
      </w:r>
      <w:r w:rsidR="00105A55" w:rsidRPr="00105A55">
        <w:rPr>
          <w:vertAlign w:val="superscript"/>
        </w:rPr>
        <w:t>rd</w:t>
      </w:r>
      <w:r w:rsidR="00105A55">
        <w:t xml:space="preserve"> </w:t>
      </w:r>
      <w:r w:rsidR="00394236">
        <w:t>quarter</w:t>
      </w:r>
      <w:r w:rsidR="0026329B">
        <w:t xml:space="preserve"> </w:t>
      </w:r>
      <w:r w:rsidR="001B4B76">
        <w:t>as the 30-year fixed-rate mortgage</w:t>
      </w:r>
      <w:r w:rsidR="00250313">
        <w:rPr>
          <w:rStyle w:val="FootnoteReference"/>
        </w:rPr>
        <w:footnoteReference w:id="18"/>
      </w:r>
      <w:r w:rsidR="001B4B76">
        <w:t xml:space="preserve"> </w:t>
      </w:r>
      <w:r w:rsidR="00550C7C">
        <w:t>dropped</w:t>
      </w:r>
      <w:r w:rsidR="0026329B">
        <w:t xml:space="preserve"> to </w:t>
      </w:r>
      <w:r w:rsidR="00105A55">
        <w:t>2.90</w:t>
      </w:r>
      <w:r w:rsidR="00BE4FA9">
        <w:t>%</w:t>
      </w:r>
      <w:r w:rsidR="003B0615">
        <w:t xml:space="preserve"> to end </w:t>
      </w:r>
      <w:r w:rsidR="00105A55">
        <w:t>September</w:t>
      </w:r>
      <w:r w:rsidR="00364347">
        <w:t xml:space="preserve"> </w:t>
      </w:r>
      <w:r w:rsidR="003B0615">
        <w:t>20</w:t>
      </w:r>
      <w:r w:rsidR="00364347">
        <w:t>20</w:t>
      </w:r>
      <w:r w:rsidR="001B4B76">
        <w:t>.</w:t>
      </w:r>
      <w:r w:rsidR="00A730DC">
        <w:t xml:space="preserve"> </w:t>
      </w:r>
      <w:r w:rsidR="00670FB1">
        <w:t>The</w:t>
      </w:r>
      <w:r w:rsidR="00A730DC">
        <w:t xml:space="preserve"> Fed </w:t>
      </w:r>
      <w:r w:rsidR="00F277D7">
        <w:t xml:space="preserve">held target interest rates at 0.00% to 0.25% throughout the </w:t>
      </w:r>
      <w:r w:rsidR="00105A55">
        <w:t>3</w:t>
      </w:r>
      <w:r w:rsidR="00105A55" w:rsidRPr="00105A55">
        <w:rPr>
          <w:vertAlign w:val="superscript"/>
        </w:rPr>
        <w:t>rd</w:t>
      </w:r>
      <w:r w:rsidR="00105A55">
        <w:t xml:space="preserve"> </w:t>
      </w:r>
      <w:r w:rsidR="00F277D7">
        <w:t>quarter</w:t>
      </w:r>
      <w:r w:rsidR="00A730DC">
        <w:t>.</w:t>
      </w:r>
    </w:p>
    <w:p w14:paraId="0D0A69F6" w14:textId="077D79AD" w:rsidR="00A96A6A" w:rsidRDefault="00F363E0" w:rsidP="00453708">
      <w:pPr>
        <w:jc w:val="center"/>
      </w:pPr>
      <w:r>
        <w:rPr>
          <w:noProof/>
        </w:rPr>
        <w:drawing>
          <wp:inline distT="0" distB="0" distL="0" distR="0" wp14:anchorId="3F8D9754" wp14:editId="4CDE4EAF">
            <wp:extent cx="3816350" cy="27374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D2DE37C" w14:textId="0D10765B" w:rsidR="00A96A6A" w:rsidRDefault="00B767AE" w:rsidP="00773B5B">
      <w:r>
        <w:t>The S&amp;</w:t>
      </w:r>
      <w:r w:rsidR="00BD1AF4">
        <w:t>P Case-Shiller Home Price Index (20-city)</w:t>
      </w:r>
      <w:r w:rsidR="00B2585A">
        <w:rPr>
          <w:rStyle w:val="FootnoteReference"/>
        </w:rPr>
        <w:footnoteReference w:id="19"/>
      </w:r>
      <w:r w:rsidR="00BD1AF4">
        <w:t xml:space="preserve"> </w:t>
      </w:r>
      <w:r w:rsidR="00BE4FA9">
        <w:t>for</w:t>
      </w:r>
      <w:r w:rsidR="00BD1AF4">
        <w:t xml:space="preserve"> </w:t>
      </w:r>
      <w:r w:rsidR="00105A55">
        <w:t>August</w:t>
      </w:r>
      <w:r w:rsidR="00BD1AF4">
        <w:t xml:space="preserve"> </w:t>
      </w:r>
      <w:r w:rsidR="00111974">
        <w:t>2020</w:t>
      </w:r>
      <w:r w:rsidR="00BD1AF4">
        <w:t xml:space="preserve"> </w:t>
      </w:r>
      <w:r w:rsidR="001868CB">
        <w:t>increased</w:t>
      </w:r>
      <w:r w:rsidR="00E2306A">
        <w:t xml:space="preserve"> </w:t>
      </w:r>
      <w:r w:rsidR="001868CB">
        <w:t xml:space="preserve">by </w:t>
      </w:r>
      <w:r w:rsidR="00105A55">
        <w:t>5.2</w:t>
      </w:r>
      <w:r w:rsidR="00E2306A">
        <w:t>%</w:t>
      </w:r>
      <w:r w:rsidR="003A0447">
        <w:t xml:space="preserve"> over the year</w:t>
      </w:r>
      <w:r w:rsidR="00933213">
        <w:t xml:space="preserve"> with </w:t>
      </w:r>
      <w:r w:rsidR="00105A55">
        <w:t xml:space="preserve">broad </w:t>
      </w:r>
      <w:r w:rsidR="00C737DC">
        <w:t>gains</w:t>
      </w:r>
      <w:r w:rsidR="00105A55">
        <w:t xml:space="preserve"> led by</w:t>
      </w:r>
      <w:r w:rsidR="00C737DC">
        <w:t xml:space="preserve"> </w:t>
      </w:r>
      <w:r w:rsidR="006F49C7">
        <w:t xml:space="preserve">Phoenix, Seattle, and </w:t>
      </w:r>
      <w:r w:rsidR="00105A55">
        <w:t>San Diego</w:t>
      </w:r>
      <w:r w:rsidR="0096732C">
        <w:t>.</w:t>
      </w:r>
      <w:r w:rsidR="00933213">
        <w:t xml:space="preserve"> </w:t>
      </w:r>
      <w:r w:rsidR="006F49C7">
        <w:t xml:space="preserve">The 20-city composite lagged the national index. </w:t>
      </w:r>
      <w:r w:rsidR="00105A55">
        <w:t>C</w:t>
      </w:r>
      <w:r w:rsidR="006F49C7">
        <w:t>onstrained supply</w:t>
      </w:r>
      <w:r w:rsidR="00105A55">
        <w:t xml:space="preserve"> at the lower end of the market helped push </w:t>
      </w:r>
      <w:r w:rsidR="006F49C7">
        <w:t xml:space="preserve">home prices </w:t>
      </w:r>
      <w:r w:rsidR="00105A55">
        <w:t>higher, combined with record-low mortgage rates boosting buyers’ purchasing power</w:t>
      </w:r>
      <w:r w:rsidR="00B432FD" w:rsidRPr="00B432FD">
        <w:t>.</w:t>
      </w:r>
      <w:r w:rsidR="00B432FD">
        <w:t xml:space="preserve"> </w:t>
      </w:r>
      <w:r w:rsidR="00873466">
        <w:t xml:space="preserve">Last </w:t>
      </w:r>
      <w:r w:rsidR="00105A55">
        <w:t>August</w:t>
      </w:r>
      <w:r w:rsidR="00873466">
        <w:t xml:space="preserve">, home prices were increasing at a </w:t>
      </w:r>
      <w:r w:rsidR="009A36DD">
        <w:t>2.</w:t>
      </w:r>
      <w:r w:rsidR="00105A55">
        <w:t>0</w:t>
      </w:r>
      <w:r w:rsidR="00873466">
        <w:t>% annual rate.</w:t>
      </w:r>
    </w:p>
    <w:p w14:paraId="149D5F4C" w14:textId="1C71FE7B" w:rsidR="0064538F" w:rsidRDefault="00F363E0" w:rsidP="002775DB">
      <w:pPr>
        <w:jc w:val="center"/>
      </w:pPr>
      <w:r>
        <w:rPr>
          <w:noProof/>
        </w:rPr>
        <w:lastRenderedPageBreak/>
        <w:drawing>
          <wp:inline distT="0" distB="0" distL="0" distR="0" wp14:anchorId="041E6005" wp14:editId="77914E33">
            <wp:extent cx="3493135"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4D" w14:textId="52E84594" w:rsidR="00005111" w:rsidRDefault="0079609A" w:rsidP="001475FF">
      <w:pPr>
        <w:pStyle w:val="Heading1"/>
      </w:pPr>
      <w:r>
        <w:t>Consumer Spending</w:t>
      </w:r>
    </w:p>
    <w:p w14:paraId="149D5F51" w14:textId="48618913" w:rsidR="0079609A" w:rsidRDefault="00873466" w:rsidP="00A04AD3">
      <w:r>
        <w:t>T</w:t>
      </w:r>
      <w:r w:rsidR="0079609A" w:rsidRPr="00FD4516">
        <w:t>he</w:t>
      </w:r>
      <w:r w:rsidR="0079609A" w:rsidRPr="00971553">
        <w:t xml:space="preserve"> level of Personal Consumption Expenditures (PCE)</w:t>
      </w:r>
      <w:r w:rsidR="00421F60">
        <w:rPr>
          <w:rStyle w:val="FootnoteReference"/>
        </w:rPr>
        <w:footnoteReference w:id="20"/>
      </w:r>
      <w:r w:rsidR="0079609A" w:rsidRPr="00971553">
        <w:t xml:space="preserve"> </w:t>
      </w:r>
      <w:r w:rsidR="00F04BC9">
        <w:t>rose steadily throughout the 3</w:t>
      </w:r>
      <w:r w:rsidR="00F04BC9" w:rsidRPr="00F04BC9">
        <w:rPr>
          <w:vertAlign w:val="superscript"/>
        </w:rPr>
        <w:t>rd</w:t>
      </w:r>
      <w:r w:rsidR="00F04BC9">
        <w:t xml:space="preserve"> quarter</w:t>
      </w:r>
      <w:r w:rsidR="00E37950">
        <w:t xml:space="preserve">. PCE rose </w:t>
      </w:r>
      <w:r w:rsidR="00F04BC9">
        <w:t>1.40</w:t>
      </w:r>
      <w:r w:rsidR="00E37950">
        <w:t xml:space="preserve">% in </w:t>
      </w:r>
      <w:r w:rsidR="00F04BC9">
        <w:t>September</w:t>
      </w:r>
      <w:r w:rsidR="00730BC7">
        <w:t xml:space="preserve"> 2020</w:t>
      </w:r>
      <w:r w:rsidR="00E37950">
        <w:t xml:space="preserve"> </w:t>
      </w:r>
      <w:r w:rsidR="00F04BC9">
        <w:t>yet</w:t>
      </w:r>
      <w:r w:rsidR="00E37950">
        <w:t xml:space="preserve"> remained </w:t>
      </w:r>
      <w:r w:rsidR="00F04BC9">
        <w:t>0.65</w:t>
      </w:r>
      <w:r w:rsidR="0079609A" w:rsidRPr="00971553">
        <w:t xml:space="preserve">% </w:t>
      </w:r>
      <w:r w:rsidR="00E37950">
        <w:t>below</w:t>
      </w:r>
      <w:r w:rsidR="005C532B">
        <w:t xml:space="preserve"> </w:t>
      </w:r>
      <w:r w:rsidR="00306B1D">
        <w:t xml:space="preserve">the previous </w:t>
      </w:r>
      <w:r w:rsidR="00F04BC9">
        <w:t>September’s</w:t>
      </w:r>
      <w:r w:rsidR="00E37950">
        <w:t xml:space="preserve"> level</w:t>
      </w:r>
      <w:r w:rsidR="002F6282">
        <w:t xml:space="preserve">. </w:t>
      </w:r>
      <w:r w:rsidR="00F04BC9">
        <w:t>September’s</w:t>
      </w:r>
      <w:r w:rsidR="006F0678">
        <w:t xml:space="preserve"> s</w:t>
      </w:r>
      <w:r w:rsidR="00306B1D">
        <w:t xml:space="preserve">pending </w:t>
      </w:r>
      <w:r w:rsidR="006F0678">
        <w:t xml:space="preserve">gains were led by clothing </w:t>
      </w:r>
      <w:r w:rsidR="00F04BC9">
        <w:t>and</w:t>
      </w:r>
      <w:r w:rsidR="006F0678">
        <w:t xml:space="preserve"> footwear,</w:t>
      </w:r>
      <w:r w:rsidR="00306B1D">
        <w:t xml:space="preserve"> </w:t>
      </w:r>
      <w:r w:rsidR="00F04BC9">
        <w:t xml:space="preserve">motor vehicles and parts, </w:t>
      </w:r>
      <w:r w:rsidR="00306B1D">
        <w:t>health</w:t>
      </w:r>
      <w:r w:rsidR="006F0678">
        <w:t xml:space="preserve"> </w:t>
      </w:r>
      <w:r w:rsidR="00306B1D">
        <w:t xml:space="preserve">care, </w:t>
      </w:r>
      <w:r w:rsidR="006F0678">
        <w:t xml:space="preserve">and </w:t>
      </w:r>
      <w:r w:rsidR="00F04BC9">
        <w:t>recreation services</w:t>
      </w:r>
      <w:r w:rsidR="002A0B80">
        <w:t>.</w:t>
      </w:r>
      <w:r w:rsidR="00F04BC9">
        <w:t xml:space="preserve"> Both personal spending and personal income exceeded economists’ expectations in September</w:t>
      </w:r>
      <w:r w:rsidR="006F0678">
        <w:t>.</w:t>
      </w:r>
    </w:p>
    <w:p w14:paraId="419D69CE" w14:textId="20FB166B" w:rsidR="00A96A6A" w:rsidRDefault="00F363E0" w:rsidP="00CF06AE">
      <w:pPr>
        <w:jc w:val="center"/>
      </w:pPr>
      <w:r>
        <w:rPr>
          <w:noProof/>
        </w:rPr>
        <w:drawing>
          <wp:inline distT="0" distB="0" distL="0" distR="0" wp14:anchorId="6F984D47" wp14:editId="2D7C9F61">
            <wp:extent cx="3493135"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53" w14:textId="7F5C9E03" w:rsidR="0079609A" w:rsidRDefault="00515DB3" w:rsidP="00F92FD1">
      <w:r>
        <w:lastRenderedPageBreak/>
        <w:t xml:space="preserve">Automotive companies </w:t>
      </w:r>
      <w:r w:rsidR="00695980">
        <w:t xml:space="preserve">reported </w:t>
      </w:r>
      <w:r w:rsidR="008B37F0" w:rsidRPr="008B37F0">
        <w:t>1</w:t>
      </w:r>
      <w:r w:rsidR="00F04BC9">
        <w:t>6</w:t>
      </w:r>
      <w:r w:rsidR="00BA05F4">
        <w:t>.</w:t>
      </w:r>
      <w:r w:rsidR="00F04BC9">
        <w:t>5</w:t>
      </w:r>
      <w:r w:rsidR="0079609A" w:rsidRPr="008B37F0">
        <w:t xml:space="preserve"> million autos and light trucks sold</w:t>
      </w:r>
      <w:r w:rsidR="00933E80">
        <w:rPr>
          <w:rStyle w:val="FootnoteReference"/>
        </w:rPr>
        <w:footnoteReference w:id="21"/>
      </w:r>
      <w:r w:rsidR="0079609A" w:rsidRPr="008B37F0">
        <w:t xml:space="preserve"> in </w:t>
      </w:r>
      <w:r w:rsidR="00F04BC9">
        <w:t>September</w:t>
      </w:r>
      <w:r w:rsidR="00730BC7">
        <w:t xml:space="preserve"> 2020</w:t>
      </w:r>
      <w:r w:rsidR="008B3E4E">
        <w:t>,</w:t>
      </w:r>
      <w:r w:rsidR="005B40E5">
        <w:t xml:space="preserve"> </w:t>
      </w:r>
      <w:r w:rsidR="006F0678">
        <w:t>up</w:t>
      </w:r>
      <w:r w:rsidR="008B3E4E">
        <w:t xml:space="preserve"> </w:t>
      </w:r>
      <w:r w:rsidR="00730BC7">
        <w:t>1.3</w:t>
      </w:r>
      <w:r w:rsidR="0079609A" w:rsidRPr="008B37F0">
        <w:t xml:space="preserve"> million </w:t>
      </w:r>
      <w:r w:rsidR="00155E88">
        <w:t xml:space="preserve">units </w:t>
      </w:r>
      <w:r w:rsidR="00CF06AE">
        <w:t xml:space="preserve">from </w:t>
      </w:r>
      <w:r w:rsidR="00F04BC9">
        <w:t>August</w:t>
      </w:r>
      <w:r w:rsidR="002361FB">
        <w:t xml:space="preserve"> </w:t>
      </w:r>
      <w:r w:rsidR="00BA05F4">
        <w:t>and</w:t>
      </w:r>
      <w:r w:rsidR="002361FB">
        <w:t xml:space="preserve"> </w:t>
      </w:r>
      <w:r w:rsidR="00730BC7">
        <w:t>3.4</w:t>
      </w:r>
      <w:r w:rsidR="00155E88">
        <w:t xml:space="preserve"> million </w:t>
      </w:r>
      <w:r w:rsidR="00A97343" w:rsidRPr="002D660A">
        <w:t>from</w:t>
      </w:r>
      <w:r w:rsidR="00F04BC9" w:rsidRPr="002D660A">
        <w:t xml:space="preserve"> the </w:t>
      </w:r>
      <w:r w:rsidR="00A97343" w:rsidRPr="002D660A">
        <w:t>end of the 2</w:t>
      </w:r>
      <w:r w:rsidR="00A97343" w:rsidRPr="002D660A">
        <w:rPr>
          <w:vertAlign w:val="superscript"/>
        </w:rPr>
        <w:t>nd</w:t>
      </w:r>
      <w:r w:rsidR="00A97343" w:rsidRPr="002D660A">
        <w:t xml:space="preserve"> </w:t>
      </w:r>
      <w:r w:rsidR="00F04BC9" w:rsidRPr="002D660A">
        <w:t>quarter</w:t>
      </w:r>
      <w:r w:rsidR="00155E88">
        <w:t>.</w:t>
      </w:r>
      <w:r w:rsidR="0079609A" w:rsidRPr="008B37F0">
        <w:t xml:space="preserve"> </w:t>
      </w:r>
      <w:r w:rsidR="00F04BC9">
        <w:t>September</w:t>
      </w:r>
      <w:r w:rsidR="006F0678">
        <w:t xml:space="preserve"> </w:t>
      </w:r>
      <w:r w:rsidR="00730BC7">
        <w:t xml:space="preserve">2020 </w:t>
      </w:r>
      <w:r w:rsidR="006F0678">
        <w:t>sales remained</w:t>
      </w:r>
      <w:r w:rsidR="0079609A" w:rsidRPr="008B37F0">
        <w:t xml:space="preserve"> </w:t>
      </w:r>
      <w:r w:rsidR="00730BC7">
        <w:t>0</w:t>
      </w:r>
      <w:r w:rsidR="00F04BC9">
        <w:t>.6</w:t>
      </w:r>
      <w:r w:rsidR="0079609A" w:rsidRPr="008B37F0">
        <w:t xml:space="preserve"> million units </w:t>
      </w:r>
      <w:r w:rsidR="00B2629D">
        <w:t>below</w:t>
      </w:r>
      <w:r w:rsidR="008B37F0" w:rsidRPr="008B37F0">
        <w:t xml:space="preserve"> </w:t>
      </w:r>
      <w:r w:rsidR="006F0678">
        <w:t>year-ago levels</w:t>
      </w:r>
      <w:r w:rsidR="00B1397B">
        <w:t xml:space="preserve"> but exceeded </w:t>
      </w:r>
      <w:r w:rsidR="006F0678">
        <w:t xml:space="preserve">the </w:t>
      </w:r>
      <w:r w:rsidR="008B37F0" w:rsidRPr="008B37F0">
        <w:t>30-year average of 15.</w:t>
      </w:r>
      <w:r w:rsidR="008B3E4E">
        <w:t>3</w:t>
      </w:r>
      <w:r w:rsidR="0079609A" w:rsidRPr="008B37F0">
        <w:t xml:space="preserve"> million</w:t>
      </w:r>
      <w:r w:rsidR="00354195">
        <w:t xml:space="preserve"> units per month</w:t>
      </w:r>
      <w:r w:rsidR="00F92FD1">
        <w:t>.</w:t>
      </w:r>
    </w:p>
    <w:p w14:paraId="571A905C" w14:textId="5F3D9832" w:rsidR="002E3647" w:rsidRDefault="00F363E0" w:rsidP="003A679B">
      <w:pPr>
        <w:jc w:val="center"/>
      </w:pPr>
      <w:r>
        <w:rPr>
          <w:noProof/>
        </w:rPr>
        <w:drawing>
          <wp:inline distT="0" distB="0" distL="0" distR="0" wp14:anchorId="52031F9D" wp14:editId="0992C934">
            <wp:extent cx="4090670" cy="2743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59B475FF" w14:textId="129CCF30" w:rsidR="002E3647" w:rsidRDefault="008A581A" w:rsidP="00354195">
      <w:r w:rsidRPr="002E3647">
        <w:t>The c</w:t>
      </w:r>
      <w:r w:rsidR="008C5503" w:rsidRPr="002E3647">
        <w:t>onsumer sentiment</w:t>
      </w:r>
      <w:r w:rsidR="00291FFB" w:rsidRPr="002E3647">
        <w:rPr>
          <w:rStyle w:val="FootnoteReference"/>
        </w:rPr>
        <w:footnoteReference w:id="22"/>
      </w:r>
      <w:r w:rsidR="008C5503" w:rsidRPr="002E3647">
        <w:t xml:space="preserve"> </w:t>
      </w:r>
      <w:r w:rsidRPr="002E3647">
        <w:t>index ended</w:t>
      </w:r>
      <w:r w:rsidR="008C5503" w:rsidRPr="002E3647">
        <w:t xml:space="preserve"> </w:t>
      </w:r>
      <w:r w:rsidR="00E71440">
        <w:t xml:space="preserve">the </w:t>
      </w:r>
      <w:r w:rsidR="00B1397B">
        <w:t>3</w:t>
      </w:r>
      <w:r w:rsidR="00B1397B" w:rsidRPr="00B1397B">
        <w:rPr>
          <w:vertAlign w:val="superscript"/>
        </w:rPr>
        <w:t>rd</w:t>
      </w:r>
      <w:r w:rsidR="00B1397B">
        <w:t xml:space="preserve"> </w:t>
      </w:r>
      <w:r w:rsidR="00E71440">
        <w:t>quarter</w:t>
      </w:r>
      <w:r w:rsidRPr="002E3647">
        <w:t xml:space="preserve"> </w:t>
      </w:r>
      <w:r w:rsidR="0036641E">
        <w:t xml:space="preserve">of 2020 </w:t>
      </w:r>
      <w:r w:rsidRPr="002E3647">
        <w:t xml:space="preserve">at </w:t>
      </w:r>
      <w:r w:rsidR="00B1397B">
        <w:t>80</w:t>
      </w:r>
      <w:r w:rsidR="003A679B">
        <w:t>.</w:t>
      </w:r>
      <w:r w:rsidR="00B1397B">
        <w:t>4</w:t>
      </w:r>
      <w:r w:rsidR="006C6752">
        <w:t xml:space="preserve">, </w:t>
      </w:r>
      <w:r w:rsidR="00B1397B">
        <w:t>exceeding economists’ expectations. The index was up</w:t>
      </w:r>
      <w:r w:rsidR="006C6752">
        <w:t xml:space="preserve"> </w:t>
      </w:r>
      <w:r w:rsidR="00B1397B">
        <w:t>2</w:t>
      </w:r>
      <w:r w:rsidR="005D6316">
        <w:t>.3 points</w:t>
      </w:r>
      <w:r w:rsidR="006C6752">
        <w:t xml:space="preserve"> </w:t>
      </w:r>
      <w:r w:rsidR="00B1397B">
        <w:t>since</w:t>
      </w:r>
      <w:r w:rsidR="006C6752">
        <w:t xml:space="preserve"> </w:t>
      </w:r>
      <w:r w:rsidR="00B1397B">
        <w:t>the previous quarter</w:t>
      </w:r>
      <w:r w:rsidR="006F0678">
        <w:t xml:space="preserve"> </w:t>
      </w:r>
      <w:r w:rsidR="00B1397B">
        <w:t>despite a July dip</w:t>
      </w:r>
      <w:r w:rsidR="006970E9" w:rsidRPr="002E3647">
        <w:t xml:space="preserve">. </w:t>
      </w:r>
      <w:r w:rsidR="00B1397B">
        <w:t>September’s</w:t>
      </w:r>
      <w:r w:rsidR="006970E9" w:rsidRPr="002E3647">
        <w:t xml:space="preserve"> consumer sentiment </w:t>
      </w:r>
      <w:r w:rsidR="003A679B">
        <w:t>reading</w:t>
      </w:r>
      <w:r w:rsidR="00D465D5">
        <w:t xml:space="preserve"> was</w:t>
      </w:r>
      <w:r w:rsidR="003A679B">
        <w:t xml:space="preserve"> </w:t>
      </w:r>
      <w:r w:rsidR="00D465D5">
        <w:t>the highest since March</w:t>
      </w:r>
      <w:r w:rsidR="0036641E">
        <w:t xml:space="preserve"> 2020</w:t>
      </w:r>
      <w:r w:rsidR="00D465D5">
        <w:t xml:space="preserve"> but</w:t>
      </w:r>
      <w:r w:rsidR="00D465D5" w:rsidRPr="002E3647">
        <w:t xml:space="preserve"> </w:t>
      </w:r>
      <w:r w:rsidR="006970E9" w:rsidRPr="002E3647">
        <w:t>was</w:t>
      </w:r>
      <w:r w:rsidR="00D465D5">
        <w:t xml:space="preserve"> still</w:t>
      </w:r>
      <w:r w:rsidR="006970E9" w:rsidRPr="002E3647">
        <w:t xml:space="preserve"> </w:t>
      </w:r>
      <w:r w:rsidR="00DB12EF">
        <w:t>well below</w:t>
      </w:r>
      <w:r w:rsidR="003A679B">
        <w:t xml:space="preserve"> </w:t>
      </w:r>
      <w:r w:rsidR="00316E8F">
        <w:t xml:space="preserve">its </w:t>
      </w:r>
      <w:r w:rsidR="00B1397B">
        <w:t xml:space="preserve">year-ago </w:t>
      </w:r>
      <w:r w:rsidR="00316E8F">
        <w:t xml:space="preserve">level of </w:t>
      </w:r>
      <w:r w:rsidR="00A073CB">
        <w:t>9</w:t>
      </w:r>
      <w:r w:rsidR="00B1397B">
        <w:t>3</w:t>
      </w:r>
      <w:r w:rsidR="00A073CB">
        <w:t>.</w:t>
      </w:r>
      <w:r w:rsidR="009D3151">
        <w:t>2</w:t>
      </w:r>
      <w:r w:rsidR="00316E8F">
        <w:t xml:space="preserve"> </w:t>
      </w:r>
      <w:r w:rsidR="009D3151">
        <w:t>and</w:t>
      </w:r>
      <w:r w:rsidR="006970E9" w:rsidRPr="002E3647">
        <w:t xml:space="preserve"> </w:t>
      </w:r>
      <w:r w:rsidR="00B1397B">
        <w:t>its</w:t>
      </w:r>
      <w:r w:rsidR="006970E9" w:rsidRPr="002E3647">
        <w:t xml:space="preserve"> 30-year average of </w:t>
      </w:r>
      <w:r w:rsidRPr="002E3647">
        <w:t>87.</w:t>
      </w:r>
      <w:r w:rsidR="00B1397B">
        <w:t>4</w:t>
      </w:r>
      <w:r w:rsidR="00291FFB" w:rsidRPr="002E3647">
        <w:t>.</w:t>
      </w:r>
    </w:p>
    <w:p w14:paraId="182CF22B" w14:textId="4DA5B285" w:rsidR="000D5719" w:rsidRDefault="00F363E0" w:rsidP="002E3647">
      <w:pPr>
        <w:jc w:val="center"/>
      </w:pPr>
      <w:r>
        <w:rPr>
          <w:noProof/>
        </w:rPr>
        <w:lastRenderedPageBreak/>
        <w:drawing>
          <wp:inline distT="0" distB="0" distL="0" distR="0" wp14:anchorId="045B54CF" wp14:editId="424E3721">
            <wp:extent cx="4090670" cy="27432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149D5F56" w14:textId="77777777" w:rsidR="0091664E" w:rsidRDefault="0091664E" w:rsidP="0091664E">
      <w:pPr>
        <w:pStyle w:val="Heading1"/>
      </w:pPr>
      <w:r>
        <w:t>Capital Markets</w:t>
      </w:r>
    </w:p>
    <w:p w14:paraId="79C54A89" w14:textId="1C08D9F7" w:rsidR="002E3647" w:rsidRDefault="009D3151" w:rsidP="00B875CA">
      <w:r>
        <w:t>T</w:t>
      </w:r>
      <w:r w:rsidR="00842094">
        <w:t xml:space="preserve">he </w:t>
      </w:r>
      <w:r w:rsidR="00FB7EF9">
        <w:t>U</w:t>
      </w:r>
      <w:r w:rsidR="00BC00A7">
        <w:t>.</w:t>
      </w:r>
      <w:r w:rsidR="00FB7EF9">
        <w:t>S</w:t>
      </w:r>
      <w:r w:rsidR="00BC00A7">
        <w:t>.</w:t>
      </w:r>
      <w:r w:rsidR="00FB7EF9">
        <w:t xml:space="preserve"> </w:t>
      </w:r>
      <w:r w:rsidR="008B3E4E">
        <w:t xml:space="preserve">stock </w:t>
      </w:r>
      <w:r w:rsidR="00842094">
        <w:t xml:space="preserve">market </w:t>
      </w:r>
      <w:r w:rsidR="00D465D5">
        <w:t xml:space="preserve">continued </w:t>
      </w:r>
      <w:r w:rsidR="00EF7D2D">
        <w:t xml:space="preserve">its </w:t>
      </w:r>
      <w:r w:rsidR="00D8538D">
        <w:t>2</w:t>
      </w:r>
      <w:r w:rsidR="00D8538D" w:rsidRPr="00D8538D">
        <w:rPr>
          <w:vertAlign w:val="superscript"/>
        </w:rPr>
        <w:t>nd</w:t>
      </w:r>
      <w:r w:rsidR="00D8538D">
        <w:t xml:space="preserve"> quarter</w:t>
      </w:r>
      <w:r w:rsidR="00EF7D2D">
        <w:t xml:space="preserve"> rally into the 3</w:t>
      </w:r>
      <w:r w:rsidR="00EF7D2D" w:rsidRPr="00EF7D2D">
        <w:rPr>
          <w:vertAlign w:val="superscript"/>
        </w:rPr>
        <w:t>rd</w:t>
      </w:r>
      <w:r w:rsidR="00EF7D2D">
        <w:t xml:space="preserve"> quarter but entered a slide, considered a </w:t>
      </w:r>
      <w:r w:rsidR="00E342CC">
        <w:t xml:space="preserve">healthy </w:t>
      </w:r>
      <w:r w:rsidR="00EF7D2D">
        <w:t xml:space="preserve">market correction by </w:t>
      </w:r>
      <w:r w:rsidR="007E7320">
        <w:t>many</w:t>
      </w:r>
      <w:r w:rsidR="00EF7D2D">
        <w:t>, in September</w:t>
      </w:r>
      <w:r w:rsidR="00F27237">
        <w:t xml:space="preserve">. </w:t>
      </w:r>
      <w:r w:rsidR="00EF7D2D">
        <w:t>The technology sector</w:t>
      </w:r>
      <w:r w:rsidR="00E342CC">
        <w:t>, which had dominated the Spring and Summer surge,</w:t>
      </w:r>
      <w:r w:rsidR="00EF7D2D">
        <w:t xml:space="preserve"> took the biggest hit in September, </w:t>
      </w:r>
      <w:r w:rsidR="00E342CC">
        <w:t>on c</w:t>
      </w:r>
      <w:r w:rsidR="00EF7D2D">
        <w:t xml:space="preserve">oncerns </w:t>
      </w:r>
      <w:r w:rsidR="0036641E">
        <w:t>about</w:t>
      </w:r>
      <w:r w:rsidR="00EF7D2D">
        <w:t xml:space="preserve"> </w:t>
      </w:r>
      <w:r w:rsidR="00E342CC">
        <w:t xml:space="preserve">overvaluation, antitrust regulation, and </w:t>
      </w:r>
      <w:r w:rsidR="0036641E">
        <w:t xml:space="preserve">the upcoming national </w:t>
      </w:r>
      <w:r w:rsidR="00E342CC">
        <w:t>electio</w:t>
      </w:r>
      <w:r w:rsidR="0036641E">
        <w:t>n</w:t>
      </w:r>
      <w:r w:rsidR="00D8538D">
        <w:t xml:space="preserve">. </w:t>
      </w:r>
      <w:r w:rsidR="002A14C5">
        <w:t xml:space="preserve">The </w:t>
      </w:r>
      <w:r w:rsidR="00D8538D">
        <w:t>NASDAQ Composite</w:t>
      </w:r>
      <w:r w:rsidR="002A14C5">
        <w:t xml:space="preserve"> </w:t>
      </w:r>
      <w:r w:rsidR="00E342CC">
        <w:t>advanced 11.0</w:t>
      </w:r>
      <w:r w:rsidR="002A14C5">
        <w:t xml:space="preserve">% in the </w:t>
      </w:r>
      <w:r w:rsidR="00E342CC">
        <w:t>3</w:t>
      </w:r>
      <w:r w:rsidR="00E342CC" w:rsidRPr="00E342CC">
        <w:rPr>
          <w:vertAlign w:val="superscript"/>
        </w:rPr>
        <w:t>rd</w:t>
      </w:r>
      <w:r w:rsidR="00E342CC">
        <w:t xml:space="preserve"> </w:t>
      </w:r>
      <w:r w:rsidR="002A14C5">
        <w:t xml:space="preserve">quarter and </w:t>
      </w:r>
      <w:r w:rsidR="00E342CC">
        <w:t>39.6%</w:t>
      </w:r>
      <w:r w:rsidR="00CB3DAF">
        <w:t xml:space="preserve"> </w:t>
      </w:r>
      <w:r w:rsidR="009C4651">
        <w:t xml:space="preserve">over the </w:t>
      </w:r>
      <w:r w:rsidR="005D6316">
        <w:t>last 12 months</w:t>
      </w:r>
      <w:r w:rsidR="00E342CC">
        <w:t>. T</w:t>
      </w:r>
      <w:r w:rsidR="00822897">
        <w:t xml:space="preserve">he </w:t>
      </w:r>
      <w:r w:rsidR="00180CA9">
        <w:t xml:space="preserve">S&amp;P </w:t>
      </w:r>
      <w:r w:rsidR="00CB3DAF">
        <w:t xml:space="preserve">500 </w:t>
      </w:r>
      <w:r w:rsidR="00180CA9">
        <w:t xml:space="preserve">climbed </w:t>
      </w:r>
      <w:r w:rsidR="00E342CC">
        <w:t>8.5</w:t>
      </w:r>
      <w:r w:rsidR="004B3923">
        <w:t xml:space="preserve">% </w:t>
      </w:r>
      <w:r w:rsidR="00CB3DAF">
        <w:t xml:space="preserve">during </w:t>
      </w:r>
      <w:r w:rsidR="002F3ADD">
        <w:t xml:space="preserve">the </w:t>
      </w:r>
      <w:r w:rsidR="00E342CC">
        <w:t>3</w:t>
      </w:r>
      <w:r w:rsidR="00E342CC" w:rsidRPr="00E342CC">
        <w:rPr>
          <w:vertAlign w:val="superscript"/>
        </w:rPr>
        <w:t>rd</w:t>
      </w:r>
      <w:r w:rsidR="00E342CC">
        <w:t xml:space="preserve"> </w:t>
      </w:r>
      <w:r w:rsidR="002F3ADD">
        <w:t>quarter</w:t>
      </w:r>
      <w:r w:rsidR="00E342CC">
        <w:t xml:space="preserve"> and 13.0</w:t>
      </w:r>
      <w:r w:rsidR="005D6316">
        <w:t>%</w:t>
      </w:r>
      <w:r w:rsidR="002F3ADD">
        <w:t xml:space="preserve"> over the</w:t>
      </w:r>
      <w:r w:rsidR="005D6316">
        <w:t xml:space="preserve"> last 12 months</w:t>
      </w:r>
      <w:r w:rsidR="002F3ADD">
        <w:t>.</w:t>
      </w:r>
      <w:r w:rsidR="002A14C5">
        <w:t xml:space="preserve"> </w:t>
      </w:r>
      <w:r w:rsidR="00180CA9">
        <w:t xml:space="preserve">The Dow Jones Transportation Average </w:t>
      </w:r>
      <w:r w:rsidR="00E342CC">
        <w:t>sustained a steep rebound</w:t>
      </w:r>
      <w:r w:rsidR="00180CA9">
        <w:t xml:space="preserve"> </w:t>
      </w:r>
      <w:r w:rsidR="00CB3DAF">
        <w:t>over</w:t>
      </w:r>
      <w:r w:rsidR="00180CA9">
        <w:t xml:space="preserve"> the </w:t>
      </w:r>
      <w:r w:rsidR="00E342CC">
        <w:t>3</w:t>
      </w:r>
      <w:r w:rsidR="00E342CC" w:rsidRPr="00E342CC">
        <w:rPr>
          <w:vertAlign w:val="superscript"/>
        </w:rPr>
        <w:t>rd</w:t>
      </w:r>
      <w:r w:rsidR="00E342CC">
        <w:t xml:space="preserve"> </w:t>
      </w:r>
      <w:r w:rsidR="00180CA9">
        <w:t>quarter,</w:t>
      </w:r>
      <w:r w:rsidR="00E342CC">
        <w:t xml:space="preserve"> up 22.4%,</w:t>
      </w:r>
      <w:r w:rsidR="00180CA9">
        <w:t xml:space="preserve"> </w:t>
      </w:r>
      <w:r w:rsidR="00E342CC">
        <w:t xml:space="preserve">and rose </w:t>
      </w:r>
      <w:r w:rsidR="00F363E0">
        <w:t>11.0</w:t>
      </w:r>
      <w:r w:rsidR="00180CA9">
        <w:t xml:space="preserve">% </w:t>
      </w:r>
      <w:r w:rsidR="00E342CC">
        <w:t>above</w:t>
      </w:r>
      <w:r w:rsidR="00180CA9">
        <w:t xml:space="preserve"> its year-ago level.</w:t>
      </w:r>
    </w:p>
    <w:p w14:paraId="3C77E48B" w14:textId="5FBD86C1" w:rsidR="002E3647" w:rsidRDefault="00F363E0" w:rsidP="002308A9">
      <w:pPr>
        <w:jc w:val="center"/>
      </w:pPr>
      <w:r w:rsidRPr="00F363E0">
        <w:drawing>
          <wp:inline distT="0" distB="0" distL="0" distR="0" wp14:anchorId="26F69B48" wp14:editId="7AD530C9">
            <wp:extent cx="5343525" cy="1533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1533525"/>
                    </a:xfrm>
                    <a:prstGeom prst="rect">
                      <a:avLst/>
                    </a:prstGeom>
                    <a:noFill/>
                    <a:ln>
                      <a:noFill/>
                    </a:ln>
                  </pic:spPr>
                </pic:pic>
              </a:graphicData>
            </a:graphic>
          </wp:inline>
        </w:drawing>
      </w:r>
    </w:p>
    <w:p w14:paraId="3743084E" w14:textId="7A0CB20E" w:rsidR="00857079" w:rsidRDefault="00F363E0" w:rsidP="00BB3B04">
      <w:pPr>
        <w:jc w:val="center"/>
        <w:rPr>
          <w:color w:val="FF0000"/>
        </w:rPr>
      </w:pPr>
      <w:r>
        <w:rPr>
          <w:noProof/>
          <w:color w:val="FF0000"/>
        </w:rPr>
        <w:lastRenderedPageBreak/>
        <w:drawing>
          <wp:inline distT="0" distB="0" distL="0" distR="0" wp14:anchorId="2AC9BEC0" wp14:editId="61AE62AF">
            <wp:extent cx="4097020" cy="274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3E9D1768" w14:textId="2FA4FF45" w:rsidR="0007515A" w:rsidRDefault="00100DF8" w:rsidP="00354195">
      <w:r>
        <w:t>Stock market v</w:t>
      </w:r>
      <w:r w:rsidR="0007515A">
        <w:t>olatility</w:t>
      </w:r>
      <w:r w:rsidR="0007515A">
        <w:rPr>
          <w:rStyle w:val="FootnoteReference"/>
        </w:rPr>
        <w:footnoteReference w:id="23"/>
      </w:r>
      <w:r>
        <w:t xml:space="preserve"> ended the </w:t>
      </w:r>
      <w:r w:rsidR="009C057C">
        <w:t>3</w:t>
      </w:r>
      <w:r w:rsidR="009C057C" w:rsidRPr="009C057C">
        <w:rPr>
          <w:vertAlign w:val="superscript"/>
        </w:rPr>
        <w:t>rd</w:t>
      </w:r>
      <w:r w:rsidR="009C057C">
        <w:t xml:space="preserve"> </w:t>
      </w:r>
      <w:r>
        <w:t xml:space="preserve">quarter </w:t>
      </w:r>
      <w:r w:rsidR="0036641E">
        <w:t xml:space="preserve">of 2020 </w:t>
      </w:r>
      <w:r>
        <w:t xml:space="preserve">at </w:t>
      </w:r>
      <w:r w:rsidR="009C057C" w:rsidRPr="009C057C">
        <w:t>26.</w:t>
      </w:r>
      <w:r w:rsidR="009C057C">
        <w:t>4</w:t>
      </w:r>
      <w:r>
        <w:t xml:space="preserve">, </w:t>
      </w:r>
      <w:r w:rsidR="00180CA9">
        <w:t xml:space="preserve">down </w:t>
      </w:r>
      <w:r w:rsidR="0036641E">
        <w:t>56.3</w:t>
      </w:r>
      <w:r w:rsidR="005D6316">
        <w:t xml:space="preserve"> points</w:t>
      </w:r>
      <w:r>
        <w:t xml:space="preserve"> </w:t>
      </w:r>
      <w:r w:rsidR="005D6316">
        <w:t>from</w:t>
      </w:r>
      <w:r>
        <w:t xml:space="preserve"> </w:t>
      </w:r>
      <w:r w:rsidR="007E7320">
        <w:t>its mid-March peak and 4.1 points since the end of the 2</w:t>
      </w:r>
      <w:r w:rsidR="007E7320" w:rsidRPr="007E7320">
        <w:rPr>
          <w:vertAlign w:val="superscript"/>
        </w:rPr>
        <w:t>nd</w:t>
      </w:r>
      <w:r w:rsidR="007E7320">
        <w:t xml:space="preserve"> quarter. Still, the volatility index remained</w:t>
      </w:r>
      <w:r w:rsidR="00FC4EEE">
        <w:t xml:space="preserve"> </w:t>
      </w:r>
      <w:r w:rsidR="007E7320">
        <w:t xml:space="preserve">well </w:t>
      </w:r>
      <w:r w:rsidR="00FC4EEE">
        <w:t>above</w:t>
      </w:r>
      <w:r>
        <w:t xml:space="preserve"> </w:t>
      </w:r>
      <w:r w:rsidR="007E7320">
        <w:t>its</w:t>
      </w:r>
      <w:r>
        <w:t xml:space="preserve"> 10-year average of </w:t>
      </w:r>
      <w:r w:rsidR="004B3923">
        <w:t>1</w:t>
      </w:r>
      <w:r w:rsidR="007E7320">
        <w:t>7.</w:t>
      </w:r>
      <w:r w:rsidR="0036641E">
        <w:t>4</w:t>
      </w:r>
      <w:r>
        <w:t xml:space="preserve">. </w:t>
      </w:r>
      <w:r w:rsidR="00D44971">
        <w:t>T</w:t>
      </w:r>
      <w:r>
        <w:t>he volatility index, a proxy for investor anxiety derived from tracking options prices on S&amp;P 500 stocks</w:t>
      </w:r>
      <w:r w:rsidR="00C01B26">
        <w:t xml:space="preserve">, </w:t>
      </w:r>
      <w:r w:rsidR="007E7320">
        <w:t xml:space="preserve">rose in September in the absence of </w:t>
      </w:r>
      <w:r w:rsidR="006C2DAB">
        <w:t xml:space="preserve">further federal pandemic emergency funding and </w:t>
      </w:r>
      <w:r w:rsidR="007E7320">
        <w:t>in advance of the 2020 presidential election</w:t>
      </w:r>
      <w:r w:rsidR="004B6D7A">
        <w:t>.</w:t>
      </w:r>
    </w:p>
    <w:p w14:paraId="0420E509" w14:textId="1EAE60C7" w:rsidR="00100DF8" w:rsidRPr="00354195" w:rsidRDefault="00F363E0" w:rsidP="00FD0160">
      <w:pPr>
        <w:jc w:val="center"/>
      </w:pPr>
      <w:r>
        <w:rPr>
          <w:noProof/>
        </w:rPr>
        <w:drawing>
          <wp:inline distT="0" distB="0" distL="0" distR="0" wp14:anchorId="52C0DB3E" wp14:editId="7E51AEDD">
            <wp:extent cx="4097020" cy="2749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F93" w14:textId="77777777" w:rsidR="00E44639" w:rsidRDefault="00E44639" w:rsidP="00E44639">
      <w:pPr>
        <w:pStyle w:val="Heading1"/>
      </w:pPr>
      <w:r>
        <w:lastRenderedPageBreak/>
        <w:t>Outlook</w:t>
      </w:r>
    </w:p>
    <w:p w14:paraId="149D5F95" w14:textId="54556E15" w:rsidR="0022226D" w:rsidRDefault="003071CD" w:rsidP="00E44639">
      <w:r>
        <w:t xml:space="preserve">In </w:t>
      </w:r>
      <w:r w:rsidR="006C2DAB">
        <w:t>September</w:t>
      </w:r>
      <w:r>
        <w:t xml:space="preserve"> 20</w:t>
      </w:r>
      <w:r w:rsidR="0049182B">
        <w:t>20</w:t>
      </w:r>
      <w:r>
        <w:t xml:space="preserve">, the FOMC </w:t>
      </w:r>
      <w:r w:rsidR="0049182B">
        <w:t>projected</w:t>
      </w:r>
      <w:r w:rsidR="00F60736" w:rsidRPr="00090DA6">
        <w:t xml:space="preserve"> real GDP </w:t>
      </w:r>
      <w:r w:rsidR="004907DA">
        <w:t xml:space="preserve">to </w:t>
      </w:r>
      <w:r w:rsidR="0049182B">
        <w:t>decline</w:t>
      </w:r>
      <w:r w:rsidR="00BF5CE2">
        <w:rPr>
          <w:rStyle w:val="FootnoteReference"/>
        </w:rPr>
        <w:footnoteReference w:id="24"/>
      </w:r>
      <w:r w:rsidR="00F60736" w:rsidRPr="00090DA6">
        <w:t xml:space="preserve"> </w:t>
      </w:r>
      <w:r w:rsidR="006C2DAB">
        <w:t>3.50</w:t>
      </w:r>
      <w:r w:rsidR="0049182B">
        <w:t xml:space="preserve">% </w:t>
      </w:r>
      <w:r w:rsidR="004907DA">
        <w:t>during</w:t>
      </w:r>
      <w:r w:rsidR="0049182B">
        <w:t xml:space="preserve"> 2020, followed by</w:t>
      </w:r>
      <w:r w:rsidR="00F60736" w:rsidRPr="00090DA6">
        <w:t xml:space="preserve"> </w:t>
      </w:r>
      <w:r w:rsidR="006C2DAB">
        <w:t>4.15</w:t>
      </w:r>
      <w:r w:rsidR="00F60736" w:rsidRPr="00090DA6">
        <w:t>%</w:t>
      </w:r>
      <w:r w:rsidR="0049182B">
        <w:t xml:space="preserve"> growth in</w:t>
      </w:r>
      <w:r w:rsidR="00F60736" w:rsidRPr="00090DA6">
        <w:t xml:space="preserve"> 20</w:t>
      </w:r>
      <w:r w:rsidR="00090DA6" w:rsidRPr="00090DA6">
        <w:t>2</w:t>
      </w:r>
      <w:r w:rsidR="000D646D">
        <w:t>1</w:t>
      </w:r>
      <w:r w:rsidR="0049182B">
        <w:t xml:space="preserve">, slowing to </w:t>
      </w:r>
      <w:r w:rsidR="006C2DAB">
        <w:t>2.90</w:t>
      </w:r>
      <w:r w:rsidR="0049182B">
        <w:t>% in</w:t>
      </w:r>
      <w:r w:rsidR="000D646D">
        <w:t xml:space="preserve"> 202</w:t>
      </w:r>
      <w:r w:rsidR="00140FEE">
        <w:t>2</w:t>
      </w:r>
      <w:r w:rsidR="00F60736" w:rsidRPr="00090DA6">
        <w:t>. They expect</w:t>
      </w:r>
      <w:r>
        <w:t>ed</w:t>
      </w:r>
      <w:r w:rsidR="00F60736" w:rsidRPr="00090DA6">
        <w:t xml:space="preserve"> Personal Consumption Expendit</w:t>
      </w:r>
      <w:r w:rsidR="00090DA6" w:rsidRPr="00090DA6">
        <w:t>ures (PCE)</w:t>
      </w:r>
      <w:r w:rsidR="005D3CEF">
        <w:rPr>
          <w:rStyle w:val="FootnoteReference"/>
        </w:rPr>
        <w:footnoteReference w:id="25"/>
      </w:r>
      <w:r w:rsidR="00090DA6" w:rsidRPr="00090DA6">
        <w:t xml:space="preserve"> to </w:t>
      </w:r>
      <w:r w:rsidR="006C2DAB">
        <w:t>grow 1.20</w:t>
      </w:r>
      <w:r w:rsidR="0049182B">
        <w:t xml:space="preserve">% in 2020, then </w:t>
      </w:r>
      <w:r w:rsidR="006C2DAB">
        <w:t>accelerate</w:t>
      </w:r>
      <w:r w:rsidR="0049182B">
        <w:t xml:space="preserve"> to 1.</w:t>
      </w:r>
      <w:r w:rsidR="006C2DAB">
        <w:t>80</w:t>
      </w:r>
      <w:r w:rsidR="00090DA6" w:rsidRPr="00090DA6">
        <w:t xml:space="preserve">% by </w:t>
      </w:r>
      <w:r w:rsidR="00AB6F46">
        <w:t>202</w:t>
      </w:r>
      <w:r w:rsidR="00140FEE">
        <w:t>2</w:t>
      </w:r>
      <w:r w:rsidR="00F60736" w:rsidRPr="00090DA6">
        <w:t>. The</w:t>
      </w:r>
      <w:r w:rsidR="004907DA">
        <w:t>y</w:t>
      </w:r>
      <w:r w:rsidR="00F60736" w:rsidRPr="00090DA6">
        <w:t xml:space="preserve"> forecast th</w:t>
      </w:r>
      <w:r w:rsidR="004907DA">
        <w:t>at th</w:t>
      </w:r>
      <w:r w:rsidR="00F60736" w:rsidRPr="00090DA6">
        <w:t>e unemployment rate</w:t>
      </w:r>
      <w:r w:rsidR="00E72196">
        <w:rPr>
          <w:rStyle w:val="FootnoteReference"/>
        </w:rPr>
        <w:footnoteReference w:id="26"/>
      </w:r>
      <w:r w:rsidR="00F60736" w:rsidRPr="00090DA6">
        <w:t xml:space="preserve"> </w:t>
      </w:r>
      <w:r w:rsidR="004907DA">
        <w:t>will</w:t>
      </w:r>
      <w:r w:rsidR="00F60736" w:rsidRPr="00090DA6">
        <w:t xml:space="preserve"> </w:t>
      </w:r>
      <w:r w:rsidR="004907DA">
        <w:t xml:space="preserve">end 2020 at </w:t>
      </w:r>
      <w:r w:rsidR="006C2DAB">
        <w:t>7.</w:t>
      </w:r>
      <w:r w:rsidR="0049182B">
        <w:t>50</w:t>
      </w:r>
      <w:r w:rsidR="00F60736" w:rsidRPr="00090DA6">
        <w:t>%</w:t>
      </w:r>
      <w:r w:rsidR="0049182B">
        <w:t xml:space="preserve">, easing to </w:t>
      </w:r>
      <w:r w:rsidR="006C2DAB">
        <w:t>4.50</w:t>
      </w:r>
      <w:r w:rsidR="0049182B">
        <w:t xml:space="preserve">% </w:t>
      </w:r>
      <w:r w:rsidR="00F11B2B">
        <w:t>by</w:t>
      </w:r>
      <w:r w:rsidR="00F60736" w:rsidRPr="00090DA6">
        <w:t xml:space="preserve"> 20</w:t>
      </w:r>
      <w:r w:rsidR="00090DA6" w:rsidRPr="00090DA6">
        <w:t>2</w:t>
      </w:r>
      <w:r w:rsidR="00140FEE">
        <w:t>2</w:t>
      </w:r>
      <w:r>
        <w:t>.</w:t>
      </w:r>
    </w:p>
    <w:p w14:paraId="4D630423" w14:textId="1A57B714" w:rsidR="00FD0160" w:rsidRDefault="00E64DB8" w:rsidP="002308A9">
      <w:pPr>
        <w:jc w:val="center"/>
      </w:pPr>
      <w:r w:rsidRPr="00E64DB8">
        <w:drawing>
          <wp:inline distT="0" distB="0" distL="0" distR="0" wp14:anchorId="7DE032C1" wp14:editId="59187545">
            <wp:extent cx="3762375" cy="115252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14:paraId="3DA5A3C9" w14:textId="77777777" w:rsidR="002308A9" w:rsidRDefault="002308A9">
      <w:pPr>
        <w:rPr>
          <w:rFonts w:asciiTheme="majorHAnsi" w:eastAsiaTheme="majorEastAsia" w:hAnsiTheme="majorHAnsi" w:cstheme="majorBidi"/>
          <w:color w:val="008FD5"/>
          <w:sz w:val="36"/>
          <w:szCs w:val="32"/>
        </w:rPr>
      </w:pPr>
      <w:r>
        <w:br w:type="page"/>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149D5FB5" w14:textId="77777777" w:rsidR="001475FF" w:rsidRDefault="001475FF" w:rsidP="001475FF">
      <w:pPr>
        <w:pStyle w:val="Heading1"/>
      </w:pPr>
      <w:bookmarkStart w:id="0" w:name="_Hlk31896782"/>
      <w:r>
        <w:t xml:space="preserve">About </w:t>
      </w:r>
      <w:proofErr w:type="spellStart"/>
      <w:r>
        <w:t>TagniFi</w:t>
      </w:r>
      <w:proofErr w:type="spellEnd"/>
    </w:p>
    <w:bookmarkEnd w:id="0"/>
    <w:p w14:paraId="48B0785A" w14:textId="605E137B" w:rsidR="00964DD4" w:rsidRDefault="00964DD4" w:rsidP="00964DD4">
      <w:r>
        <w:t xml:space="preserve">In July 2015 we released our first dataset, </w:t>
      </w:r>
      <w:proofErr w:type="spellStart"/>
      <w:r>
        <w:t>TagniFi</w:t>
      </w:r>
      <w:proofErr w:type="spellEnd"/>
      <w:r>
        <w:t xml:space="preserve"> Fundamentals, because we thought investors and finance professionals needed a better solution for financial data. Since then our mission has remained the same: to serve our clients with the best financial data available at a reasonable price. We do this by developing innovative solutions to leverage tagged financial statements which allow us to deliver better, faster and more detailed data at a fraction of the cost.</w:t>
      </w:r>
    </w:p>
    <w:p w14:paraId="0F1887EF" w14:textId="4F6BA8A7" w:rsidR="00964DD4" w:rsidRDefault="00964DD4" w:rsidP="00230D29">
      <w:r>
        <w:t xml:space="preserve">Today </w:t>
      </w:r>
      <w:proofErr w:type="spellStart"/>
      <w:r>
        <w:t>TagniFi</w:t>
      </w:r>
      <w:proofErr w:type="spellEnd"/>
      <w:r>
        <w:t xml:space="preserve"> is a platform of financial data aimed at making our clients more productive and prosperous. We're helping clients in all corners of finance make better decisions with better data. We relentlessly focus on quality and the trust we've earned from our clients is our greatest asset. Our growth is centered around our clients' needs as we look to expand our platform with new data. Referrals from our existing clients is the ultimate compliment so we choose to invest in our product, not flashy marketing </w:t>
      </w:r>
      <w:proofErr w:type="spellStart"/>
      <w:r>
        <w:t>campaigns.</w:t>
      </w:r>
      <w:r w:rsidR="00C36857" w:rsidRPr="0017465F">
        <w:t>For</w:t>
      </w:r>
      <w:proofErr w:type="spellEnd"/>
      <w:r w:rsidR="00C36857" w:rsidRPr="0017465F">
        <w:t xml:space="preserve"> more information on </w:t>
      </w:r>
      <w:proofErr w:type="spellStart"/>
      <w:r w:rsidR="00C36857" w:rsidRPr="0017465F">
        <w:t>TagniFi</w:t>
      </w:r>
      <w:proofErr w:type="spellEnd"/>
      <w:r w:rsidR="00C36857" w:rsidRPr="0017465F">
        <w:t>, please visit</w:t>
      </w:r>
      <w:r w:rsidR="00230D29" w:rsidRPr="0017465F">
        <w:t xml:space="preserve"> </w:t>
      </w:r>
      <w:hyperlink r:id="rId35"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proofErr w:type="spellStart"/>
      <w:r w:rsidRPr="00964DD4">
        <w:t>TagniFi’s</w:t>
      </w:r>
      <w:proofErr w:type="spellEnd"/>
      <w:r w:rsidRPr="00964DD4">
        <w:t xml:space="preserve">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 xml:space="preserve">Search for public companies with </w:t>
      </w:r>
      <w:proofErr w:type="spellStart"/>
      <w:r w:rsidR="004C20AB" w:rsidRPr="004C20AB">
        <w:t>TagniFi</w:t>
      </w:r>
      <w:proofErr w:type="spellEnd"/>
      <w:r w:rsidR="004C20AB" w:rsidRPr="004C20AB">
        <w:t xml:space="preserve">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 xml:space="preserve">Search for closed-end mutual funds by keyword, category, subcategory, and more with the </w:t>
      </w:r>
      <w:proofErr w:type="spellStart"/>
      <w:r>
        <w:t>TagniFi</w:t>
      </w:r>
      <w:proofErr w:type="spellEnd"/>
      <w:r>
        <w:t xml:space="preserve"> Console. Use the </w:t>
      </w:r>
      <w:proofErr w:type="spellStart"/>
      <w:r>
        <w:t>TagniFi</w:t>
      </w:r>
      <w:proofErr w:type="spellEnd"/>
      <w:r>
        <w:t xml:space="preserve">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w:t>
      </w:r>
      <w:proofErr w:type="spellStart"/>
      <w:r w:rsidRPr="004C20AB">
        <w:t>TagniFi</w:t>
      </w:r>
      <w:proofErr w:type="spellEnd"/>
      <w:r w:rsidRPr="004C20AB">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1"/>
      <w:footerReference w:type="defaul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0188E" w14:textId="77777777" w:rsidR="00AD5BB8" w:rsidRDefault="00AD5BB8" w:rsidP="00171C8E">
      <w:pPr>
        <w:spacing w:after="0" w:line="240" w:lineRule="auto"/>
      </w:pPr>
      <w:r>
        <w:separator/>
      </w:r>
    </w:p>
  </w:endnote>
  <w:endnote w:type="continuationSeparator" w:id="0">
    <w:p w14:paraId="01DD6B08" w14:textId="77777777" w:rsidR="00AD5BB8" w:rsidRDefault="00AD5BB8"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5FE8" w14:textId="7FA7671E" w:rsidR="00111911" w:rsidRDefault="00111911">
    <w:pPr>
      <w:pStyle w:val="Footer"/>
    </w:pPr>
    <w:r>
      <w:t xml:space="preserve">© 2020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AF58" w14:textId="5EAC5F17" w:rsidR="00111911" w:rsidRDefault="00111911">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DECE9" w14:textId="77777777" w:rsidR="00AD5BB8" w:rsidRDefault="00AD5BB8" w:rsidP="00171C8E">
      <w:pPr>
        <w:spacing w:after="0" w:line="240" w:lineRule="auto"/>
      </w:pPr>
      <w:r>
        <w:separator/>
      </w:r>
    </w:p>
  </w:footnote>
  <w:footnote w:type="continuationSeparator" w:id="0">
    <w:p w14:paraId="6DA4ABB0" w14:textId="77777777" w:rsidR="00AD5BB8" w:rsidRDefault="00AD5BB8" w:rsidP="00171C8E">
      <w:pPr>
        <w:spacing w:after="0" w:line="240" w:lineRule="auto"/>
      </w:pPr>
      <w:r>
        <w:continuationSeparator/>
      </w:r>
    </w:p>
  </w:footnote>
  <w:footnote w:id="1">
    <w:p w14:paraId="0E9249D4" w14:textId="1744FD9D" w:rsidR="00111911" w:rsidRDefault="00111911">
      <w:pPr>
        <w:pStyle w:val="FootnoteText"/>
      </w:pPr>
      <w:r>
        <w:rPr>
          <w:rStyle w:val="FootnoteReference"/>
        </w:rPr>
        <w:footnoteRef/>
      </w:r>
      <w:r>
        <w:t xml:space="preserve"> </w:t>
      </w:r>
      <w:r w:rsidRPr="00111911">
        <w:rPr>
          <w:i/>
          <w:iCs/>
          <w:sz w:val="16"/>
          <w:szCs w:val="16"/>
        </w:rPr>
        <w:t xml:space="preserve">US Business Cycle Expansions and Contractions, retrieved from the National Bureau of Economic Research (NBER), </w:t>
      </w:r>
      <w:hyperlink r:id="rId1" w:history="1">
        <w:r w:rsidRPr="00111911">
          <w:rPr>
            <w:rStyle w:val="Hyperlink"/>
            <w:i/>
            <w:iCs/>
            <w:sz w:val="16"/>
            <w:szCs w:val="16"/>
          </w:rPr>
          <w:t>https://www.nber.org/research/data/us-business-cycle-expansions-and-contractions</w:t>
        </w:r>
      </w:hyperlink>
      <w:r w:rsidRPr="00111911">
        <w:rPr>
          <w:i/>
          <w:iCs/>
          <w:sz w:val="16"/>
          <w:szCs w:val="16"/>
        </w:rPr>
        <w:t>, October 31, 2020.</w:t>
      </w:r>
    </w:p>
  </w:footnote>
  <w:footnote w:id="2">
    <w:p w14:paraId="3F8CBEDA" w14:textId="77777777" w:rsidR="00111911" w:rsidRPr="00952AF7" w:rsidRDefault="00111911" w:rsidP="001E26E8">
      <w:pPr>
        <w:pStyle w:val="FootnoteText"/>
        <w:rPr>
          <w:rFonts w:cstheme="minorHAnsi"/>
          <w:i/>
          <w:iCs/>
          <w:color w:val="222222"/>
          <w:sz w:val="16"/>
          <w:szCs w:val="16"/>
          <w:shd w:val="clear" w:color="auto" w:fill="FFFFFF"/>
        </w:rPr>
      </w:pPr>
      <w:r>
        <w:rPr>
          <w:rStyle w:val="FootnoteReference"/>
        </w:rPr>
        <w:footnoteRef/>
      </w:r>
      <w:r>
        <w:t xml:space="preserve"> </w:t>
      </w:r>
      <w:r w:rsidRPr="00952AF7">
        <w:rPr>
          <w:rFonts w:cstheme="minorHAnsi"/>
          <w:i/>
          <w:iCs/>
          <w:color w:val="222222"/>
          <w:sz w:val="16"/>
          <w:szCs w:val="16"/>
          <w:shd w:val="clear" w:color="auto" w:fill="FFFFFF"/>
        </w:rPr>
        <w:t xml:space="preserve">Coronavirus Locations: COVID-19 Map by County and State, retrieved from </w:t>
      </w:r>
      <w:proofErr w:type="spellStart"/>
      <w:r w:rsidRPr="00952AF7">
        <w:rPr>
          <w:rFonts w:cstheme="minorHAnsi"/>
          <w:i/>
          <w:iCs/>
          <w:color w:val="222222"/>
          <w:sz w:val="16"/>
          <w:szCs w:val="16"/>
          <w:shd w:val="clear" w:color="auto" w:fill="FFFFFF"/>
        </w:rPr>
        <w:t>USAFacts</w:t>
      </w:r>
      <w:proofErr w:type="spellEnd"/>
      <w:r w:rsidRPr="00952AF7">
        <w:rPr>
          <w:rFonts w:cstheme="minorHAnsi"/>
          <w:i/>
          <w:iCs/>
          <w:color w:val="222222"/>
          <w:sz w:val="16"/>
          <w:szCs w:val="16"/>
          <w:shd w:val="clear" w:color="auto" w:fill="FFFFFF"/>
        </w:rPr>
        <w:t>,</w:t>
      </w:r>
      <w:r>
        <w:t xml:space="preserve"> </w:t>
      </w:r>
      <w:hyperlink r:id="rId2" w:history="1">
        <w:r w:rsidRPr="00952AF7">
          <w:rPr>
            <w:rStyle w:val="Hyperlink"/>
            <w:rFonts w:cstheme="minorHAnsi"/>
            <w:i/>
            <w:iCs/>
            <w:sz w:val="16"/>
            <w:szCs w:val="16"/>
            <w:shd w:val="clear" w:color="auto" w:fill="FFFFFF"/>
          </w:rPr>
          <w:t>https://usafacts.org/visualizations/coronavirus-covid-19-spread-map/</w:t>
        </w:r>
      </w:hyperlink>
      <w:r w:rsidRPr="00952AF7">
        <w:rPr>
          <w:i/>
          <w:iCs/>
          <w:sz w:val="16"/>
          <w:szCs w:val="16"/>
        </w:rPr>
        <w:t>,</w:t>
      </w:r>
      <w:r w:rsidRPr="00952AF7">
        <w:rPr>
          <w:rFonts w:cstheme="minorHAnsi"/>
          <w:i/>
          <w:iCs/>
          <w:color w:val="222222"/>
          <w:sz w:val="16"/>
          <w:szCs w:val="16"/>
          <w:shd w:val="clear" w:color="auto" w:fill="FFFFFF"/>
        </w:rPr>
        <w:t xml:space="preserve"> May 2, 2020</w:t>
      </w:r>
    </w:p>
  </w:footnote>
  <w:footnote w:id="3">
    <w:p w14:paraId="07CD6D47" w14:textId="56F1CF2D" w:rsidR="00111911" w:rsidRDefault="00111911">
      <w:pPr>
        <w:pStyle w:val="FootnoteText"/>
      </w:pPr>
      <w:r>
        <w:rPr>
          <w:rStyle w:val="FootnoteReference"/>
        </w:rPr>
        <w:footnoteRef/>
      </w:r>
      <w:r>
        <w:t xml:space="preserve"> </w:t>
      </w:r>
      <w:r w:rsidRPr="00714B74">
        <w:rPr>
          <w:i/>
          <w:iCs/>
          <w:sz w:val="16"/>
          <w:szCs w:val="16"/>
        </w:rPr>
        <w:t>State Coincident Indexes, retrieved from the Federal Reserve Bank of Philad</w:t>
      </w:r>
      <w:r>
        <w:rPr>
          <w:i/>
          <w:iCs/>
          <w:sz w:val="16"/>
          <w:szCs w:val="16"/>
        </w:rPr>
        <w:t>el</w:t>
      </w:r>
      <w:r w:rsidRPr="00714B74">
        <w:rPr>
          <w:i/>
          <w:iCs/>
          <w:sz w:val="16"/>
          <w:szCs w:val="16"/>
        </w:rPr>
        <w:t xml:space="preserve">phia, </w:t>
      </w:r>
      <w:hyperlink r:id="rId3" w:history="1">
        <w:r>
          <w:rPr>
            <w:rStyle w:val="Hyperlink"/>
            <w:i/>
            <w:iCs/>
            <w:sz w:val="16"/>
            <w:szCs w:val="16"/>
          </w:rPr>
          <w:t>https://www.philadelphiafed.org/-/media/research-and-data/regional-economy/indexes/coincident/2020/coincidentindexes0920.pdf</w:t>
        </w:r>
      </w:hyperlink>
      <w:r w:rsidRPr="00714B74">
        <w:rPr>
          <w:i/>
          <w:iCs/>
          <w:sz w:val="16"/>
          <w:szCs w:val="16"/>
        </w:rPr>
        <w:t xml:space="preserve">, </w:t>
      </w:r>
      <w:r>
        <w:rPr>
          <w:i/>
          <w:iCs/>
          <w:sz w:val="16"/>
          <w:szCs w:val="16"/>
        </w:rPr>
        <w:t>Oct 31,</w:t>
      </w:r>
      <w:r w:rsidRPr="00714B74">
        <w:rPr>
          <w:i/>
          <w:iCs/>
          <w:sz w:val="16"/>
          <w:szCs w:val="16"/>
        </w:rPr>
        <w:t xml:space="preserve"> 2020</w:t>
      </w:r>
      <w:r>
        <w:rPr>
          <w:i/>
          <w:iCs/>
          <w:sz w:val="16"/>
          <w:szCs w:val="16"/>
        </w:rPr>
        <w:t>.</w:t>
      </w:r>
    </w:p>
  </w:footnote>
  <w:footnote w:id="4">
    <w:p w14:paraId="04EBBD96" w14:textId="1E4036EF" w:rsidR="00111911" w:rsidRPr="000322F4" w:rsidRDefault="00111911">
      <w:pPr>
        <w:pStyle w:val="FootnoteText"/>
        <w:rPr>
          <w:sz w:val="16"/>
          <w:szCs w:val="16"/>
          <w:lang w:val="en-PH"/>
        </w:rPr>
      </w:pPr>
      <w:r w:rsidRPr="000322F4">
        <w:rPr>
          <w:rStyle w:val="FootnoteReference"/>
          <w:sz w:val="16"/>
          <w:szCs w:val="16"/>
        </w:rPr>
        <w:footnoteRef/>
      </w:r>
      <w:r w:rsidRPr="000322F4">
        <w:rPr>
          <w:sz w:val="16"/>
          <w:szCs w:val="16"/>
        </w:rPr>
        <w:t xml:space="preserve"> </w:t>
      </w:r>
      <w:r w:rsidRPr="00DA3959">
        <w:rPr>
          <w:rFonts w:cstheme="minorHAnsi"/>
          <w:i/>
          <w:iCs/>
          <w:color w:val="222222"/>
          <w:sz w:val="16"/>
          <w:szCs w:val="16"/>
          <w:shd w:val="clear" w:color="auto" w:fill="FFFFFF"/>
        </w:rPr>
        <w:t xml:space="preserve">Board of Governors of the Federal Reserve System (US), Trade Weighted U.S. Dollar Index: Broad, Goods and Services [DTWEXBGS], retrieved from FRED, Federal Reserve Bank of St. Louis; </w:t>
      </w:r>
      <w:hyperlink r:id="rId4"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DA3959">
        <w:rPr>
          <w:rFonts w:cstheme="minorHAnsi"/>
          <w:i/>
          <w:iCs/>
          <w:color w:val="222222"/>
          <w:sz w:val="16"/>
          <w:szCs w:val="16"/>
          <w:shd w:val="clear" w:color="auto" w:fill="FFFFFF"/>
        </w:rPr>
        <w:t>.</w:t>
      </w:r>
    </w:p>
  </w:footnote>
  <w:footnote w:id="5">
    <w:p w14:paraId="517776FA" w14:textId="59739175"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5"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6">
    <w:p w14:paraId="502F649B" w14:textId="55DFBD7B" w:rsidR="00111911" w:rsidRPr="006A114D" w:rsidRDefault="001119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6"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7">
    <w:p w14:paraId="11F01E93" w14:textId="09CCC6EF" w:rsidR="00111911" w:rsidRPr="00B65667" w:rsidRDefault="00111911">
      <w:pPr>
        <w:pStyle w:val="FootnoteText"/>
        <w:rPr>
          <w:i/>
          <w:iCs/>
          <w:sz w:val="16"/>
          <w:szCs w:val="16"/>
          <w:lang w:val="en-PH"/>
        </w:rPr>
      </w:pPr>
      <w:r>
        <w:rPr>
          <w:rStyle w:val="FootnoteReference"/>
        </w:rPr>
        <w:footnoteRef/>
      </w:r>
      <w:r>
        <w:t xml:space="preserve"> </w:t>
      </w:r>
      <w:r w:rsidRPr="00B65667">
        <w:rPr>
          <w:i/>
          <w:iCs/>
          <w:sz w:val="16"/>
          <w:szCs w:val="16"/>
          <w:lang w:val="en-PH"/>
        </w:rPr>
        <w:t xml:space="preserve">Selected Interest Rates Instruments, Yields in percent per annum, retrieved from FRED, Federal Reserve Bank of St. Louis; </w:t>
      </w:r>
      <w:hyperlink r:id="rId7" w:history="1">
        <w:r>
          <w:rPr>
            <w:rStyle w:val="Hyperlink"/>
            <w:i/>
            <w:iCs/>
            <w:sz w:val="16"/>
            <w:szCs w:val="16"/>
            <w:lang w:val="en-PH"/>
          </w:rPr>
          <w:t>https://fred.stlouisfed.org/release/tables?rid=18&amp;eid=289&amp;od=2020-09-30#</w:t>
        </w:r>
      </w:hyperlink>
      <w:r w:rsidRPr="00B65667">
        <w:rPr>
          <w:i/>
          <w:iCs/>
          <w:sz w:val="16"/>
          <w:szCs w:val="16"/>
          <w:lang w:val="en-PH"/>
        </w:rPr>
        <w:t xml:space="preserve">, </w:t>
      </w:r>
      <w:r>
        <w:rPr>
          <w:i/>
          <w:iCs/>
          <w:sz w:val="16"/>
          <w:szCs w:val="16"/>
          <w:lang w:val="en-PH"/>
        </w:rPr>
        <w:t>Oct 31</w:t>
      </w:r>
      <w:r w:rsidRPr="00B65667">
        <w:rPr>
          <w:i/>
          <w:iCs/>
          <w:sz w:val="16"/>
          <w:szCs w:val="16"/>
          <w:lang w:val="en-PH"/>
        </w:rPr>
        <w:t>, 2020.</w:t>
      </w:r>
    </w:p>
  </w:footnote>
  <w:footnote w:id="8">
    <w:p w14:paraId="35FA6FE7" w14:textId="4A593338"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65667">
        <w:rPr>
          <w:i/>
          <w:iCs/>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9">
    <w:p w14:paraId="5D92A033" w14:textId="416CABE3" w:rsidR="00111911" w:rsidRPr="004759DB" w:rsidRDefault="001119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0">
    <w:p w14:paraId="29E4EDD1" w14:textId="3F94790A"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Moody’s, Moody’s Seasoned Baa Corporate Bond Yield [BAAS],</w:t>
      </w:r>
      <w:r w:rsidRPr="00BF5CE2">
        <w:rPr>
          <w:rFonts w:cstheme="minorHAnsi"/>
          <w:i/>
          <w:iCs/>
          <w:color w:val="222222"/>
          <w:sz w:val="16"/>
          <w:szCs w:val="16"/>
          <w:shd w:val="clear" w:color="auto" w:fill="FFFFFF"/>
        </w:rPr>
        <w:t xml:space="preserve"> retrieved from FRED, Federal Reserve Bank of St. Louis; </w:t>
      </w:r>
      <w:hyperlink r:id="rId10" w:history="1">
        <w:r w:rsidRPr="00BF5CE2">
          <w:rPr>
            <w:rStyle w:val="Hyperlink"/>
            <w:rFonts w:cstheme="minorHAnsi"/>
            <w:i/>
            <w:iCs/>
            <w:sz w:val="16"/>
            <w:szCs w:val="16"/>
            <w:shd w:val="clear" w:color="auto" w:fill="FFFFFF"/>
          </w:rPr>
          <w:t>https://fred.stlouisfed.org/series/BAA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1">
    <w:p w14:paraId="4C9DB6C9" w14:textId="1966EE45" w:rsidR="00111911" w:rsidRPr="0052077C" w:rsidRDefault="001119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retrieved from FRED, Federal Reserve Bank of St. Louis; </w:t>
      </w:r>
      <w:hyperlink r:id="rId11" w:history="1">
        <w:r w:rsidRPr="00BF5CE2">
          <w:rPr>
            <w:rStyle w:val="Hyperlink"/>
            <w:rFonts w:cstheme="minorHAnsi"/>
            <w:i/>
            <w:iCs/>
            <w:sz w:val="16"/>
            <w:szCs w:val="16"/>
            <w:shd w:val="clear" w:color="auto" w:fill="FFFFFF"/>
          </w:rPr>
          <w:t>https://fred.stlouisfed.org/series/PAYEMS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2">
    <w:p w14:paraId="7DEAA574" w14:textId="206ED9B8"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2"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3">
    <w:p w14:paraId="4135366E" w14:textId="3D90C82E"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13"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4">
    <w:p w14:paraId="1430DADA" w14:textId="236D4C67" w:rsidR="00111911" w:rsidRDefault="00111911">
      <w:pPr>
        <w:pStyle w:val="FootnoteText"/>
      </w:pPr>
      <w:r>
        <w:rPr>
          <w:rStyle w:val="FootnoteReference"/>
        </w:rPr>
        <w:footnoteRef/>
      </w:r>
      <w:r>
        <w:t xml:space="preserve"> </w:t>
      </w:r>
      <w:r w:rsidRPr="008155BA">
        <w:rPr>
          <w:i/>
          <w:iCs/>
          <w:sz w:val="16"/>
          <w:szCs w:val="16"/>
        </w:rPr>
        <w:t xml:space="preserve">Survey of Consumer Expectations, retrieved from Federal Reserve Bank of New York, </w:t>
      </w:r>
      <w:hyperlink r:id="rId14" w:anchor="indicators/inflation-expectations/g1" w:history="1">
        <w:r w:rsidR="0069122E">
          <w:rPr>
            <w:rStyle w:val="Hyperlink"/>
            <w:i/>
            <w:iCs/>
            <w:sz w:val="16"/>
            <w:szCs w:val="16"/>
          </w:rPr>
          <w:t>https://www.newyorkfed.org/microeconomics/sce - indicators/inflation-expectations/g1</w:t>
        </w:r>
      </w:hyperlink>
      <w:r w:rsidRPr="008155BA">
        <w:rPr>
          <w:i/>
          <w:iCs/>
          <w:sz w:val="16"/>
          <w:szCs w:val="16"/>
        </w:rPr>
        <w:t xml:space="preserve">, </w:t>
      </w:r>
      <w:r>
        <w:rPr>
          <w:i/>
          <w:iCs/>
          <w:sz w:val="16"/>
          <w:szCs w:val="16"/>
        </w:rPr>
        <w:t>Oct 31</w:t>
      </w:r>
      <w:r w:rsidRPr="008155BA">
        <w:rPr>
          <w:i/>
          <w:iCs/>
          <w:sz w:val="16"/>
          <w:szCs w:val="16"/>
        </w:rPr>
        <w:t>, 2020</w:t>
      </w:r>
    </w:p>
  </w:footnote>
  <w:footnote w:id="15">
    <w:p w14:paraId="2CF101DC" w14:textId="0D097294" w:rsidR="00111911" w:rsidRPr="00CB1375" w:rsidRDefault="001119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15"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6">
    <w:p w14:paraId="1C900108" w14:textId="0E9CA12C" w:rsidR="00111911" w:rsidRPr="000322F4" w:rsidRDefault="00111911"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Pr="000322F4">
        <w:rPr>
          <w:rFonts w:cstheme="minorHAnsi"/>
          <w:i/>
          <w:iCs/>
          <w:color w:val="222222"/>
          <w:sz w:val="16"/>
          <w:szCs w:val="16"/>
          <w:shd w:val="clear" w:color="auto" w:fill="FFFFFF"/>
        </w:rPr>
        <w:t>U.S. Energy Information Administration, Crude Oil Prices: West Texas Intermediate (WTI) – Cushing, Oklahoma [MCOILWTICO], retrieved from FRED, Federal Reserve Bank of St. Louis; </w:t>
      </w:r>
      <w:hyperlink r:id="rId16" w:history="1">
        <w:r w:rsidRPr="000322F4">
          <w:rPr>
            <w:rStyle w:val="Hyperlink"/>
            <w:rFonts w:cstheme="minorHAnsi"/>
            <w:i/>
            <w:iCs/>
            <w:sz w:val="16"/>
            <w:szCs w:val="16"/>
            <w:shd w:val="clear" w:color="auto" w:fill="FFFFFF"/>
          </w:rPr>
          <w:t>https://fred.stlouisfed.org/series/MCOILWTICO</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0322F4">
        <w:rPr>
          <w:rFonts w:cstheme="minorHAnsi"/>
          <w:i/>
          <w:iCs/>
          <w:color w:val="222222"/>
          <w:sz w:val="16"/>
          <w:szCs w:val="16"/>
          <w:shd w:val="clear" w:color="auto" w:fill="FFFFFF"/>
        </w:rPr>
        <w:t>.</w:t>
      </w:r>
    </w:p>
  </w:footnote>
  <w:footnote w:id="17">
    <w:p w14:paraId="11221A52" w14:textId="069E7274"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8">
    <w:p w14:paraId="6A794CBD" w14:textId="185DA458" w:rsidR="00111911" w:rsidRPr="00250313" w:rsidRDefault="001119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18"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19">
    <w:p w14:paraId="48E5411D" w14:textId="58BA250E"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Down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19"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20">
    <w:p w14:paraId="3C84FE4A" w14:textId="1F597174" w:rsidR="00111911" w:rsidRPr="00BF5CE2" w:rsidRDefault="00111911">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20"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21">
    <w:p w14:paraId="08E11874" w14:textId="63C8C7E0" w:rsidR="00111911" w:rsidRPr="00933E80" w:rsidRDefault="001119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r w:rsidRPr="00BF5CE2">
        <w:rPr>
          <w:rFonts w:cstheme="minorHAnsi"/>
          <w:i/>
          <w:iCs/>
          <w:color w:val="222222"/>
          <w:sz w:val="16"/>
          <w:szCs w:val="16"/>
          <w:shd w:val="clear" w:color="auto" w:fill="FFFFFF"/>
        </w:rPr>
        <w:t xml:space="preserve"> retrieved from FRED, Federal Reserve Bank of St. Louis; </w:t>
      </w:r>
      <w:hyperlink r:id="rId21" w:history="1">
        <w:r w:rsidRPr="00BF5CE2">
          <w:rPr>
            <w:rStyle w:val="Hyperlink"/>
            <w:rFonts w:cstheme="minorHAnsi"/>
            <w:i/>
            <w:iCs/>
            <w:sz w:val="16"/>
            <w:szCs w:val="16"/>
            <w:shd w:val="clear" w:color="auto" w:fill="FFFFFF"/>
          </w:rPr>
          <w:t>https://fred.stlouisfed.org/series/ALTSALES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BF5CE2">
        <w:rPr>
          <w:rFonts w:cstheme="minorHAnsi"/>
          <w:i/>
          <w:iCs/>
          <w:color w:val="222222"/>
          <w:sz w:val="16"/>
          <w:szCs w:val="16"/>
          <w:shd w:val="clear" w:color="auto" w:fill="FFFFFF"/>
        </w:rPr>
        <w:t>.</w:t>
      </w:r>
    </w:p>
  </w:footnote>
  <w:footnote w:id="22">
    <w:p w14:paraId="01357EF0" w14:textId="3F9F3970" w:rsidR="00111911" w:rsidRPr="00364347" w:rsidRDefault="00111911"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22" w:history="1">
        <w:r w:rsidRPr="00364347">
          <w:rPr>
            <w:rStyle w:val="Hyperlink"/>
            <w:i/>
            <w:iCs/>
            <w:sz w:val="16"/>
            <w:szCs w:val="16"/>
            <w:lang w:val="en-PH"/>
          </w:rPr>
          <w:t>https://fred.stlouisfed.org/series/UMCSENT</w:t>
        </w:r>
      </w:hyperlink>
      <w:r w:rsidRPr="00364347">
        <w:rPr>
          <w:i/>
          <w:iCs/>
          <w:sz w:val="16"/>
          <w:szCs w:val="16"/>
          <w:lang w:val="en-PH"/>
        </w:rPr>
        <w:t xml:space="preserve">, </w:t>
      </w:r>
      <w:r>
        <w:rPr>
          <w:i/>
          <w:iCs/>
          <w:sz w:val="16"/>
          <w:szCs w:val="16"/>
          <w:lang w:val="en-PH"/>
        </w:rPr>
        <w:t>Oct 31</w:t>
      </w:r>
      <w:r w:rsidRPr="00364347">
        <w:rPr>
          <w:i/>
          <w:iCs/>
          <w:sz w:val="16"/>
          <w:szCs w:val="16"/>
          <w:lang w:val="en-PH"/>
        </w:rPr>
        <w:t>, 2020.</w:t>
      </w:r>
    </w:p>
    <w:p w14:paraId="10C86738" w14:textId="29101548" w:rsidR="00111911" w:rsidRDefault="00111911">
      <w:pPr>
        <w:pStyle w:val="FootnoteText"/>
      </w:pPr>
    </w:p>
  </w:footnote>
  <w:footnote w:id="23">
    <w:p w14:paraId="3E58D959" w14:textId="53741C2B" w:rsidR="00111911" w:rsidRPr="00364347" w:rsidRDefault="00111911">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23" w:history="1">
        <w:r w:rsidRPr="00364347">
          <w:rPr>
            <w:rStyle w:val="Hyperlink"/>
            <w:i/>
            <w:iCs/>
            <w:sz w:val="16"/>
            <w:szCs w:val="16"/>
          </w:rPr>
          <w:t>https://fred.stlouisfed.org/series/VIXCLS</w:t>
        </w:r>
      </w:hyperlink>
      <w:r w:rsidRPr="00364347">
        <w:rPr>
          <w:i/>
          <w:iCs/>
          <w:sz w:val="16"/>
          <w:szCs w:val="16"/>
        </w:rPr>
        <w:t xml:space="preserve">, </w:t>
      </w:r>
      <w:r>
        <w:rPr>
          <w:i/>
          <w:iCs/>
          <w:sz w:val="16"/>
          <w:szCs w:val="16"/>
        </w:rPr>
        <w:t>Oct 31</w:t>
      </w:r>
      <w:r w:rsidRPr="00364347">
        <w:rPr>
          <w:i/>
          <w:iCs/>
          <w:sz w:val="16"/>
          <w:szCs w:val="16"/>
        </w:rPr>
        <w:t>, 2020.</w:t>
      </w:r>
    </w:p>
  </w:footnote>
  <w:footnote w:id="24">
    <w:p w14:paraId="1CF53D3A" w14:textId="7A318DE1" w:rsidR="00111911" w:rsidRPr="00BF5CE2" w:rsidRDefault="00111911">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24"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Oct 31, 2020</w:t>
      </w:r>
      <w:r w:rsidRPr="002B29C7">
        <w:rPr>
          <w:rFonts w:cstheme="minorHAnsi"/>
          <w:i/>
          <w:iCs/>
          <w:color w:val="222222"/>
          <w:sz w:val="16"/>
          <w:szCs w:val="16"/>
          <w:shd w:val="clear" w:color="auto" w:fill="FFFFFF"/>
        </w:rPr>
        <w:t>.</w:t>
      </w:r>
    </w:p>
  </w:footnote>
  <w:footnote w:id="25">
    <w:p w14:paraId="054982F6" w14:textId="372A4F36" w:rsidR="00111911" w:rsidRPr="005D3CEF" w:rsidRDefault="00111911">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25"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w:t>
      </w:r>
      <w:r w:rsidRPr="00364347">
        <w:rPr>
          <w:rFonts w:cstheme="minorHAnsi"/>
          <w:i/>
          <w:iCs/>
          <w:color w:val="222222"/>
          <w:sz w:val="16"/>
          <w:szCs w:val="16"/>
          <w:shd w:val="clear" w:color="auto" w:fill="FFFFFF"/>
        </w:rPr>
        <w:t>, 2020.</w:t>
      </w:r>
    </w:p>
  </w:footnote>
  <w:footnote w:id="26">
    <w:p w14:paraId="4A7DBD07" w14:textId="5AC07C3F" w:rsidR="00111911" w:rsidRPr="00E72196" w:rsidRDefault="00111911"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26"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Oct 31, 2020</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5FE7" w14:textId="77777777" w:rsidR="00111911" w:rsidRPr="00460436" w:rsidRDefault="00111911"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11"/>
    <w:rsid w:val="0000055B"/>
    <w:rsid w:val="000017CB"/>
    <w:rsid w:val="00005111"/>
    <w:rsid w:val="00014CBA"/>
    <w:rsid w:val="00021EA4"/>
    <w:rsid w:val="00022BB4"/>
    <w:rsid w:val="000248D0"/>
    <w:rsid w:val="00024E64"/>
    <w:rsid w:val="0002602B"/>
    <w:rsid w:val="0002760A"/>
    <w:rsid w:val="00027E1E"/>
    <w:rsid w:val="00030ECA"/>
    <w:rsid w:val="0003136B"/>
    <w:rsid w:val="000322F4"/>
    <w:rsid w:val="00033B75"/>
    <w:rsid w:val="00035810"/>
    <w:rsid w:val="00035F0C"/>
    <w:rsid w:val="0003611B"/>
    <w:rsid w:val="0004306B"/>
    <w:rsid w:val="00046A04"/>
    <w:rsid w:val="00047034"/>
    <w:rsid w:val="00047E74"/>
    <w:rsid w:val="0005198D"/>
    <w:rsid w:val="00052F94"/>
    <w:rsid w:val="00053E46"/>
    <w:rsid w:val="0005726F"/>
    <w:rsid w:val="00057711"/>
    <w:rsid w:val="00060AA5"/>
    <w:rsid w:val="00061DAA"/>
    <w:rsid w:val="000644DB"/>
    <w:rsid w:val="000650B3"/>
    <w:rsid w:val="00065E14"/>
    <w:rsid w:val="00071875"/>
    <w:rsid w:val="00072C36"/>
    <w:rsid w:val="000738AD"/>
    <w:rsid w:val="00074123"/>
    <w:rsid w:val="000742F7"/>
    <w:rsid w:val="0007515A"/>
    <w:rsid w:val="00076850"/>
    <w:rsid w:val="000807FF"/>
    <w:rsid w:val="00084604"/>
    <w:rsid w:val="00084608"/>
    <w:rsid w:val="00084C45"/>
    <w:rsid w:val="00086DBA"/>
    <w:rsid w:val="000874E3"/>
    <w:rsid w:val="00090DA6"/>
    <w:rsid w:val="00093D9A"/>
    <w:rsid w:val="00093EF4"/>
    <w:rsid w:val="0009699C"/>
    <w:rsid w:val="000A0001"/>
    <w:rsid w:val="000A0FCA"/>
    <w:rsid w:val="000A1224"/>
    <w:rsid w:val="000A239B"/>
    <w:rsid w:val="000A2C4B"/>
    <w:rsid w:val="000A3240"/>
    <w:rsid w:val="000A79DC"/>
    <w:rsid w:val="000B0583"/>
    <w:rsid w:val="000B0B86"/>
    <w:rsid w:val="000B42F9"/>
    <w:rsid w:val="000B4F85"/>
    <w:rsid w:val="000B5DA2"/>
    <w:rsid w:val="000B6EBB"/>
    <w:rsid w:val="000C1495"/>
    <w:rsid w:val="000C19DD"/>
    <w:rsid w:val="000C2E7D"/>
    <w:rsid w:val="000C6EEB"/>
    <w:rsid w:val="000C71C7"/>
    <w:rsid w:val="000D47AB"/>
    <w:rsid w:val="000D4973"/>
    <w:rsid w:val="000D5719"/>
    <w:rsid w:val="000D646D"/>
    <w:rsid w:val="000D7BDC"/>
    <w:rsid w:val="000E1BAA"/>
    <w:rsid w:val="000E3192"/>
    <w:rsid w:val="000E5860"/>
    <w:rsid w:val="000E6060"/>
    <w:rsid w:val="000E6A61"/>
    <w:rsid w:val="000F1648"/>
    <w:rsid w:val="000F4AC6"/>
    <w:rsid w:val="000F59FF"/>
    <w:rsid w:val="001009B9"/>
    <w:rsid w:val="00100DF8"/>
    <w:rsid w:val="00102080"/>
    <w:rsid w:val="0010260B"/>
    <w:rsid w:val="00105413"/>
    <w:rsid w:val="00105A55"/>
    <w:rsid w:val="00107AB4"/>
    <w:rsid w:val="001116CA"/>
    <w:rsid w:val="00111911"/>
    <w:rsid w:val="00111974"/>
    <w:rsid w:val="00113C90"/>
    <w:rsid w:val="001149CD"/>
    <w:rsid w:val="00115717"/>
    <w:rsid w:val="00116B91"/>
    <w:rsid w:val="00117BB0"/>
    <w:rsid w:val="00121E2F"/>
    <w:rsid w:val="00122842"/>
    <w:rsid w:val="001235D8"/>
    <w:rsid w:val="001277B9"/>
    <w:rsid w:val="00130055"/>
    <w:rsid w:val="00131885"/>
    <w:rsid w:val="00134A21"/>
    <w:rsid w:val="00140712"/>
    <w:rsid w:val="00140763"/>
    <w:rsid w:val="00140FEE"/>
    <w:rsid w:val="001451F8"/>
    <w:rsid w:val="001460CC"/>
    <w:rsid w:val="001475FF"/>
    <w:rsid w:val="0015037B"/>
    <w:rsid w:val="001511FF"/>
    <w:rsid w:val="00153FBB"/>
    <w:rsid w:val="001545F2"/>
    <w:rsid w:val="00155E88"/>
    <w:rsid w:val="00156FE4"/>
    <w:rsid w:val="0016088B"/>
    <w:rsid w:val="00162E77"/>
    <w:rsid w:val="00163F37"/>
    <w:rsid w:val="00164566"/>
    <w:rsid w:val="0016688A"/>
    <w:rsid w:val="00166C08"/>
    <w:rsid w:val="00166F90"/>
    <w:rsid w:val="00171C8E"/>
    <w:rsid w:val="00172307"/>
    <w:rsid w:val="001737B6"/>
    <w:rsid w:val="001744C6"/>
    <w:rsid w:val="0017465F"/>
    <w:rsid w:val="00174B44"/>
    <w:rsid w:val="00174BCD"/>
    <w:rsid w:val="00174CC3"/>
    <w:rsid w:val="001756EC"/>
    <w:rsid w:val="0017576B"/>
    <w:rsid w:val="00176C00"/>
    <w:rsid w:val="001773AA"/>
    <w:rsid w:val="0018096F"/>
    <w:rsid w:val="00180CA9"/>
    <w:rsid w:val="001819E6"/>
    <w:rsid w:val="00183B61"/>
    <w:rsid w:val="00186318"/>
    <w:rsid w:val="00186873"/>
    <w:rsid w:val="001868CB"/>
    <w:rsid w:val="00187669"/>
    <w:rsid w:val="00193436"/>
    <w:rsid w:val="00195B12"/>
    <w:rsid w:val="001A3FBA"/>
    <w:rsid w:val="001A4F9E"/>
    <w:rsid w:val="001A6C86"/>
    <w:rsid w:val="001B1490"/>
    <w:rsid w:val="001B4B76"/>
    <w:rsid w:val="001C0F2A"/>
    <w:rsid w:val="001C1070"/>
    <w:rsid w:val="001C14A1"/>
    <w:rsid w:val="001C2541"/>
    <w:rsid w:val="001C38B9"/>
    <w:rsid w:val="001C7617"/>
    <w:rsid w:val="001D7D8D"/>
    <w:rsid w:val="001E04F8"/>
    <w:rsid w:val="001E15B0"/>
    <w:rsid w:val="001E26E8"/>
    <w:rsid w:val="001E42A6"/>
    <w:rsid w:val="001E6FCC"/>
    <w:rsid w:val="001E7445"/>
    <w:rsid w:val="001F4E3D"/>
    <w:rsid w:val="001F7970"/>
    <w:rsid w:val="0020145F"/>
    <w:rsid w:val="00204D9D"/>
    <w:rsid w:val="0021377C"/>
    <w:rsid w:val="00217AD5"/>
    <w:rsid w:val="00220B63"/>
    <w:rsid w:val="002219B5"/>
    <w:rsid w:val="0022226D"/>
    <w:rsid w:val="002308A9"/>
    <w:rsid w:val="00230D29"/>
    <w:rsid w:val="00231FA3"/>
    <w:rsid w:val="00232336"/>
    <w:rsid w:val="00234F94"/>
    <w:rsid w:val="002361FB"/>
    <w:rsid w:val="00236B68"/>
    <w:rsid w:val="00237901"/>
    <w:rsid w:val="00237E71"/>
    <w:rsid w:val="002406D9"/>
    <w:rsid w:val="002435D7"/>
    <w:rsid w:val="00244C4D"/>
    <w:rsid w:val="00245903"/>
    <w:rsid w:val="002502D5"/>
    <w:rsid w:val="00250313"/>
    <w:rsid w:val="002516C6"/>
    <w:rsid w:val="002521FF"/>
    <w:rsid w:val="0025222E"/>
    <w:rsid w:val="00252A9B"/>
    <w:rsid w:val="00254176"/>
    <w:rsid w:val="00255530"/>
    <w:rsid w:val="00255C32"/>
    <w:rsid w:val="0025666D"/>
    <w:rsid w:val="00257944"/>
    <w:rsid w:val="002608F3"/>
    <w:rsid w:val="0026329B"/>
    <w:rsid w:val="00265131"/>
    <w:rsid w:val="0026599C"/>
    <w:rsid w:val="002731EF"/>
    <w:rsid w:val="0027585A"/>
    <w:rsid w:val="002775DB"/>
    <w:rsid w:val="002817E1"/>
    <w:rsid w:val="0028237E"/>
    <w:rsid w:val="00283D6F"/>
    <w:rsid w:val="00285F67"/>
    <w:rsid w:val="00291763"/>
    <w:rsid w:val="00291FFB"/>
    <w:rsid w:val="00292B24"/>
    <w:rsid w:val="00296BEB"/>
    <w:rsid w:val="002972D2"/>
    <w:rsid w:val="002978F9"/>
    <w:rsid w:val="002A0B80"/>
    <w:rsid w:val="002A14C5"/>
    <w:rsid w:val="002A375D"/>
    <w:rsid w:val="002A3CB2"/>
    <w:rsid w:val="002A45E8"/>
    <w:rsid w:val="002A764F"/>
    <w:rsid w:val="002B16D0"/>
    <w:rsid w:val="002B29C7"/>
    <w:rsid w:val="002B2BBA"/>
    <w:rsid w:val="002C0EC8"/>
    <w:rsid w:val="002C240B"/>
    <w:rsid w:val="002C3C67"/>
    <w:rsid w:val="002C429F"/>
    <w:rsid w:val="002C5E52"/>
    <w:rsid w:val="002C601A"/>
    <w:rsid w:val="002C69A4"/>
    <w:rsid w:val="002D4C10"/>
    <w:rsid w:val="002D5CC3"/>
    <w:rsid w:val="002D660A"/>
    <w:rsid w:val="002E0DC9"/>
    <w:rsid w:val="002E2644"/>
    <w:rsid w:val="002E3213"/>
    <w:rsid w:val="002E3647"/>
    <w:rsid w:val="002E4494"/>
    <w:rsid w:val="002E58CF"/>
    <w:rsid w:val="002E6FDE"/>
    <w:rsid w:val="002E7ACF"/>
    <w:rsid w:val="002F0CDA"/>
    <w:rsid w:val="002F1660"/>
    <w:rsid w:val="002F1B2A"/>
    <w:rsid w:val="002F1B4B"/>
    <w:rsid w:val="002F1C7B"/>
    <w:rsid w:val="002F3682"/>
    <w:rsid w:val="002F3ADD"/>
    <w:rsid w:val="002F3CE6"/>
    <w:rsid w:val="002F6282"/>
    <w:rsid w:val="002F63F8"/>
    <w:rsid w:val="003028B3"/>
    <w:rsid w:val="00304B4E"/>
    <w:rsid w:val="00306B1D"/>
    <w:rsid w:val="003071CD"/>
    <w:rsid w:val="00307A87"/>
    <w:rsid w:val="0031179D"/>
    <w:rsid w:val="00311E77"/>
    <w:rsid w:val="00314985"/>
    <w:rsid w:val="003167AC"/>
    <w:rsid w:val="00316CBD"/>
    <w:rsid w:val="00316E8F"/>
    <w:rsid w:val="00317448"/>
    <w:rsid w:val="003175DC"/>
    <w:rsid w:val="00321AA2"/>
    <w:rsid w:val="00322C58"/>
    <w:rsid w:val="00323C75"/>
    <w:rsid w:val="00327700"/>
    <w:rsid w:val="0033052C"/>
    <w:rsid w:val="003316E9"/>
    <w:rsid w:val="00331CF3"/>
    <w:rsid w:val="00332197"/>
    <w:rsid w:val="00334DE4"/>
    <w:rsid w:val="00336F2C"/>
    <w:rsid w:val="003376CD"/>
    <w:rsid w:val="00337BD8"/>
    <w:rsid w:val="00340B8A"/>
    <w:rsid w:val="003414E7"/>
    <w:rsid w:val="003477B7"/>
    <w:rsid w:val="003479C3"/>
    <w:rsid w:val="00353F0A"/>
    <w:rsid w:val="00354195"/>
    <w:rsid w:val="00354414"/>
    <w:rsid w:val="0035542E"/>
    <w:rsid w:val="00360100"/>
    <w:rsid w:val="00362202"/>
    <w:rsid w:val="00363E78"/>
    <w:rsid w:val="00364347"/>
    <w:rsid w:val="003643F8"/>
    <w:rsid w:val="0036641E"/>
    <w:rsid w:val="00371414"/>
    <w:rsid w:val="00372F3C"/>
    <w:rsid w:val="003802E7"/>
    <w:rsid w:val="003812D0"/>
    <w:rsid w:val="0038144F"/>
    <w:rsid w:val="00382C86"/>
    <w:rsid w:val="00385105"/>
    <w:rsid w:val="00386023"/>
    <w:rsid w:val="00387C82"/>
    <w:rsid w:val="0039196F"/>
    <w:rsid w:val="00392D01"/>
    <w:rsid w:val="00393B78"/>
    <w:rsid w:val="00394236"/>
    <w:rsid w:val="00395B3E"/>
    <w:rsid w:val="00396E51"/>
    <w:rsid w:val="0039736B"/>
    <w:rsid w:val="00397F57"/>
    <w:rsid w:val="003A0447"/>
    <w:rsid w:val="003A390C"/>
    <w:rsid w:val="003A3D8A"/>
    <w:rsid w:val="003A4BCC"/>
    <w:rsid w:val="003A679B"/>
    <w:rsid w:val="003B0615"/>
    <w:rsid w:val="003B0B22"/>
    <w:rsid w:val="003B2BFB"/>
    <w:rsid w:val="003B4D22"/>
    <w:rsid w:val="003C1F24"/>
    <w:rsid w:val="003C4CAF"/>
    <w:rsid w:val="003D112A"/>
    <w:rsid w:val="003D3C51"/>
    <w:rsid w:val="003D4159"/>
    <w:rsid w:val="003E18DF"/>
    <w:rsid w:val="003E282E"/>
    <w:rsid w:val="003E3E2D"/>
    <w:rsid w:val="003E4ACB"/>
    <w:rsid w:val="003E5CFB"/>
    <w:rsid w:val="003F2FE7"/>
    <w:rsid w:val="003F5061"/>
    <w:rsid w:val="00401A65"/>
    <w:rsid w:val="0040211C"/>
    <w:rsid w:val="00403355"/>
    <w:rsid w:val="0040653A"/>
    <w:rsid w:val="0041138E"/>
    <w:rsid w:val="00411404"/>
    <w:rsid w:val="00411A4C"/>
    <w:rsid w:val="004134F4"/>
    <w:rsid w:val="00413EE3"/>
    <w:rsid w:val="00421F60"/>
    <w:rsid w:val="0042476E"/>
    <w:rsid w:val="00424E74"/>
    <w:rsid w:val="00427110"/>
    <w:rsid w:val="0042719D"/>
    <w:rsid w:val="0043016A"/>
    <w:rsid w:val="00440FEB"/>
    <w:rsid w:val="00442163"/>
    <w:rsid w:val="00442565"/>
    <w:rsid w:val="00442BF6"/>
    <w:rsid w:val="00443A15"/>
    <w:rsid w:val="00445A11"/>
    <w:rsid w:val="00446C08"/>
    <w:rsid w:val="004476DE"/>
    <w:rsid w:val="00447E7F"/>
    <w:rsid w:val="004506CC"/>
    <w:rsid w:val="0045095D"/>
    <w:rsid w:val="0045097E"/>
    <w:rsid w:val="004513EB"/>
    <w:rsid w:val="00451755"/>
    <w:rsid w:val="00453708"/>
    <w:rsid w:val="00454F4B"/>
    <w:rsid w:val="0045550A"/>
    <w:rsid w:val="00457E1D"/>
    <w:rsid w:val="00460436"/>
    <w:rsid w:val="00460DE2"/>
    <w:rsid w:val="00460E43"/>
    <w:rsid w:val="00463560"/>
    <w:rsid w:val="00466612"/>
    <w:rsid w:val="00466861"/>
    <w:rsid w:val="00467AB1"/>
    <w:rsid w:val="004709B0"/>
    <w:rsid w:val="004759DB"/>
    <w:rsid w:val="004778D8"/>
    <w:rsid w:val="004907DA"/>
    <w:rsid w:val="00490AFD"/>
    <w:rsid w:val="0049182B"/>
    <w:rsid w:val="00491B4B"/>
    <w:rsid w:val="00493CF1"/>
    <w:rsid w:val="00494933"/>
    <w:rsid w:val="004965CE"/>
    <w:rsid w:val="00496E13"/>
    <w:rsid w:val="004A0649"/>
    <w:rsid w:val="004A0947"/>
    <w:rsid w:val="004A0ABB"/>
    <w:rsid w:val="004A4BD1"/>
    <w:rsid w:val="004B047B"/>
    <w:rsid w:val="004B2BFB"/>
    <w:rsid w:val="004B3923"/>
    <w:rsid w:val="004B3B5E"/>
    <w:rsid w:val="004B6D7A"/>
    <w:rsid w:val="004B7D92"/>
    <w:rsid w:val="004C20AB"/>
    <w:rsid w:val="004C587A"/>
    <w:rsid w:val="004C6B76"/>
    <w:rsid w:val="004D0515"/>
    <w:rsid w:val="004D099A"/>
    <w:rsid w:val="004D1C9D"/>
    <w:rsid w:val="004D1DA4"/>
    <w:rsid w:val="004E2AB3"/>
    <w:rsid w:val="004E2C09"/>
    <w:rsid w:val="004E3393"/>
    <w:rsid w:val="004E4A45"/>
    <w:rsid w:val="004E4B6F"/>
    <w:rsid w:val="004E5EC0"/>
    <w:rsid w:val="004E7265"/>
    <w:rsid w:val="004F1527"/>
    <w:rsid w:val="004F330B"/>
    <w:rsid w:val="004F3ADA"/>
    <w:rsid w:val="004F55C9"/>
    <w:rsid w:val="004F67A9"/>
    <w:rsid w:val="004F73C7"/>
    <w:rsid w:val="00502B32"/>
    <w:rsid w:val="00504F45"/>
    <w:rsid w:val="005117CA"/>
    <w:rsid w:val="005127D3"/>
    <w:rsid w:val="00515DB3"/>
    <w:rsid w:val="00515E9D"/>
    <w:rsid w:val="005200CA"/>
    <w:rsid w:val="0052077C"/>
    <w:rsid w:val="00521F1D"/>
    <w:rsid w:val="00525C1B"/>
    <w:rsid w:val="005261C1"/>
    <w:rsid w:val="00532A06"/>
    <w:rsid w:val="00536754"/>
    <w:rsid w:val="00536B00"/>
    <w:rsid w:val="005378C5"/>
    <w:rsid w:val="005425D7"/>
    <w:rsid w:val="00542F5A"/>
    <w:rsid w:val="00544623"/>
    <w:rsid w:val="005475F2"/>
    <w:rsid w:val="005505E5"/>
    <w:rsid w:val="00550C7C"/>
    <w:rsid w:val="00551864"/>
    <w:rsid w:val="00554121"/>
    <w:rsid w:val="005554F5"/>
    <w:rsid w:val="0055555A"/>
    <w:rsid w:val="00556EAD"/>
    <w:rsid w:val="00557239"/>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BEE"/>
    <w:rsid w:val="00584B8E"/>
    <w:rsid w:val="00587C5A"/>
    <w:rsid w:val="00590322"/>
    <w:rsid w:val="005917C1"/>
    <w:rsid w:val="00594B4A"/>
    <w:rsid w:val="005954B1"/>
    <w:rsid w:val="005A693F"/>
    <w:rsid w:val="005B1168"/>
    <w:rsid w:val="005B1ACA"/>
    <w:rsid w:val="005B40E5"/>
    <w:rsid w:val="005C021F"/>
    <w:rsid w:val="005C0423"/>
    <w:rsid w:val="005C0A6E"/>
    <w:rsid w:val="005C0D2D"/>
    <w:rsid w:val="005C2215"/>
    <w:rsid w:val="005C493F"/>
    <w:rsid w:val="005C532B"/>
    <w:rsid w:val="005C6CD5"/>
    <w:rsid w:val="005C771E"/>
    <w:rsid w:val="005D06C9"/>
    <w:rsid w:val="005D1E0A"/>
    <w:rsid w:val="005D1E7F"/>
    <w:rsid w:val="005D3CEF"/>
    <w:rsid w:val="005D43B8"/>
    <w:rsid w:val="005D5553"/>
    <w:rsid w:val="005D6316"/>
    <w:rsid w:val="005E19C2"/>
    <w:rsid w:val="005E306A"/>
    <w:rsid w:val="005E3622"/>
    <w:rsid w:val="005E56AE"/>
    <w:rsid w:val="005E67EF"/>
    <w:rsid w:val="005E797B"/>
    <w:rsid w:val="005E7A94"/>
    <w:rsid w:val="005F07E9"/>
    <w:rsid w:val="005F1D7F"/>
    <w:rsid w:val="005F5744"/>
    <w:rsid w:val="006055F4"/>
    <w:rsid w:val="006068F7"/>
    <w:rsid w:val="00610140"/>
    <w:rsid w:val="0061080D"/>
    <w:rsid w:val="00610894"/>
    <w:rsid w:val="0061200D"/>
    <w:rsid w:val="006130EE"/>
    <w:rsid w:val="00615B70"/>
    <w:rsid w:val="006167DB"/>
    <w:rsid w:val="00617DFF"/>
    <w:rsid w:val="00617E5C"/>
    <w:rsid w:val="00620094"/>
    <w:rsid w:val="00621173"/>
    <w:rsid w:val="0062162D"/>
    <w:rsid w:val="00623672"/>
    <w:rsid w:val="00624AEF"/>
    <w:rsid w:val="0062659E"/>
    <w:rsid w:val="00626DAC"/>
    <w:rsid w:val="00627C19"/>
    <w:rsid w:val="00627DE7"/>
    <w:rsid w:val="006314B9"/>
    <w:rsid w:val="00631555"/>
    <w:rsid w:val="00632F4E"/>
    <w:rsid w:val="006331A2"/>
    <w:rsid w:val="006342D9"/>
    <w:rsid w:val="00634658"/>
    <w:rsid w:val="00634787"/>
    <w:rsid w:val="00640C9C"/>
    <w:rsid w:val="00640DD5"/>
    <w:rsid w:val="00643797"/>
    <w:rsid w:val="006439EA"/>
    <w:rsid w:val="00643FBF"/>
    <w:rsid w:val="006451FA"/>
    <w:rsid w:val="0064538F"/>
    <w:rsid w:val="00650430"/>
    <w:rsid w:val="00650582"/>
    <w:rsid w:val="00651AC2"/>
    <w:rsid w:val="00654B02"/>
    <w:rsid w:val="006553D1"/>
    <w:rsid w:val="006575D2"/>
    <w:rsid w:val="00657642"/>
    <w:rsid w:val="00660A13"/>
    <w:rsid w:val="00660C7A"/>
    <w:rsid w:val="00660C8A"/>
    <w:rsid w:val="006619DC"/>
    <w:rsid w:val="006646E8"/>
    <w:rsid w:val="006663D0"/>
    <w:rsid w:val="00670FB1"/>
    <w:rsid w:val="0067215A"/>
    <w:rsid w:val="006748EE"/>
    <w:rsid w:val="00675F26"/>
    <w:rsid w:val="00682B7E"/>
    <w:rsid w:val="00690C93"/>
    <w:rsid w:val="0069122E"/>
    <w:rsid w:val="00691D14"/>
    <w:rsid w:val="00694624"/>
    <w:rsid w:val="00695441"/>
    <w:rsid w:val="00695980"/>
    <w:rsid w:val="006970E9"/>
    <w:rsid w:val="006A01A0"/>
    <w:rsid w:val="006A0819"/>
    <w:rsid w:val="006A114D"/>
    <w:rsid w:val="006A5321"/>
    <w:rsid w:val="006A62EE"/>
    <w:rsid w:val="006A6BFF"/>
    <w:rsid w:val="006B394A"/>
    <w:rsid w:val="006B792C"/>
    <w:rsid w:val="006C08FA"/>
    <w:rsid w:val="006C28D8"/>
    <w:rsid w:val="006C2DAB"/>
    <w:rsid w:val="006C6752"/>
    <w:rsid w:val="006C7116"/>
    <w:rsid w:val="006D2660"/>
    <w:rsid w:val="006D3877"/>
    <w:rsid w:val="006D4E8F"/>
    <w:rsid w:val="006D518C"/>
    <w:rsid w:val="006D579F"/>
    <w:rsid w:val="006E0830"/>
    <w:rsid w:val="006E4B4F"/>
    <w:rsid w:val="006E5760"/>
    <w:rsid w:val="006E608A"/>
    <w:rsid w:val="006E621A"/>
    <w:rsid w:val="006E69A7"/>
    <w:rsid w:val="006E6EAA"/>
    <w:rsid w:val="006F060A"/>
    <w:rsid w:val="006F0678"/>
    <w:rsid w:val="006F1B14"/>
    <w:rsid w:val="006F3E36"/>
    <w:rsid w:val="006F49C7"/>
    <w:rsid w:val="006F4DB7"/>
    <w:rsid w:val="006F6733"/>
    <w:rsid w:val="006F7FB2"/>
    <w:rsid w:val="00700166"/>
    <w:rsid w:val="00701D95"/>
    <w:rsid w:val="00703D80"/>
    <w:rsid w:val="007062B8"/>
    <w:rsid w:val="00707B5E"/>
    <w:rsid w:val="007102D3"/>
    <w:rsid w:val="007110AF"/>
    <w:rsid w:val="00714B74"/>
    <w:rsid w:val="00724C08"/>
    <w:rsid w:val="0072697B"/>
    <w:rsid w:val="00730BC7"/>
    <w:rsid w:val="00730C3D"/>
    <w:rsid w:val="007329E1"/>
    <w:rsid w:val="0073598E"/>
    <w:rsid w:val="007361CC"/>
    <w:rsid w:val="00737D58"/>
    <w:rsid w:val="00740863"/>
    <w:rsid w:val="0074137C"/>
    <w:rsid w:val="00741DA8"/>
    <w:rsid w:val="00742E84"/>
    <w:rsid w:val="00743683"/>
    <w:rsid w:val="00743A12"/>
    <w:rsid w:val="0075479C"/>
    <w:rsid w:val="00755B70"/>
    <w:rsid w:val="00756248"/>
    <w:rsid w:val="00756A49"/>
    <w:rsid w:val="007602B9"/>
    <w:rsid w:val="00761D36"/>
    <w:rsid w:val="0076272C"/>
    <w:rsid w:val="007635CE"/>
    <w:rsid w:val="0076678E"/>
    <w:rsid w:val="0076717F"/>
    <w:rsid w:val="0077027E"/>
    <w:rsid w:val="00770759"/>
    <w:rsid w:val="007736DF"/>
    <w:rsid w:val="00773AC4"/>
    <w:rsid w:val="00773B5B"/>
    <w:rsid w:val="00773E0E"/>
    <w:rsid w:val="007807DE"/>
    <w:rsid w:val="00782F5F"/>
    <w:rsid w:val="0078488C"/>
    <w:rsid w:val="00791F5C"/>
    <w:rsid w:val="007929DB"/>
    <w:rsid w:val="00792E5D"/>
    <w:rsid w:val="00795569"/>
    <w:rsid w:val="0079609A"/>
    <w:rsid w:val="007A0574"/>
    <w:rsid w:val="007A0E93"/>
    <w:rsid w:val="007A5255"/>
    <w:rsid w:val="007A770A"/>
    <w:rsid w:val="007A7FCF"/>
    <w:rsid w:val="007B0C0E"/>
    <w:rsid w:val="007B0FB5"/>
    <w:rsid w:val="007B178B"/>
    <w:rsid w:val="007B3A9E"/>
    <w:rsid w:val="007B5780"/>
    <w:rsid w:val="007B5CA1"/>
    <w:rsid w:val="007B7D73"/>
    <w:rsid w:val="007C1E79"/>
    <w:rsid w:val="007C4944"/>
    <w:rsid w:val="007C54CB"/>
    <w:rsid w:val="007D4FF9"/>
    <w:rsid w:val="007E3ED3"/>
    <w:rsid w:val="007E5B14"/>
    <w:rsid w:val="007E7320"/>
    <w:rsid w:val="007E76B7"/>
    <w:rsid w:val="007F04AE"/>
    <w:rsid w:val="007F1968"/>
    <w:rsid w:val="007F34A5"/>
    <w:rsid w:val="007F590E"/>
    <w:rsid w:val="007F5A38"/>
    <w:rsid w:val="007F5D12"/>
    <w:rsid w:val="007F67C3"/>
    <w:rsid w:val="0080028D"/>
    <w:rsid w:val="0080052B"/>
    <w:rsid w:val="00805C12"/>
    <w:rsid w:val="0080666E"/>
    <w:rsid w:val="00811606"/>
    <w:rsid w:val="00811FA7"/>
    <w:rsid w:val="008129B2"/>
    <w:rsid w:val="00813396"/>
    <w:rsid w:val="008155BA"/>
    <w:rsid w:val="008162B7"/>
    <w:rsid w:val="00816313"/>
    <w:rsid w:val="00816C0F"/>
    <w:rsid w:val="00822897"/>
    <w:rsid w:val="00823A4E"/>
    <w:rsid w:val="00823E2B"/>
    <w:rsid w:val="00826AE7"/>
    <w:rsid w:val="00826F0B"/>
    <w:rsid w:val="008339F4"/>
    <w:rsid w:val="00833A07"/>
    <w:rsid w:val="00835434"/>
    <w:rsid w:val="00836176"/>
    <w:rsid w:val="00837DF2"/>
    <w:rsid w:val="00842094"/>
    <w:rsid w:val="0084463F"/>
    <w:rsid w:val="0084528D"/>
    <w:rsid w:val="00850A64"/>
    <w:rsid w:val="00855A46"/>
    <w:rsid w:val="008564EA"/>
    <w:rsid w:val="00857079"/>
    <w:rsid w:val="00860631"/>
    <w:rsid w:val="008636F9"/>
    <w:rsid w:val="00865CE8"/>
    <w:rsid w:val="008664EB"/>
    <w:rsid w:val="00870469"/>
    <w:rsid w:val="00873466"/>
    <w:rsid w:val="00874DE9"/>
    <w:rsid w:val="00875F25"/>
    <w:rsid w:val="0087715C"/>
    <w:rsid w:val="00877D3C"/>
    <w:rsid w:val="00882E60"/>
    <w:rsid w:val="008845A9"/>
    <w:rsid w:val="008860FC"/>
    <w:rsid w:val="00886D3A"/>
    <w:rsid w:val="008874C1"/>
    <w:rsid w:val="00890513"/>
    <w:rsid w:val="0089070C"/>
    <w:rsid w:val="00890B68"/>
    <w:rsid w:val="0089260E"/>
    <w:rsid w:val="00892D49"/>
    <w:rsid w:val="008932A3"/>
    <w:rsid w:val="00893CB8"/>
    <w:rsid w:val="00894FB2"/>
    <w:rsid w:val="00895BD8"/>
    <w:rsid w:val="0089655B"/>
    <w:rsid w:val="008972D1"/>
    <w:rsid w:val="00897BC8"/>
    <w:rsid w:val="008A0838"/>
    <w:rsid w:val="008A13E7"/>
    <w:rsid w:val="008A3F35"/>
    <w:rsid w:val="008A581A"/>
    <w:rsid w:val="008A5F7F"/>
    <w:rsid w:val="008A63E2"/>
    <w:rsid w:val="008A6630"/>
    <w:rsid w:val="008A6DB9"/>
    <w:rsid w:val="008A7D83"/>
    <w:rsid w:val="008B0154"/>
    <w:rsid w:val="008B1963"/>
    <w:rsid w:val="008B20D0"/>
    <w:rsid w:val="008B24F2"/>
    <w:rsid w:val="008B2769"/>
    <w:rsid w:val="008B37F0"/>
    <w:rsid w:val="008B3E4E"/>
    <w:rsid w:val="008B4702"/>
    <w:rsid w:val="008B65B4"/>
    <w:rsid w:val="008C0F54"/>
    <w:rsid w:val="008C1C56"/>
    <w:rsid w:val="008C5503"/>
    <w:rsid w:val="008C5726"/>
    <w:rsid w:val="008C798A"/>
    <w:rsid w:val="008D1C86"/>
    <w:rsid w:val="008D6371"/>
    <w:rsid w:val="008E1296"/>
    <w:rsid w:val="008E270A"/>
    <w:rsid w:val="008E72E3"/>
    <w:rsid w:val="008F4B7D"/>
    <w:rsid w:val="008F4B82"/>
    <w:rsid w:val="009130AF"/>
    <w:rsid w:val="00913825"/>
    <w:rsid w:val="009141C1"/>
    <w:rsid w:val="009148CA"/>
    <w:rsid w:val="00914EA8"/>
    <w:rsid w:val="0091664E"/>
    <w:rsid w:val="009169A4"/>
    <w:rsid w:val="009170B7"/>
    <w:rsid w:val="00920236"/>
    <w:rsid w:val="009219D9"/>
    <w:rsid w:val="0092347C"/>
    <w:rsid w:val="0092472D"/>
    <w:rsid w:val="00925F58"/>
    <w:rsid w:val="009262AA"/>
    <w:rsid w:val="00926438"/>
    <w:rsid w:val="009323CA"/>
    <w:rsid w:val="0093291C"/>
    <w:rsid w:val="00932DD8"/>
    <w:rsid w:val="00933213"/>
    <w:rsid w:val="00933E80"/>
    <w:rsid w:val="009343D3"/>
    <w:rsid w:val="00937D2C"/>
    <w:rsid w:val="009411C1"/>
    <w:rsid w:val="00942366"/>
    <w:rsid w:val="00943329"/>
    <w:rsid w:val="00943ED3"/>
    <w:rsid w:val="009445E7"/>
    <w:rsid w:val="0094654A"/>
    <w:rsid w:val="0094736B"/>
    <w:rsid w:val="0095004D"/>
    <w:rsid w:val="009515AA"/>
    <w:rsid w:val="00951DAA"/>
    <w:rsid w:val="009524D9"/>
    <w:rsid w:val="00952AF7"/>
    <w:rsid w:val="00953DDB"/>
    <w:rsid w:val="00955094"/>
    <w:rsid w:val="00960B49"/>
    <w:rsid w:val="009648C3"/>
    <w:rsid w:val="00964DD4"/>
    <w:rsid w:val="009669F1"/>
    <w:rsid w:val="0096732C"/>
    <w:rsid w:val="009675A9"/>
    <w:rsid w:val="009714E6"/>
    <w:rsid w:val="00971553"/>
    <w:rsid w:val="009717A1"/>
    <w:rsid w:val="009774D1"/>
    <w:rsid w:val="00977737"/>
    <w:rsid w:val="00981C70"/>
    <w:rsid w:val="00982654"/>
    <w:rsid w:val="00982B60"/>
    <w:rsid w:val="009878F0"/>
    <w:rsid w:val="00987AB7"/>
    <w:rsid w:val="00987FB6"/>
    <w:rsid w:val="00992467"/>
    <w:rsid w:val="009972A2"/>
    <w:rsid w:val="0099783F"/>
    <w:rsid w:val="009A0B29"/>
    <w:rsid w:val="009A106A"/>
    <w:rsid w:val="009A13D9"/>
    <w:rsid w:val="009A1711"/>
    <w:rsid w:val="009A181B"/>
    <w:rsid w:val="009A36DD"/>
    <w:rsid w:val="009A4508"/>
    <w:rsid w:val="009A6A40"/>
    <w:rsid w:val="009B1B6B"/>
    <w:rsid w:val="009B2A0E"/>
    <w:rsid w:val="009B5606"/>
    <w:rsid w:val="009B603A"/>
    <w:rsid w:val="009B7956"/>
    <w:rsid w:val="009C057C"/>
    <w:rsid w:val="009C0945"/>
    <w:rsid w:val="009C0F33"/>
    <w:rsid w:val="009C1E6B"/>
    <w:rsid w:val="009C4651"/>
    <w:rsid w:val="009C5CDE"/>
    <w:rsid w:val="009C74AB"/>
    <w:rsid w:val="009D26B5"/>
    <w:rsid w:val="009D3151"/>
    <w:rsid w:val="009D5A7B"/>
    <w:rsid w:val="009E013E"/>
    <w:rsid w:val="009E4A2E"/>
    <w:rsid w:val="009E4D8D"/>
    <w:rsid w:val="009E6453"/>
    <w:rsid w:val="009F1C9C"/>
    <w:rsid w:val="009F272A"/>
    <w:rsid w:val="009F2830"/>
    <w:rsid w:val="009F3181"/>
    <w:rsid w:val="009F6EB6"/>
    <w:rsid w:val="009F790B"/>
    <w:rsid w:val="009F7EB5"/>
    <w:rsid w:val="00A04AD3"/>
    <w:rsid w:val="00A073CB"/>
    <w:rsid w:val="00A07D5A"/>
    <w:rsid w:val="00A11CAC"/>
    <w:rsid w:val="00A14CD4"/>
    <w:rsid w:val="00A223EC"/>
    <w:rsid w:val="00A262DF"/>
    <w:rsid w:val="00A2684A"/>
    <w:rsid w:val="00A27EB6"/>
    <w:rsid w:val="00A30440"/>
    <w:rsid w:val="00A325AB"/>
    <w:rsid w:val="00A41316"/>
    <w:rsid w:val="00A45F59"/>
    <w:rsid w:val="00A5218C"/>
    <w:rsid w:val="00A52469"/>
    <w:rsid w:val="00A52E02"/>
    <w:rsid w:val="00A57EA4"/>
    <w:rsid w:val="00A60213"/>
    <w:rsid w:val="00A615E8"/>
    <w:rsid w:val="00A61C0E"/>
    <w:rsid w:val="00A645D8"/>
    <w:rsid w:val="00A670FB"/>
    <w:rsid w:val="00A72343"/>
    <w:rsid w:val="00A730DC"/>
    <w:rsid w:val="00A75687"/>
    <w:rsid w:val="00A76F02"/>
    <w:rsid w:val="00A77399"/>
    <w:rsid w:val="00A77981"/>
    <w:rsid w:val="00A82B9E"/>
    <w:rsid w:val="00A841DE"/>
    <w:rsid w:val="00A8559D"/>
    <w:rsid w:val="00A931A3"/>
    <w:rsid w:val="00A9408A"/>
    <w:rsid w:val="00A96795"/>
    <w:rsid w:val="00A96A6A"/>
    <w:rsid w:val="00A96E27"/>
    <w:rsid w:val="00A97343"/>
    <w:rsid w:val="00AA1DAF"/>
    <w:rsid w:val="00AA236F"/>
    <w:rsid w:val="00AA2E90"/>
    <w:rsid w:val="00AA37BC"/>
    <w:rsid w:val="00AA651C"/>
    <w:rsid w:val="00AA7A1B"/>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4E03"/>
    <w:rsid w:val="00AE53C0"/>
    <w:rsid w:val="00AE64EF"/>
    <w:rsid w:val="00AE7215"/>
    <w:rsid w:val="00AF2763"/>
    <w:rsid w:val="00AF2BA7"/>
    <w:rsid w:val="00AF306C"/>
    <w:rsid w:val="00AF420E"/>
    <w:rsid w:val="00AF6040"/>
    <w:rsid w:val="00AF653C"/>
    <w:rsid w:val="00AF7938"/>
    <w:rsid w:val="00B0030B"/>
    <w:rsid w:val="00B00681"/>
    <w:rsid w:val="00B00A5E"/>
    <w:rsid w:val="00B00E83"/>
    <w:rsid w:val="00B0395F"/>
    <w:rsid w:val="00B064A0"/>
    <w:rsid w:val="00B071DB"/>
    <w:rsid w:val="00B135D7"/>
    <w:rsid w:val="00B1388C"/>
    <w:rsid w:val="00B1397B"/>
    <w:rsid w:val="00B13FE9"/>
    <w:rsid w:val="00B14691"/>
    <w:rsid w:val="00B162CD"/>
    <w:rsid w:val="00B23279"/>
    <w:rsid w:val="00B2585A"/>
    <w:rsid w:val="00B25898"/>
    <w:rsid w:val="00B25B77"/>
    <w:rsid w:val="00B2629D"/>
    <w:rsid w:val="00B31011"/>
    <w:rsid w:val="00B316F7"/>
    <w:rsid w:val="00B34926"/>
    <w:rsid w:val="00B370B2"/>
    <w:rsid w:val="00B401C1"/>
    <w:rsid w:val="00B40456"/>
    <w:rsid w:val="00B40AF8"/>
    <w:rsid w:val="00B426C6"/>
    <w:rsid w:val="00B432FD"/>
    <w:rsid w:val="00B44219"/>
    <w:rsid w:val="00B45F40"/>
    <w:rsid w:val="00B524BD"/>
    <w:rsid w:val="00B53037"/>
    <w:rsid w:val="00B5315D"/>
    <w:rsid w:val="00B60178"/>
    <w:rsid w:val="00B60EC4"/>
    <w:rsid w:val="00B61DE8"/>
    <w:rsid w:val="00B634D4"/>
    <w:rsid w:val="00B650A2"/>
    <w:rsid w:val="00B65667"/>
    <w:rsid w:val="00B66CC0"/>
    <w:rsid w:val="00B7053E"/>
    <w:rsid w:val="00B71FC4"/>
    <w:rsid w:val="00B748E1"/>
    <w:rsid w:val="00B767AE"/>
    <w:rsid w:val="00B76BDF"/>
    <w:rsid w:val="00B76D6D"/>
    <w:rsid w:val="00B80D2B"/>
    <w:rsid w:val="00B82B8B"/>
    <w:rsid w:val="00B84330"/>
    <w:rsid w:val="00B875CA"/>
    <w:rsid w:val="00B87F2A"/>
    <w:rsid w:val="00B94E68"/>
    <w:rsid w:val="00B97C78"/>
    <w:rsid w:val="00BA05F4"/>
    <w:rsid w:val="00BA13A5"/>
    <w:rsid w:val="00BA1CC0"/>
    <w:rsid w:val="00BA5F96"/>
    <w:rsid w:val="00BA7A2C"/>
    <w:rsid w:val="00BB096A"/>
    <w:rsid w:val="00BB142E"/>
    <w:rsid w:val="00BB226D"/>
    <w:rsid w:val="00BB24FD"/>
    <w:rsid w:val="00BB34CA"/>
    <w:rsid w:val="00BB3B00"/>
    <w:rsid w:val="00BB3B04"/>
    <w:rsid w:val="00BB5FF4"/>
    <w:rsid w:val="00BC00A7"/>
    <w:rsid w:val="00BC04D5"/>
    <w:rsid w:val="00BC4BE2"/>
    <w:rsid w:val="00BC6211"/>
    <w:rsid w:val="00BC7E45"/>
    <w:rsid w:val="00BD0BA8"/>
    <w:rsid w:val="00BD1AF4"/>
    <w:rsid w:val="00BD32FB"/>
    <w:rsid w:val="00BD3693"/>
    <w:rsid w:val="00BD3FA1"/>
    <w:rsid w:val="00BD7CA7"/>
    <w:rsid w:val="00BE1260"/>
    <w:rsid w:val="00BE3AB7"/>
    <w:rsid w:val="00BE41AA"/>
    <w:rsid w:val="00BE4FA9"/>
    <w:rsid w:val="00BE7F85"/>
    <w:rsid w:val="00BF0B27"/>
    <w:rsid w:val="00BF33EF"/>
    <w:rsid w:val="00BF363C"/>
    <w:rsid w:val="00BF5CE2"/>
    <w:rsid w:val="00C01B26"/>
    <w:rsid w:val="00C01B39"/>
    <w:rsid w:val="00C01ECD"/>
    <w:rsid w:val="00C02783"/>
    <w:rsid w:val="00C04D0B"/>
    <w:rsid w:val="00C05052"/>
    <w:rsid w:val="00C07579"/>
    <w:rsid w:val="00C10F0A"/>
    <w:rsid w:val="00C12EFE"/>
    <w:rsid w:val="00C14310"/>
    <w:rsid w:val="00C1528C"/>
    <w:rsid w:val="00C17C3A"/>
    <w:rsid w:val="00C228CA"/>
    <w:rsid w:val="00C22EE7"/>
    <w:rsid w:val="00C253A1"/>
    <w:rsid w:val="00C27776"/>
    <w:rsid w:val="00C27961"/>
    <w:rsid w:val="00C27E06"/>
    <w:rsid w:val="00C35B2B"/>
    <w:rsid w:val="00C36857"/>
    <w:rsid w:val="00C40E95"/>
    <w:rsid w:val="00C41006"/>
    <w:rsid w:val="00C45B53"/>
    <w:rsid w:val="00C4790A"/>
    <w:rsid w:val="00C47DFF"/>
    <w:rsid w:val="00C50538"/>
    <w:rsid w:val="00C50E71"/>
    <w:rsid w:val="00C54129"/>
    <w:rsid w:val="00C56AE3"/>
    <w:rsid w:val="00C610B0"/>
    <w:rsid w:val="00C66CC9"/>
    <w:rsid w:val="00C70F5B"/>
    <w:rsid w:val="00C737DC"/>
    <w:rsid w:val="00C742C8"/>
    <w:rsid w:val="00C82545"/>
    <w:rsid w:val="00C828B0"/>
    <w:rsid w:val="00C83561"/>
    <w:rsid w:val="00C84709"/>
    <w:rsid w:val="00C879D3"/>
    <w:rsid w:val="00C90043"/>
    <w:rsid w:val="00C90C6F"/>
    <w:rsid w:val="00C91D90"/>
    <w:rsid w:val="00C91F35"/>
    <w:rsid w:val="00C9379B"/>
    <w:rsid w:val="00C937ED"/>
    <w:rsid w:val="00C94CE9"/>
    <w:rsid w:val="00C9694F"/>
    <w:rsid w:val="00C978AB"/>
    <w:rsid w:val="00CA07E7"/>
    <w:rsid w:val="00CA112C"/>
    <w:rsid w:val="00CA2DA3"/>
    <w:rsid w:val="00CA2F0C"/>
    <w:rsid w:val="00CA4851"/>
    <w:rsid w:val="00CA74AC"/>
    <w:rsid w:val="00CB0612"/>
    <w:rsid w:val="00CB10F1"/>
    <w:rsid w:val="00CB1375"/>
    <w:rsid w:val="00CB2772"/>
    <w:rsid w:val="00CB3DAF"/>
    <w:rsid w:val="00CB60B6"/>
    <w:rsid w:val="00CB629F"/>
    <w:rsid w:val="00CB6A6E"/>
    <w:rsid w:val="00CB6EF4"/>
    <w:rsid w:val="00CC118C"/>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6CB2"/>
    <w:rsid w:val="00CF06AE"/>
    <w:rsid w:val="00CF10AF"/>
    <w:rsid w:val="00CF3496"/>
    <w:rsid w:val="00CF4274"/>
    <w:rsid w:val="00CF5A27"/>
    <w:rsid w:val="00CF5CE8"/>
    <w:rsid w:val="00CF6B8A"/>
    <w:rsid w:val="00D01E9D"/>
    <w:rsid w:val="00D02679"/>
    <w:rsid w:val="00D0278F"/>
    <w:rsid w:val="00D038EC"/>
    <w:rsid w:val="00D03F0F"/>
    <w:rsid w:val="00D20BA9"/>
    <w:rsid w:val="00D22BFC"/>
    <w:rsid w:val="00D22D6A"/>
    <w:rsid w:val="00D24C85"/>
    <w:rsid w:val="00D31166"/>
    <w:rsid w:val="00D325EC"/>
    <w:rsid w:val="00D36137"/>
    <w:rsid w:val="00D3650D"/>
    <w:rsid w:val="00D36CBD"/>
    <w:rsid w:val="00D377A4"/>
    <w:rsid w:val="00D42A9D"/>
    <w:rsid w:val="00D44971"/>
    <w:rsid w:val="00D465D5"/>
    <w:rsid w:val="00D501BC"/>
    <w:rsid w:val="00D54945"/>
    <w:rsid w:val="00D55969"/>
    <w:rsid w:val="00D5786C"/>
    <w:rsid w:val="00D57C94"/>
    <w:rsid w:val="00D57F60"/>
    <w:rsid w:val="00D6175A"/>
    <w:rsid w:val="00D644B7"/>
    <w:rsid w:val="00D647F2"/>
    <w:rsid w:val="00D651FB"/>
    <w:rsid w:val="00D67485"/>
    <w:rsid w:val="00D7058E"/>
    <w:rsid w:val="00D708F8"/>
    <w:rsid w:val="00D70F48"/>
    <w:rsid w:val="00D74F6D"/>
    <w:rsid w:val="00D75AA6"/>
    <w:rsid w:val="00D76538"/>
    <w:rsid w:val="00D76D32"/>
    <w:rsid w:val="00D80300"/>
    <w:rsid w:val="00D839AA"/>
    <w:rsid w:val="00D848EE"/>
    <w:rsid w:val="00D851AB"/>
    <w:rsid w:val="00D8538D"/>
    <w:rsid w:val="00D92313"/>
    <w:rsid w:val="00D928C8"/>
    <w:rsid w:val="00D93550"/>
    <w:rsid w:val="00D9587F"/>
    <w:rsid w:val="00DA23B0"/>
    <w:rsid w:val="00DA394E"/>
    <w:rsid w:val="00DA3959"/>
    <w:rsid w:val="00DA5A96"/>
    <w:rsid w:val="00DB12EF"/>
    <w:rsid w:val="00DB663A"/>
    <w:rsid w:val="00DC072B"/>
    <w:rsid w:val="00DC1920"/>
    <w:rsid w:val="00DC79F9"/>
    <w:rsid w:val="00DD1D52"/>
    <w:rsid w:val="00DD257B"/>
    <w:rsid w:val="00DE2554"/>
    <w:rsid w:val="00DE61F3"/>
    <w:rsid w:val="00DE7623"/>
    <w:rsid w:val="00DF482B"/>
    <w:rsid w:val="00DF67C7"/>
    <w:rsid w:val="00DF7314"/>
    <w:rsid w:val="00E04D6B"/>
    <w:rsid w:val="00E13679"/>
    <w:rsid w:val="00E14E12"/>
    <w:rsid w:val="00E171BC"/>
    <w:rsid w:val="00E2212C"/>
    <w:rsid w:val="00E2306A"/>
    <w:rsid w:val="00E23CA2"/>
    <w:rsid w:val="00E24F81"/>
    <w:rsid w:val="00E2557A"/>
    <w:rsid w:val="00E2559D"/>
    <w:rsid w:val="00E27261"/>
    <w:rsid w:val="00E274D8"/>
    <w:rsid w:val="00E342CC"/>
    <w:rsid w:val="00E36C66"/>
    <w:rsid w:val="00E37950"/>
    <w:rsid w:val="00E37A8F"/>
    <w:rsid w:val="00E4247E"/>
    <w:rsid w:val="00E42B68"/>
    <w:rsid w:val="00E43703"/>
    <w:rsid w:val="00E43C26"/>
    <w:rsid w:val="00E43FA8"/>
    <w:rsid w:val="00E44639"/>
    <w:rsid w:val="00E46AEC"/>
    <w:rsid w:val="00E46CEA"/>
    <w:rsid w:val="00E4702E"/>
    <w:rsid w:val="00E474F0"/>
    <w:rsid w:val="00E47A9A"/>
    <w:rsid w:val="00E50993"/>
    <w:rsid w:val="00E516F3"/>
    <w:rsid w:val="00E528F7"/>
    <w:rsid w:val="00E528F9"/>
    <w:rsid w:val="00E55684"/>
    <w:rsid w:val="00E602D0"/>
    <w:rsid w:val="00E603C8"/>
    <w:rsid w:val="00E64DB8"/>
    <w:rsid w:val="00E64EB9"/>
    <w:rsid w:val="00E64F4D"/>
    <w:rsid w:val="00E6613F"/>
    <w:rsid w:val="00E6770F"/>
    <w:rsid w:val="00E71440"/>
    <w:rsid w:val="00E72196"/>
    <w:rsid w:val="00E72615"/>
    <w:rsid w:val="00E736EF"/>
    <w:rsid w:val="00E742C0"/>
    <w:rsid w:val="00E753C8"/>
    <w:rsid w:val="00E75858"/>
    <w:rsid w:val="00E75ECD"/>
    <w:rsid w:val="00E76F05"/>
    <w:rsid w:val="00E848E3"/>
    <w:rsid w:val="00E86A90"/>
    <w:rsid w:val="00E9112A"/>
    <w:rsid w:val="00E94C91"/>
    <w:rsid w:val="00E976A2"/>
    <w:rsid w:val="00E97CBF"/>
    <w:rsid w:val="00EA58FE"/>
    <w:rsid w:val="00EA6897"/>
    <w:rsid w:val="00EA6EF0"/>
    <w:rsid w:val="00EB0855"/>
    <w:rsid w:val="00EB1C37"/>
    <w:rsid w:val="00EB3490"/>
    <w:rsid w:val="00EB4F0F"/>
    <w:rsid w:val="00EC41C3"/>
    <w:rsid w:val="00EC7DBC"/>
    <w:rsid w:val="00EC7F7D"/>
    <w:rsid w:val="00ED2780"/>
    <w:rsid w:val="00ED3258"/>
    <w:rsid w:val="00ED3491"/>
    <w:rsid w:val="00ED6446"/>
    <w:rsid w:val="00ED688E"/>
    <w:rsid w:val="00EE17DC"/>
    <w:rsid w:val="00EE18B8"/>
    <w:rsid w:val="00EE2870"/>
    <w:rsid w:val="00EE48CC"/>
    <w:rsid w:val="00EE617F"/>
    <w:rsid w:val="00EF008E"/>
    <w:rsid w:val="00EF1834"/>
    <w:rsid w:val="00EF1A73"/>
    <w:rsid w:val="00EF589B"/>
    <w:rsid w:val="00EF66C8"/>
    <w:rsid w:val="00EF6CF6"/>
    <w:rsid w:val="00EF7D2D"/>
    <w:rsid w:val="00F02B3A"/>
    <w:rsid w:val="00F03302"/>
    <w:rsid w:val="00F03716"/>
    <w:rsid w:val="00F048C4"/>
    <w:rsid w:val="00F04BC9"/>
    <w:rsid w:val="00F11B2B"/>
    <w:rsid w:val="00F14BBD"/>
    <w:rsid w:val="00F205E9"/>
    <w:rsid w:val="00F20F1B"/>
    <w:rsid w:val="00F24605"/>
    <w:rsid w:val="00F253B2"/>
    <w:rsid w:val="00F25470"/>
    <w:rsid w:val="00F27237"/>
    <w:rsid w:val="00F277D7"/>
    <w:rsid w:val="00F2792C"/>
    <w:rsid w:val="00F27E28"/>
    <w:rsid w:val="00F307A2"/>
    <w:rsid w:val="00F3248D"/>
    <w:rsid w:val="00F32C8E"/>
    <w:rsid w:val="00F333DD"/>
    <w:rsid w:val="00F34226"/>
    <w:rsid w:val="00F3628D"/>
    <w:rsid w:val="00F363E0"/>
    <w:rsid w:val="00F36E82"/>
    <w:rsid w:val="00F404DF"/>
    <w:rsid w:val="00F417FC"/>
    <w:rsid w:val="00F424B0"/>
    <w:rsid w:val="00F43F3B"/>
    <w:rsid w:val="00F44A8F"/>
    <w:rsid w:val="00F546BC"/>
    <w:rsid w:val="00F60507"/>
    <w:rsid w:val="00F60736"/>
    <w:rsid w:val="00F61C69"/>
    <w:rsid w:val="00F63839"/>
    <w:rsid w:val="00F6459B"/>
    <w:rsid w:val="00F66FF2"/>
    <w:rsid w:val="00F67FB8"/>
    <w:rsid w:val="00F70A8F"/>
    <w:rsid w:val="00F7139A"/>
    <w:rsid w:val="00F71D53"/>
    <w:rsid w:val="00F72052"/>
    <w:rsid w:val="00F74174"/>
    <w:rsid w:val="00F75079"/>
    <w:rsid w:val="00F76A99"/>
    <w:rsid w:val="00F77FAF"/>
    <w:rsid w:val="00F80395"/>
    <w:rsid w:val="00F81F49"/>
    <w:rsid w:val="00F8456D"/>
    <w:rsid w:val="00F8763E"/>
    <w:rsid w:val="00F90D02"/>
    <w:rsid w:val="00F92FD1"/>
    <w:rsid w:val="00F93467"/>
    <w:rsid w:val="00F94484"/>
    <w:rsid w:val="00F96716"/>
    <w:rsid w:val="00F97AF0"/>
    <w:rsid w:val="00F97E01"/>
    <w:rsid w:val="00FA1D86"/>
    <w:rsid w:val="00FA283E"/>
    <w:rsid w:val="00FA71AC"/>
    <w:rsid w:val="00FB02AC"/>
    <w:rsid w:val="00FB0F9F"/>
    <w:rsid w:val="00FB4C93"/>
    <w:rsid w:val="00FB7EF9"/>
    <w:rsid w:val="00FC013E"/>
    <w:rsid w:val="00FC2844"/>
    <w:rsid w:val="00FC293A"/>
    <w:rsid w:val="00FC3BE2"/>
    <w:rsid w:val="00FC4EEE"/>
    <w:rsid w:val="00FD0160"/>
    <w:rsid w:val="00FD23DE"/>
    <w:rsid w:val="00FD2C77"/>
    <w:rsid w:val="00FD35EB"/>
    <w:rsid w:val="00FD3700"/>
    <w:rsid w:val="00FD4516"/>
    <w:rsid w:val="00FD4C3E"/>
    <w:rsid w:val="00FD6E1A"/>
    <w:rsid w:val="00FE0A5A"/>
    <w:rsid w:val="00FE184D"/>
    <w:rsid w:val="00FE3845"/>
    <w:rsid w:val="00FE4D42"/>
    <w:rsid w:val="00FE5113"/>
    <w:rsid w:val="00FE5B60"/>
    <w:rsid w:val="00FE67AA"/>
    <w:rsid w:val="00FF3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semiHidden/>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basedOn w:val="Normal"/>
    <w:link w:val="FootnoteTextChar"/>
    <w:uiPriority w:val="99"/>
    <w:semiHidden/>
    <w:unhideWhenUsed/>
    <w:rsid w:val="00D64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semiHidden/>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styleId="UnresolvedMention">
    <w:name w:val="Unresolved Mention"/>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semiHidden/>
    <w:rsid w:val="0011191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agnifi.com"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fred.stlouisfed.org/series/FEDFUNDS" TargetMode="External"/><Relationship Id="rId13" Type="http://schemas.openxmlformats.org/officeDocument/2006/relationships/hyperlink" Target="https://fred.stlouisfed.org/series/CPIAUCSL" TargetMode="External"/><Relationship Id="rId18" Type="http://schemas.openxmlformats.org/officeDocument/2006/relationships/hyperlink" Target="https://fred.stlouisfed.org/series/MORTGAGE30US" TargetMode="External"/><Relationship Id="rId26" Type="http://schemas.openxmlformats.org/officeDocument/2006/relationships/hyperlink" Target="https://fred.stlouisfed.org/series/UNRATECTM" TargetMode="External"/><Relationship Id="rId3" Type="http://schemas.openxmlformats.org/officeDocument/2006/relationships/hyperlink" Target="https://www.philadelphiafed.org/-/media/research-and-data/regional-economy/indexes/coincident/2020/coincidentindexes0920.pdf" TargetMode="External"/><Relationship Id="rId21" Type="http://schemas.openxmlformats.org/officeDocument/2006/relationships/hyperlink" Target="https://fred.stlouisfed.org/series/ALTSALES" TargetMode="External"/><Relationship Id="rId7" Type="http://schemas.openxmlformats.org/officeDocument/2006/relationships/hyperlink" Target="https://fred.stlouisfed.org/release/tables?rid=18&amp;eid=289&amp;od=2020-09-30" TargetMode="External"/><Relationship Id="rId12" Type="http://schemas.openxmlformats.org/officeDocument/2006/relationships/hyperlink" Target="https://fred.stlouisfed.org/series/UNRATE" TargetMode="External"/><Relationship Id="rId17" Type="http://schemas.openxmlformats.org/officeDocument/2006/relationships/hyperlink" Target="https://fred.stlouisfed.org/series/HOUST" TargetMode="External"/><Relationship Id="rId25" Type="http://schemas.openxmlformats.org/officeDocument/2006/relationships/hyperlink" Target="https://fred.stlouisfed.org/series/PCECTPICTM" TargetMode="External"/><Relationship Id="rId2" Type="http://schemas.openxmlformats.org/officeDocument/2006/relationships/hyperlink" Target="https://usafacts.org/visualizations/coronavirus-covid-19-spread-map/" TargetMode="External"/><Relationship Id="rId16" Type="http://schemas.openxmlformats.org/officeDocument/2006/relationships/hyperlink" Target="https://fred.stlouisfed.org/series/MCOILWTICO" TargetMode="External"/><Relationship Id="rId20" Type="http://schemas.openxmlformats.org/officeDocument/2006/relationships/hyperlink" Target="https://fred.stlouisfed.org/series/PCE" TargetMode="External"/><Relationship Id="rId1" Type="http://schemas.openxmlformats.org/officeDocument/2006/relationships/hyperlink" Target="https://www.nber.org/research/data/us-business-cycle-expansions-and-contractions" TargetMode="External"/><Relationship Id="rId6" Type="http://schemas.openxmlformats.org/officeDocument/2006/relationships/hyperlink" Target="https://fred.stlouisfed.org/series/INDPRO" TargetMode="External"/><Relationship Id="rId11" Type="http://schemas.openxmlformats.org/officeDocument/2006/relationships/hyperlink" Target="https://fred.stlouisfed.org/series/PAYEMS" TargetMode="External"/><Relationship Id="rId24" Type="http://schemas.openxmlformats.org/officeDocument/2006/relationships/hyperlink" Target="https://fred.stlouisfed.org/series/GDPC1CTM" TargetMode="External"/><Relationship Id="rId5" Type="http://schemas.openxmlformats.org/officeDocument/2006/relationships/hyperlink" Target="https://fred.stlouisfed.org/series/GDPC1" TargetMode="External"/><Relationship Id="rId15" Type="http://schemas.openxmlformats.org/officeDocument/2006/relationships/hyperlink" Target="https://fred.stlouisfed.org/series/PPIACO" TargetMode="External"/><Relationship Id="rId23" Type="http://schemas.openxmlformats.org/officeDocument/2006/relationships/hyperlink" Target="https://fred.stlouisfed.org/series/VIXCLS" TargetMode="External"/><Relationship Id="rId10" Type="http://schemas.openxmlformats.org/officeDocument/2006/relationships/hyperlink" Target="https://fred.stlouisfed.org/series/BAA" TargetMode="External"/><Relationship Id="rId19" Type="http://schemas.openxmlformats.org/officeDocument/2006/relationships/hyperlink" Target="https://fred.stlouisfed.org/series/SPCS20RSA" TargetMode="External"/><Relationship Id="rId4" Type="http://schemas.openxmlformats.org/officeDocument/2006/relationships/hyperlink" Target="https://fred.stlouisfed.org/series/DTWEXBGS" TargetMode="External"/><Relationship Id="rId9" Type="http://schemas.openxmlformats.org/officeDocument/2006/relationships/hyperlink" Target="https://fred.stlouisfed.org/series/DGS10" TargetMode="External"/><Relationship Id="rId14" Type="http://schemas.openxmlformats.org/officeDocument/2006/relationships/hyperlink" Target="https://www.newyorkfed.org/microeconomics/sce" TargetMode="External"/><Relationship Id="rId22" Type="http://schemas.openxmlformats.org/officeDocument/2006/relationships/hyperlink" Target="https://fred.stlouisfed.org/series/UMCS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5D0FE-261B-0D4D-90C2-18A6E4BF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2737</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3</cp:revision>
  <cp:lastPrinted>2020-11-05T16:54:00Z</cp:lastPrinted>
  <dcterms:created xsi:type="dcterms:W3CDTF">2020-11-05T16:54:00Z</dcterms:created>
  <dcterms:modified xsi:type="dcterms:W3CDTF">2020-11-05T16:58:00Z</dcterms:modified>
</cp:coreProperties>
</file>