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77777777" w:rsidR="006663D0" w:rsidRDefault="006663D0" w:rsidP="002E6FDE">
          <w:pPr>
            <w:jc w:val="right"/>
          </w:pPr>
        </w:p>
        <w:p w14:paraId="61E7189B" w14:textId="5A4E226B" w:rsidR="006663D0" w:rsidRDefault="00361E70" w:rsidP="00696388">
          <w:pPr>
            <w:jc w:val="right"/>
          </w:pPr>
          <w:r>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1E0B4566" w:rsidR="006663D0" w:rsidRDefault="006663D0" w:rsidP="002E6FDE">
          <w:pPr>
            <w:jc w:val="right"/>
            <w:rPr>
              <w:sz w:val="36"/>
              <w:szCs w:val="36"/>
            </w:rPr>
          </w:pPr>
          <w:r w:rsidRPr="006663D0">
            <w:rPr>
              <w:sz w:val="36"/>
              <w:szCs w:val="36"/>
            </w:rPr>
            <w:t xml:space="preserve">For the </w:t>
          </w:r>
          <w:r w:rsidR="008B41BC">
            <w:rPr>
              <w:sz w:val="36"/>
              <w:szCs w:val="36"/>
            </w:rPr>
            <w:t>4</w:t>
          </w:r>
          <w:r w:rsidR="008B41BC" w:rsidRPr="008B41BC">
            <w:rPr>
              <w:sz w:val="36"/>
              <w:szCs w:val="36"/>
              <w:vertAlign w:val="superscript"/>
            </w:rPr>
            <w:t>th</w:t>
          </w:r>
          <w:r w:rsidR="008B41BC">
            <w:rPr>
              <w:sz w:val="36"/>
              <w:szCs w:val="36"/>
            </w:rPr>
            <w:t xml:space="preserve"> </w:t>
          </w:r>
          <w:r w:rsidRPr="006663D0">
            <w:rPr>
              <w:sz w:val="36"/>
              <w:szCs w:val="36"/>
            </w:rPr>
            <w:t>Quarter of 2020</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31C4F5C0" w14:textId="34BC3ADE" w:rsidR="00BD3FA1" w:rsidRPr="00EB1C37" w:rsidRDefault="003071CD" w:rsidP="00BD3FA1">
      <w:r w:rsidRPr="00EB1C37">
        <w:t xml:space="preserve">In the </w:t>
      </w:r>
      <w:r w:rsidR="00D571C6">
        <w:t>4</w:t>
      </w:r>
      <w:r w:rsidR="00D571C6" w:rsidRPr="00D571C6">
        <w:rPr>
          <w:vertAlign w:val="superscript"/>
        </w:rPr>
        <w:t>th</w:t>
      </w:r>
      <w:r w:rsidR="00D571C6">
        <w:t xml:space="preserve"> </w:t>
      </w:r>
      <w:r w:rsidRPr="00EB1C37">
        <w:t xml:space="preserve">quarter of 2020, the </w:t>
      </w:r>
      <w:r w:rsidR="00494933">
        <w:t xml:space="preserve">U.S. economy </w:t>
      </w:r>
      <w:r w:rsidR="0004306B">
        <w:t xml:space="preserve">continued </w:t>
      </w:r>
      <w:r w:rsidR="00D571C6">
        <w:t>its</w:t>
      </w:r>
      <w:r w:rsidR="00610140" w:rsidRPr="00EB1C37">
        <w:t xml:space="preserve"> rebound</w:t>
      </w:r>
      <w:r w:rsidR="0004306B">
        <w:t xml:space="preserve"> from the </w:t>
      </w:r>
      <w:r w:rsidR="00B14691">
        <w:t>fallout</w:t>
      </w:r>
      <w:r w:rsidR="0004306B">
        <w:t xml:space="preserve"> of the COVID-19 pandemic</w:t>
      </w:r>
      <w:r w:rsidR="00FF5686">
        <w:t>. E</w:t>
      </w:r>
      <w:r w:rsidR="00D571C6">
        <w:t xml:space="preserve">mergency vaccine approvals </w:t>
      </w:r>
      <w:r w:rsidR="00FF5686">
        <w:t xml:space="preserve">and a second relief bill, </w:t>
      </w:r>
      <w:r w:rsidR="00FF5686" w:rsidRPr="009E44F2">
        <w:t>the Coronavirus Response and Relief Supplemental Appropriations Act</w:t>
      </w:r>
      <w:r w:rsidR="00FF5686">
        <w:t xml:space="preserve">, </w:t>
      </w:r>
      <w:r w:rsidR="00D571C6">
        <w:t>spark</w:t>
      </w:r>
      <w:r w:rsidR="00FF5686">
        <w:t>ed</w:t>
      </w:r>
      <w:r w:rsidR="00D571C6">
        <w:t xml:space="preserve"> hope despite surg</w:t>
      </w:r>
      <w:r w:rsidR="00FF5686">
        <w:t>ing</w:t>
      </w:r>
      <w:r w:rsidR="00D571C6">
        <w:t xml:space="preserve"> cases and the discovery of new, more contagious variants</w:t>
      </w:r>
      <w:r w:rsidRPr="00EB1C37">
        <w:t xml:space="preserve">. </w:t>
      </w:r>
      <w:r w:rsidR="00FF5686">
        <w:t>Economic g</w:t>
      </w:r>
      <w:r w:rsidR="00D571C6">
        <w:t>rowth was mixed</w:t>
      </w:r>
      <w:r w:rsidR="00FF5686">
        <w:t xml:space="preserve"> during the 4</w:t>
      </w:r>
      <w:r w:rsidR="00FF5686" w:rsidRPr="00FF5686">
        <w:rPr>
          <w:vertAlign w:val="superscript"/>
        </w:rPr>
        <w:t>th</w:t>
      </w:r>
      <w:r w:rsidR="00FF5686">
        <w:t xml:space="preserve"> quarter</w:t>
      </w:r>
      <w:r w:rsidR="00990761">
        <w:t xml:space="preserve">; </w:t>
      </w:r>
      <w:r w:rsidR="00D571C6">
        <w:t xml:space="preserve">housing </w:t>
      </w:r>
      <w:r w:rsidR="00990761">
        <w:t xml:space="preserve">and capital </w:t>
      </w:r>
      <w:r w:rsidR="00D571C6">
        <w:t>markets</w:t>
      </w:r>
      <w:r w:rsidR="00990761">
        <w:t xml:space="preserve"> surged, while the labor market </w:t>
      </w:r>
      <w:r w:rsidR="00FA62A0">
        <w:t>flagged</w:t>
      </w:r>
      <w:r w:rsidR="00990761">
        <w:t xml:space="preserve"> </w:t>
      </w:r>
      <w:r w:rsidR="00FA62A0">
        <w:t>in December</w:t>
      </w:r>
      <w:r w:rsidR="00990761">
        <w:t xml:space="preserve"> and the dollar value dropped</w:t>
      </w:r>
      <w:r w:rsidR="0004306B">
        <w:t>.</w:t>
      </w:r>
    </w:p>
    <w:p w14:paraId="19CE6CB1" w14:textId="758EB6F4" w:rsidR="00BD3FA1" w:rsidRDefault="006A01A0" w:rsidP="00005111">
      <w:r>
        <w:t>T</w:t>
      </w:r>
      <w:r w:rsidR="00283D6F" w:rsidRPr="00EB1C37">
        <w:t xml:space="preserve">he </w:t>
      </w:r>
      <w:r>
        <w:t xml:space="preserve">national </w:t>
      </w:r>
      <w:r w:rsidR="00283D6F" w:rsidRPr="00EB1C37">
        <w:t>econom</w:t>
      </w:r>
      <w:r w:rsidR="00111911">
        <w:t xml:space="preserve">y has been attempting to shake off the </w:t>
      </w:r>
      <w:r w:rsidR="00283D6F" w:rsidRPr="00EB1C37">
        <w:t xml:space="preserve">effects </w:t>
      </w:r>
      <w:r>
        <w:t xml:space="preserve">of COVID-19 </w:t>
      </w:r>
      <w:r w:rsidR="00111911">
        <w:t xml:space="preserve">since its </w:t>
      </w:r>
      <w:r w:rsidR="00B14691">
        <w:t>plunge</w:t>
      </w:r>
      <w:r w:rsidR="00111911">
        <w:t xml:space="preserve"> in</w:t>
      </w:r>
      <w:r w:rsidR="00283D6F" w:rsidRPr="00EB1C37">
        <w:t xml:space="preserve"> April</w:t>
      </w:r>
      <w:r w:rsidR="00A14CD4" w:rsidRPr="00EB1C37">
        <w:t>.</w:t>
      </w:r>
      <w:r w:rsidR="003A390C">
        <w:t xml:space="preserve"> </w:t>
      </w:r>
      <w:r w:rsidR="003A390C" w:rsidRPr="00EB1C37">
        <w:t xml:space="preserve">Most economic measures </w:t>
      </w:r>
      <w:r w:rsidR="00111911">
        <w:t>have been</w:t>
      </w:r>
      <w:r w:rsidR="003A390C">
        <w:t xml:space="preserve"> </w:t>
      </w:r>
      <w:r w:rsidR="003A390C" w:rsidRPr="00EB1C37">
        <w:t>recuperat</w:t>
      </w:r>
      <w:r w:rsidR="00111911">
        <w:t>ing since May or June</w:t>
      </w:r>
      <w:r w:rsidR="003A390C">
        <w:t xml:space="preserve">, </w:t>
      </w:r>
      <w:r w:rsidR="00111911">
        <w:t xml:space="preserve">yet </w:t>
      </w:r>
      <w:r w:rsidR="00FA71AC">
        <w:t xml:space="preserve">at the end of the </w:t>
      </w:r>
      <w:r w:rsidR="00990761">
        <w:t>4</w:t>
      </w:r>
      <w:r w:rsidR="00990761" w:rsidRPr="00990761">
        <w:rPr>
          <w:vertAlign w:val="superscript"/>
        </w:rPr>
        <w:t>th</w:t>
      </w:r>
      <w:r w:rsidR="00990761">
        <w:t xml:space="preserve"> </w:t>
      </w:r>
      <w:r w:rsidR="00FA71AC">
        <w:t xml:space="preserve">quarter, </w:t>
      </w:r>
      <w:r w:rsidR="003A390C" w:rsidRPr="00EB1C37">
        <w:t>the U.S. economy remain</w:t>
      </w:r>
      <w:r w:rsidR="00FA71AC">
        <w:t>ed</w:t>
      </w:r>
      <w:r w:rsidR="003A390C" w:rsidRPr="00EB1C37">
        <w:t xml:space="preserve"> less robust than before the pandemic.</w:t>
      </w:r>
      <w:r w:rsidR="00111911">
        <w:t xml:space="preserve"> The U.S. remain</w:t>
      </w:r>
      <w:r w:rsidR="00FA71AC">
        <w:t>ed</w:t>
      </w:r>
      <w:r w:rsidR="00111911">
        <w:t xml:space="preserve"> in a recession</w:t>
      </w:r>
      <w:r w:rsidR="00111911">
        <w:rPr>
          <w:rStyle w:val="FootnoteReference"/>
        </w:rPr>
        <w:footnoteReference w:id="1"/>
      </w:r>
      <w:r w:rsidR="00111911">
        <w:t xml:space="preserve"> that mark</w:t>
      </w:r>
      <w:r w:rsidR="00FA71AC">
        <w:t>ed</w:t>
      </w:r>
      <w:r w:rsidR="00111911">
        <w:t xml:space="preserve"> February as the peak of an economic expansion lasting 128 months from its beginning in June 2009.</w:t>
      </w:r>
    </w:p>
    <w:p w14:paraId="1DC53C15" w14:textId="41B4B8CA" w:rsidR="001E26E8" w:rsidRDefault="001E26E8" w:rsidP="001E26E8">
      <w:r w:rsidRPr="00445A11">
        <w:t xml:space="preserve">By the end of the </w:t>
      </w:r>
      <w:r w:rsidR="00990761">
        <w:t>4</w:t>
      </w:r>
      <w:r w:rsidR="00990761" w:rsidRPr="00990761">
        <w:rPr>
          <w:vertAlign w:val="superscript"/>
        </w:rPr>
        <w:t>th</w:t>
      </w:r>
      <w:r w:rsidR="00990761">
        <w:t xml:space="preserve"> </w:t>
      </w:r>
      <w:r w:rsidRPr="00445A11">
        <w:t xml:space="preserve">quarter of 2020, </w:t>
      </w:r>
      <w:r w:rsidR="00990761">
        <w:t>19</w:t>
      </w:r>
      <w:r w:rsidR="00111911">
        <w:t>,</w:t>
      </w:r>
      <w:r w:rsidR="00990761">
        <w:t>943</w:t>
      </w:r>
      <w:r w:rsidR="00111911">
        <w:t>,</w:t>
      </w:r>
      <w:r w:rsidR="00990761">
        <w:t>605</w:t>
      </w:r>
      <w:r w:rsidRPr="00445A11">
        <w:t xml:space="preserve"> cases and </w:t>
      </w:r>
      <w:r w:rsidR="001C0418">
        <w:t>344,497</w:t>
      </w:r>
      <w:r w:rsidRPr="00445A11">
        <w:t xml:space="preserve"> deaths had been reported </w:t>
      </w:r>
      <w:r w:rsidR="00AF306C">
        <w:t xml:space="preserve">in the U.S. </w:t>
      </w:r>
      <w:r w:rsidRPr="00445A11">
        <w:t>from COVID-19</w:t>
      </w:r>
      <w:r w:rsidRPr="00445A11">
        <w:rPr>
          <w:rStyle w:val="FootnoteReference"/>
        </w:rPr>
        <w:footnoteReference w:id="2"/>
      </w:r>
      <w:r w:rsidRPr="00445A11">
        <w:t xml:space="preserve">. The viral disease has continued to spread exponentially, and as of </w:t>
      </w:r>
      <w:r w:rsidR="001C0418">
        <w:t>January 28</w:t>
      </w:r>
      <w:r w:rsidRPr="00445A11">
        <w:t>, 202</w:t>
      </w:r>
      <w:r w:rsidR="001C0418">
        <w:t>1</w:t>
      </w:r>
      <w:r w:rsidRPr="00445A11">
        <w:t xml:space="preserve"> there were </w:t>
      </w:r>
      <w:r w:rsidR="001C0418" w:rsidRPr="001C0418">
        <w:t>25</w:t>
      </w:r>
      <w:r w:rsidR="001C0418">
        <w:t>,</w:t>
      </w:r>
      <w:r w:rsidR="001C0418" w:rsidRPr="001C0418">
        <w:t>615</w:t>
      </w:r>
      <w:r w:rsidR="001C0418">
        <w:t>,</w:t>
      </w:r>
      <w:r w:rsidR="001C0418" w:rsidRPr="001C0418">
        <w:t>268</w:t>
      </w:r>
      <w:r w:rsidR="001C0418">
        <w:t xml:space="preserve"> </w:t>
      </w:r>
      <w:r w:rsidRPr="00445A11">
        <w:t xml:space="preserve">confirmed cases and </w:t>
      </w:r>
      <w:r w:rsidR="001C0418" w:rsidRPr="001C0418">
        <w:t>431</w:t>
      </w:r>
      <w:r w:rsidR="001C0418">
        <w:t>,</w:t>
      </w:r>
      <w:r w:rsidR="001C0418" w:rsidRPr="001C0418">
        <w:t>619</w:t>
      </w:r>
      <w:r w:rsidR="001C0418">
        <w:t xml:space="preserve"> </w:t>
      </w:r>
      <w:r w:rsidRPr="00445A11">
        <w:t xml:space="preserve">related deaths in the U.S. </w:t>
      </w:r>
    </w:p>
    <w:p w14:paraId="329EC1A7" w14:textId="2AD98E99" w:rsidR="001E26E8" w:rsidRDefault="001E26E8" w:rsidP="001E26E8">
      <w:r>
        <w:t>Below is a summary timeline of COVID-19 events in the U.S.</w:t>
      </w:r>
      <w:r w:rsidR="003A390C">
        <w:t xml:space="preserve"> during the </w:t>
      </w:r>
      <w:r w:rsidR="001C0418">
        <w:t>4</w:t>
      </w:r>
      <w:r w:rsidR="001C0418" w:rsidRPr="001C0418">
        <w:rPr>
          <w:vertAlign w:val="superscript"/>
        </w:rPr>
        <w:t>th</w:t>
      </w:r>
      <w:r w:rsidR="001C0418">
        <w:t xml:space="preserve"> </w:t>
      </w:r>
      <w:r w:rsidR="00111911">
        <w:t>q</w:t>
      </w:r>
      <w:r w:rsidR="003A390C">
        <w:t>uarter of 2020</w:t>
      </w:r>
      <w:r>
        <w:t>:</w:t>
      </w:r>
    </w:p>
    <w:tbl>
      <w:tblPr>
        <w:tblStyle w:val="GridTable3-Accent1"/>
        <w:tblW w:w="0" w:type="auto"/>
        <w:tblLook w:val="0400" w:firstRow="0" w:lastRow="0" w:firstColumn="0" w:lastColumn="0" w:noHBand="0" w:noVBand="1"/>
      </w:tblPr>
      <w:tblGrid>
        <w:gridCol w:w="2335"/>
        <w:gridCol w:w="7015"/>
      </w:tblGrid>
      <w:tr w:rsidR="001E26E8" w:rsidRPr="005D1E7F" w14:paraId="217DAEB7"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514E8364" w14:textId="65F448F2" w:rsidR="001E26E8" w:rsidRPr="005D1E7F" w:rsidRDefault="001C0418" w:rsidP="00D22D6A">
            <w:r>
              <w:t>October 2</w:t>
            </w:r>
            <w:r w:rsidR="001E26E8" w:rsidRPr="005D1E7F">
              <w:t>, 2020</w:t>
            </w:r>
          </w:p>
        </w:tc>
        <w:tc>
          <w:tcPr>
            <w:tcW w:w="7015" w:type="dxa"/>
          </w:tcPr>
          <w:p w14:paraId="4C137509" w14:textId="43C5222F" w:rsidR="001E26E8" w:rsidRPr="005D1E7F" w:rsidRDefault="001C0418" w:rsidP="00D22D6A">
            <w:r w:rsidRPr="001C0418">
              <w:t xml:space="preserve">President Trump </w:t>
            </w:r>
            <w:r w:rsidR="00023FB9">
              <w:t>t</w:t>
            </w:r>
            <w:r w:rsidRPr="001C0418">
              <w:t xml:space="preserve">ests </w:t>
            </w:r>
            <w:r w:rsidR="00023FB9">
              <w:t>p</w:t>
            </w:r>
            <w:r w:rsidRPr="001C0418">
              <w:t>ositive for COVID-19</w:t>
            </w:r>
          </w:p>
        </w:tc>
      </w:tr>
      <w:tr w:rsidR="006C7B04" w:rsidRPr="005D1E7F" w14:paraId="40D67FFE" w14:textId="77777777" w:rsidTr="007B5CA1">
        <w:tc>
          <w:tcPr>
            <w:tcW w:w="2335" w:type="dxa"/>
          </w:tcPr>
          <w:p w14:paraId="0E7ADA36" w14:textId="1EFA4855" w:rsidR="006C7B04" w:rsidRDefault="006C7B04" w:rsidP="00D22D6A">
            <w:r>
              <w:t>October 13, 2020</w:t>
            </w:r>
          </w:p>
        </w:tc>
        <w:tc>
          <w:tcPr>
            <w:tcW w:w="7015" w:type="dxa"/>
          </w:tcPr>
          <w:p w14:paraId="1A120856" w14:textId="5BB953F3" w:rsidR="006C7B04" w:rsidRDefault="006C7B04" w:rsidP="00D22D6A">
            <w:r w:rsidRPr="00023FB9">
              <w:t xml:space="preserve">U.S. </w:t>
            </w:r>
            <w:r>
              <w:t xml:space="preserve">confirmed cases </w:t>
            </w:r>
            <w:r w:rsidRPr="00023FB9">
              <w:t xml:space="preserve">of COVID-19 </w:t>
            </w:r>
            <w:r>
              <w:t>reach</w:t>
            </w:r>
            <w:r w:rsidRPr="00023FB9">
              <w:t xml:space="preserve"> </w:t>
            </w:r>
            <w:r>
              <w:t>8</w:t>
            </w:r>
            <w:r w:rsidRPr="00023FB9">
              <w:t xml:space="preserve"> </w:t>
            </w:r>
            <w:r>
              <w:t>m</w:t>
            </w:r>
            <w:r w:rsidRPr="00023FB9">
              <w:t>illion</w:t>
            </w:r>
          </w:p>
        </w:tc>
      </w:tr>
      <w:tr w:rsidR="001E26E8" w:rsidRPr="005D1E7F" w14:paraId="07F511A0"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6DA47127" w14:textId="0887581C" w:rsidR="001E26E8" w:rsidRPr="005D1E7F" w:rsidRDefault="001C0418" w:rsidP="00D22D6A">
            <w:r>
              <w:t>October 30</w:t>
            </w:r>
            <w:r w:rsidR="001E26E8" w:rsidRPr="005D1E7F">
              <w:t>, 2020</w:t>
            </w:r>
          </w:p>
        </w:tc>
        <w:tc>
          <w:tcPr>
            <w:tcW w:w="7015" w:type="dxa"/>
          </w:tcPr>
          <w:p w14:paraId="5895DABB" w14:textId="6D9FC6CD" w:rsidR="001E26E8" w:rsidRPr="005D1E7F" w:rsidRDefault="001C0418" w:rsidP="00D22D6A">
            <w:r>
              <w:t xml:space="preserve">U.S. daily cases of COVID-19 </w:t>
            </w:r>
            <w:r w:rsidR="009E44F2">
              <w:t>reach</w:t>
            </w:r>
            <w:r>
              <w:t xml:space="preserve"> 100</w:t>
            </w:r>
            <w:r w:rsidR="009E44F2">
              <w:t xml:space="preserve"> thousand</w:t>
            </w:r>
          </w:p>
        </w:tc>
      </w:tr>
      <w:tr w:rsidR="00541D29" w:rsidRPr="005D1E7F" w14:paraId="797FA5A9" w14:textId="77777777" w:rsidTr="007B5CA1">
        <w:tc>
          <w:tcPr>
            <w:tcW w:w="2335" w:type="dxa"/>
          </w:tcPr>
          <w:p w14:paraId="7BAF4D8C" w14:textId="59E90C7D" w:rsidR="00541D29" w:rsidRDefault="00541D29" w:rsidP="00D22D6A">
            <w:r>
              <w:t>November 8, 2020</w:t>
            </w:r>
          </w:p>
        </w:tc>
        <w:tc>
          <w:tcPr>
            <w:tcW w:w="7015" w:type="dxa"/>
          </w:tcPr>
          <w:p w14:paraId="0F3EDBB7" w14:textId="1D86614C" w:rsidR="00541D29" w:rsidRPr="00023FB9" w:rsidRDefault="00541D29" w:rsidP="00D22D6A">
            <w:r>
              <w:t>Global confirmed cases of COVID-19 reach 50 million</w:t>
            </w:r>
          </w:p>
        </w:tc>
      </w:tr>
      <w:tr w:rsidR="001E26E8" w:rsidRPr="005D1E7F" w14:paraId="5B72A40F"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5FB1EADC" w14:textId="1813F959" w:rsidR="001E26E8" w:rsidRPr="005D1E7F" w:rsidRDefault="00023FB9" w:rsidP="00D22D6A">
            <w:r>
              <w:t xml:space="preserve">November </w:t>
            </w:r>
            <w:r w:rsidR="006C7B04">
              <w:t>8</w:t>
            </w:r>
            <w:r w:rsidR="001E26E8" w:rsidRPr="005D1E7F">
              <w:t>, 2020</w:t>
            </w:r>
          </w:p>
        </w:tc>
        <w:tc>
          <w:tcPr>
            <w:tcW w:w="7015" w:type="dxa"/>
          </w:tcPr>
          <w:p w14:paraId="478BDB8E" w14:textId="68812CD3" w:rsidR="001E26E8" w:rsidRPr="005D1E7F" w:rsidRDefault="006C7B04" w:rsidP="00D22D6A">
            <w:r w:rsidRPr="00023FB9">
              <w:t xml:space="preserve">U.S. </w:t>
            </w:r>
            <w:r>
              <w:t xml:space="preserve">confirmed cases </w:t>
            </w:r>
            <w:r w:rsidRPr="00023FB9">
              <w:t xml:space="preserve">of COVID-19 </w:t>
            </w:r>
            <w:r>
              <w:t>reach</w:t>
            </w:r>
            <w:r w:rsidRPr="00023FB9">
              <w:t xml:space="preserve"> 10 </w:t>
            </w:r>
            <w:r>
              <w:t>m</w:t>
            </w:r>
            <w:r w:rsidRPr="00023FB9">
              <w:t>illion</w:t>
            </w:r>
          </w:p>
        </w:tc>
      </w:tr>
      <w:tr w:rsidR="001E26E8" w:rsidRPr="005D1E7F" w14:paraId="1EE72446" w14:textId="77777777" w:rsidTr="007B5CA1">
        <w:tc>
          <w:tcPr>
            <w:tcW w:w="2335" w:type="dxa"/>
          </w:tcPr>
          <w:p w14:paraId="580CCC9B" w14:textId="1D07D43D" w:rsidR="001E26E8" w:rsidRPr="005D1E7F" w:rsidRDefault="00023FB9" w:rsidP="00D22D6A">
            <w:r>
              <w:t>November 19</w:t>
            </w:r>
            <w:r w:rsidR="001E26E8" w:rsidRPr="005D1E7F">
              <w:t>, 2020</w:t>
            </w:r>
          </w:p>
        </w:tc>
        <w:tc>
          <w:tcPr>
            <w:tcW w:w="7015" w:type="dxa"/>
          </w:tcPr>
          <w:p w14:paraId="7E124B7E" w14:textId="1A3DFBE3" w:rsidR="001E26E8" w:rsidRPr="005D1E7F" w:rsidRDefault="00023FB9" w:rsidP="00023FB9">
            <w:r w:rsidRPr="00023FB9">
              <w:t xml:space="preserve">Treasury Secretary Mnuchin announces that he will allow </w:t>
            </w:r>
            <w:r>
              <w:t>P</w:t>
            </w:r>
            <w:r w:rsidRPr="00023FB9">
              <w:t xml:space="preserve">rimary </w:t>
            </w:r>
            <w:r>
              <w:t xml:space="preserve">and Secondary </w:t>
            </w:r>
            <w:r w:rsidRPr="00023FB9">
              <w:t>Market Corporate Credit Facilit</w:t>
            </w:r>
            <w:r>
              <w:t xml:space="preserve">ies, </w:t>
            </w:r>
            <w:r w:rsidRPr="00023FB9">
              <w:t>Municipal Liquidity Facility, Main Street Lending Progra</w:t>
            </w:r>
            <w:r>
              <w:t>m</w:t>
            </w:r>
            <w:r w:rsidRPr="00023FB9">
              <w:t>, and Term Asset Backed Securities Loan Facility to expire on December 31, 2020</w:t>
            </w:r>
          </w:p>
        </w:tc>
      </w:tr>
      <w:tr w:rsidR="001E26E8" w:rsidRPr="005D1E7F" w14:paraId="67E6634B"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246762E1" w14:textId="69AC546E" w:rsidR="001E26E8" w:rsidRPr="005D1E7F" w:rsidRDefault="00023FB9" w:rsidP="00D22D6A">
            <w:r>
              <w:t xml:space="preserve">November </w:t>
            </w:r>
            <w:r w:rsidR="006C7B04">
              <w:t>19</w:t>
            </w:r>
            <w:r w:rsidR="001E26E8" w:rsidRPr="005D1E7F">
              <w:t>, 2020</w:t>
            </w:r>
          </w:p>
        </w:tc>
        <w:tc>
          <w:tcPr>
            <w:tcW w:w="7015" w:type="dxa"/>
          </w:tcPr>
          <w:p w14:paraId="2D491639" w14:textId="03AB70B4" w:rsidR="001E26E8" w:rsidRPr="005D1E7F" w:rsidRDefault="00023FB9" w:rsidP="00D22D6A">
            <w:r>
              <w:t xml:space="preserve">U.S. death toll from COVID-19 reaches </w:t>
            </w:r>
            <w:r w:rsidRPr="00023FB9">
              <w:t>250</w:t>
            </w:r>
            <w:r>
              <w:t xml:space="preserve"> thousand</w:t>
            </w:r>
          </w:p>
        </w:tc>
      </w:tr>
      <w:tr w:rsidR="006C7B04" w:rsidRPr="005D1E7F" w14:paraId="1A26C7B6" w14:textId="77777777" w:rsidTr="007B5CA1">
        <w:tc>
          <w:tcPr>
            <w:tcW w:w="2335" w:type="dxa"/>
          </w:tcPr>
          <w:p w14:paraId="59025615" w14:textId="4650EC23" w:rsidR="006C7B04" w:rsidRDefault="006C7B04" w:rsidP="00D22D6A">
            <w:r>
              <w:t>November 21, 2020</w:t>
            </w:r>
          </w:p>
        </w:tc>
        <w:tc>
          <w:tcPr>
            <w:tcW w:w="7015" w:type="dxa"/>
          </w:tcPr>
          <w:p w14:paraId="49AD5871" w14:textId="3EA4C51B" w:rsidR="006C7B04" w:rsidRPr="00023FB9" w:rsidRDefault="006C7B04" w:rsidP="00327700">
            <w:r w:rsidRPr="00023FB9">
              <w:t xml:space="preserve">U.S. </w:t>
            </w:r>
            <w:r>
              <w:t xml:space="preserve">confirmed cases </w:t>
            </w:r>
            <w:r w:rsidRPr="00023FB9">
              <w:t xml:space="preserve">of COVID-19 </w:t>
            </w:r>
            <w:r>
              <w:t>reach</w:t>
            </w:r>
            <w:r w:rsidRPr="00023FB9">
              <w:t xml:space="preserve"> 1</w:t>
            </w:r>
            <w:r>
              <w:t>2</w:t>
            </w:r>
            <w:r w:rsidRPr="00023FB9">
              <w:t xml:space="preserve"> </w:t>
            </w:r>
            <w:r>
              <w:t>m</w:t>
            </w:r>
            <w:r w:rsidRPr="00023FB9">
              <w:t>illion</w:t>
            </w:r>
          </w:p>
        </w:tc>
      </w:tr>
      <w:tr w:rsidR="00164566" w:rsidRPr="005D1E7F" w14:paraId="43B7B0A0"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66C2FB2D" w14:textId="650DF8FC" w:rsidR="00164566" w:rsidRDefault="00023FB9" w:rsidP="00D22D6A">
            <w:r>
              <w:t>November 30</w:t>
            </w:r>
            <w:r w:rsidR="00164566">
              <w:t>, 2020</w:t>
            </w:r>
          </w:p>
        </w:tc>
        <w:tc>
          <w:tcPr>
            <w:tcW w:w="7015" w:type="dxa"/>
          </w:tcPr>
          <w:p w14:paraId="612AD845" w14:textId="0C60263D" w:rsidR="00164566" w:rsidRDefault="00023FB9" w:rsidP="00327700">
            <w:r w:rsidRPr="00023FB9">
              <w:t>Federal Reserve announces an extension for Commercial Paper Funding Facility, Money Market Mutual Fund Liquidity Facility, Primary Dealer Credit Facility, and Paycheck Protection Program Liquidity Facility</w:t>
            </w:r>
            <w:r>
              <w:t xml:space="preserve"> </w:t>
            </w:r>
            <w:r w:rsidRPr="00023FB9">
              <w:t>through March 31, 2021</w:t>
            </w:r>
          </w:p>
        </w:tc>
      </w:tr>
      <w:tr w:rsidR="007B5CA1" w:rsidRPr="005D1E7F" w14:paraId="73AFB428" w14:textId="77777777" w:rsidTr="007B5CA1">
        <w:tc>
          <w:tcPr>
            <w:tcW w:w="2335" w:type="dxa"/>
          </w:tcPr>
          <w:p w14:paraId="42454341" w14:textId="76287FD8" w:rsidR="007B5CA1" w:rsidRDefault="00023FB9" w:rsidP="00D22D6A">
            <w:r>
              <w:t>December 2</w:t>
            </w:r>
            <w:r w:rsidR="007B5CA1">
              <w:t>, 2020</w:t>
            </w:r>
          </w:p>
        </w:tc>
        <w:tc>
          <w:tcPr>
            <w:tcW w:w="7015" w:type="dxa"/>
          </w:tcPr>
          <w:p w14:paraId="7631E874" w14:textId="5749EAF1" w:rsidR="007B5CA1" w:rsidRDefault="007B5CA1" w:rsidP="00327700">
            <w:r>
              <w:t xml:space="preserve">U.S. </w:t>
            </w:r>
            <w:r w:rsidR="00FA62A0">
              <w:t xml:space="preserve">current </w:t>
            </w:r>
            <w:r w:rsidR="00023FB9" w:rsidRPr="00023FB9">
              <w:t xml:space="preserve">hospitalizations </w:t>
            </w:r>
            <w:r w:rsidR="00023FB9">
              <w:t>for COVID-19</w:t>
            </w:r>
            <w:r w:rsidR="00023FB9" w:rsidRPr="00023FB9">
              <w:t xml:space="preserve"> </w:t>
            </w:r>
            <w:r w:rsidR="00023FB9">
              <w:t xml:space="preserve">reach </w:t>
            </w:r>
            <w:r w:rsidR="006C7B04">
              <w:t>1</w:t>
            </w:r>
            <w:r w:rsidR="00023FB9" w:rsidRPr="00023FB9">
              <w:t>00</w:t>
            </w:r>
            <w:r w:rsidR="00023FB9">
              <w:t xml:space="preserve"> thousand</w:t>
            </w:r>
          </w:p>
        </w:tc>
      </w:tr>
      <w:tr w:rsidR="009E44F2" w:rsidRPr="005D1E7F" w14:paraId="24874B9B"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7B40DC16" w14:textId="23401353" w:rsidR="009E44F2" w:rsidRDefault="009E44F2" w:rsidP="00D22D6A">
            <w:r>
              <w:t>December 2, 2020</w:t>
            </w:r>
          </w:p>
        </w:tc>
        <w:tc>
          <w:tcPr>
            <w:tcW w:w="7015" w:type="dxa"/>
          </w:tcPr>
          <w:p w14:paraId="02482385" w14:textId="7157CA4F" w:rsidR="009E44F2" w:rsidRDefault="009E44F2" w:rsidP="00327700">
            <w:r w:rsidRPr="009E44F2">
              <w:t>CDC update</w:t>
            </w:r>
            <w:r>
              <w:t>s</w:t>
            </w:r>
            <w:r w:rsidRPr="009E44F2">
              <w:t xml:space="preserve"> guidelines</w:t>
            </w:r>
            <w:r>
              <w:t>, advising that q</w:t>
            </w:r>
            <w:r w:rsidRPr="009E44F2">
              <w:t>uarantine may end 10 days after exposure if the person exposed experiences no symptoms or 7 days after exposure with a negative test result and no symptoms</w:t>
            </w:r>
          </w:p>
        </w:tc>
      </w:tr>
      <w:tr w:rsidR="006C7B04" w:rsidRPr="005D1E7F" w14:paraId="61F82CE0" w14:textId="77777777" w:rsidTr="007B5CA1">
        <w:tc>
          <w:tcPr>
            <w:tcW w:w="2335" w:type="dxa"/>
          </w:tcPr>
          <w:p w14:paraId="6247BF12" w14:textId="6AB3F166" w:rsidR="006C7B04" w:rsidRDefault="006C7B04" w:rsidP="00D22D6A">
            <w:r>
              <w:lastRenderedPageBreak/>
              <w:t>December 3, 2020</w:t>
            </w:r>
          </w:p>
        </w:tc>
        <w:tc>
          <w:tcPr>
            <w:tcW w:w="7015" w:type="dxa"/>
          </w:tcPr>
          <w:p w14:paraId="7579EFF9" w14:textId="3989DC3D" w:rsidR="006C7B04" w:rsidRDefault="006C7B04" w:rsidP="00327700">
            <w:r>
              <w:t>Global death toll from COVID-19 reaches 1.5 million</w:t>
            </w:r>
          </w:p>
        </w:tc>
      </w:tr>
      <w:tr w:rsidR="009E44F2" w:rsidRPr="005D1E7F" w14:paraId="162A4275"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35EDD16B" w14:textId="72B6331A" w:rsidR="009E44F2" w:rsidRDefault="009E44F2" w:rsidP="00D22D6A">
            <w:r>
              <w:t>December 3, 2020</w:t>
            </w:r>
          </w:p>
        </w:tc>
        <w:tc>
          <w:tcPr>
            <w:tcW w:w="7015" w:type="dxa"/>
          </w:tcPr>
          <w:p w14:paraId="7F87C1FF" w14:textId="6C24642A" w:rsidR="009E44F2" w:rsidRPr="00023FB9" w:rsidRDefault="009E44F2" w:rsidP="00327700">
            <w:r>
              <w:t xml:space="preserve">U.S. daily cases of COVID-19 </w:t>
            </w:r>
            <w:r w:rsidR="006C7B04">
              <w:t>reach</w:t>
            </w:r>
            <w:r>
              <w:t xml:space="preserve"> </w:t>
            </w:r>
            <w:r w:rsidR="006C7B04">
              <w:t>200 thousand</w:t>
            </w:r>
          </w:p>
        </w:tc>
      </w:tr>
      <w:tr w:rsidR="006C7B04" w:rsidRPr="005D1E7F" w14:paraId="609A1F97" w14:textId="77777777" w:rsidTr="007B5CA1">
        <w:tc>
          <w:tcPr>
            <w:tcW w:w="2335" w:type="dxa"/>
          </w:tcPr>
          <w:p w14:paraId="725406A7" w14:textId="3A296CAB" w:rsidR="006C7B04" w:rsidRDefault="006C7B04" w:rsidP="00D22D6A">
            <w:r>
              <w:t>December 3, 2020</w:t>
            </w:r>
          </w:p>
        </w:tc>
        <w:tc>
          <w:tcPr>
            <w:tcW w:w="7015" w:type="dxa"/>
          </w:tcPr>
          <w:p w14:paraId="1C9022F7" w14:textId="3D62132D" w:rsidR="006C7B04" w:rsidRDefault="006C7B04" w:rsidP="00327700">
            <w:r w:rsidRPr="00023FB9">
              <w:t xml:space="preserve">U.S. </w:t>
            </w:r>
            <w:r>
              <w:t xml:space="preserve">confirmed cases </w:t>
            </w:r>
            <w:r w:rsidRPr="00023FB9">
              <w:t xml:space="preserve">of COVID-19 </w:t>
            </w:r>
            <w:r>
              <w:t>reach</w:t>
            </w:r>
            <w:r w:rsidRPr="00023FB9">
              <w:t xml:space="preserve"> 1</w:t>
            </w:r>
            <w:r>
              <w:t>4</w:t>
            </w:r>
            <w:r w:rsidRPr="00023FB9">
              <w:t xml:space="preserve"> </w:t>
            </w:r>
            <w:r>
              <w:t>m</w:t>
            </w:r>
            <w:r w:rsidRPr="00023FB9">
              <w:t>illion</w:t>
            </w:r>
          </w:p>
        </w:tc>
      </w:tr>
      <w:tr w:rsidR="001E26E8" w:rsidRPr="005D1E7F" w14:paraId="4509AA5D"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0C7C253E" w14:textId="6050BF26" w:rsidR="001E26E8" w:rsidRPr="005D1E7F" w:rsidRDefault="00023FB9" w:rsidP="00D22D6A">
            <w:r>
              <w:t>December 11</w:t>
            </w:r>
            <w:r w:rsidR="001E26E8" w:rsidRPr="005D1E7F">
              <w:t>, 2020</w:t>
            </w:r>
          </w:p>
        </w:tc>
        <w:tc>
          <w:tcPr>
            <w:tcW w:w="7015" w:type="dxa"/>
          </w:tcPr>
          <w:p w14:paraId="11AD6BB5" w14:textId="524D3CFE" w:rsidR="001E26E8" w:rsidRPr="005D1E7F" w:rsidRDefault="00023FB9" w:rsidP="00327700">
            <w:r w:rsidRPr="00023FB9">
              <w:t>FDA authorizes the Pfizer-</w:t>
            </w:r>
            <w:proofErr w:type="spellStart"/>
            <w:r w:rsidRPr="00023FB9">
              <w:t>BioNTech</w:t>
            </w:r>
            <w:proofErr w:type="spellEnd"/>
            <w:r w:rsidRPr="00023FB9">
              <w:t xml:space="preserve"> COVID-19 vaccine for emergency use in the </w:t>
            </w:r>
            <w:r>
              <w:t>U.S.</w:t>
            </w:r>
            <w:r w:rsidRPr="00023FB9">
              <w:t xml:space="preserve"> for individuals </w:t>
            </w:r>
            <w:r>
              <w:t xml:space="preserve">at least </w:t>
            </w:r>
            <w:r w:rsidRPr="00023FB9">
              <w:t xml:space="preserve">16 years </w:t>
            </w:r>
            <w:r>
              <w:t>old</w:t>
            </w:r>
          </w:p>
        </w:tc>
      </w:tr>
      <w:tr w:rsidR="006C7B04" w:rsidRPr="005D1E7F" w14:paraId="618ABF87" w14:textId="77777777" w:rsidTr="007B5CA1">
        <w:tc>
          <w:tcPr>
            <w:tcW w:w="2335" w:type="dxa"/>
          </w:tcPr>
          <w:p w14:paraId="5A2860AA" w14:textId="0821FDE3" w:rsidR="006C7B04" w:rsidRDefault="006C7B04" w:rsidP="00D22D6A">
            <w:r>
              <w:t>December 12, 2020</w:t>
            </w:r>
          </w:p>
        </w:tc>
        <w:tc>
          <w:tcPr>
            <w:tcW w:w="7015" w:type="dxa"/>
          </w:tcPr>
          <w:p w14:paraId="5A11377E" w14:textId="5E3DA2B3" w:rsidR="006C7B04" w:rsidRDefault="006C7B04" w:rsidP="00D22D6A">
            <w:r w:rsidRPr="00023FB9">
              <w:t xml:space="preserve">U.S. </w:t>
            </w:r>
            <w:r>
              <w:t xml:space="preserve">confirmed cases </w:t>
            </w:r>
            <w:r w:rsidRPr="00023FB9">
              <w:t xml:space="preserve">of COVID-19 </w:t>
            </w:r>
            <w:r>
              <w:t>reach</w:t>
            </w:r>
            <w:r w:rsidRPr="00023FB9">
              <w:t xml:space="preserve"> 1</w:t>
            </w:r>
            <w:r>
              <w:t>6</w:t>
            </w:r>
            <w:r w:rsidRPr="00023FB9">
              <w:t xml:space="preserve"> </w:t>
            </w:r>
            <w:r>
              <w:t>m</w:t>
            </w:r>
            <w:r w:rsidRPr="00023FB9">
              <w:t>illion</w:t>
            </w:r>
          </w:p>
        </w:tc>
      </w:tr>
      <w:tr w:rsidR="007B5CA1" w:rsidRPr="005D1E7F" w14:paraId="39527C4F"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643F5DB2" w14:textId="22748CDC" w:rsidR="007B5CA1" w:rsidRDefault="00023FB9" w:rsidP="00D22D6A">
            <w:r>
              <w:t>December 14</w:t>
            </w:r>
            <w:r w:rsidR="007B5CA1">
              <w:t xml:space="preserve">, 2020 </w:t>
            </w:r>
          </w:p>
        </w:tc>
        <w:tc>
          <w:tcPr>
            <w:tcW w:w="7015" w:type="dxa"/>
          </w:tcPr>
          <w:p w14:paraId="6DFA606F" w14:textId="66771D04" w:rsidR="007B5CA1" w:rsidRPr="00327700" w:rsidRDefault="007B5CA1" w:rsidP="00D22D6A">
            <w:r>
              <w:t xml:space="preserve">U.S. death toll from COVID-19 reaches </w:t>
            </w:r>
            <w:r w:rsidR="00023FB9">
              <w:t>300</w:t>
            </w:r>
            <w:r>
              <w:t xml:space="preserve"> thousand</w:t>
            </w:r>
          </w:p>
        </w:tc>
      </w:tr>
      <w:tr w:rsidR="001E26E8" w:rsidRPr="005D1E7F" w14:paraId="12EFE977" w14:textId="77777777" w:rsidTr="007B5CA1">
        <w:tc>
          <w:tcPr>
            <w:tcW w:w="2335" w:type="dxa"/>
          </w:tcPr>
          <w:p w14:paraId="1ED980B0" w14:textId="3F56B916" w:rsidR="001E26E8" w:rsidRPr="005D1E7F" w:rsidRDefault="00023FB9" w:rsidP="00D22D6A">
            <w:r>
              <w:t>December 16</w:t>
            </w:r>
            <w:r w:rsidR="001E26E8" w:rsidRPr="005D1E7F">
              <w:t>, 2020</w:t>
            </w:r>
          </w:p>
        </w:tc>
        <w:tc>
          <w:tcPr>
            <w:tcW w:w="7015" w:type="dxa"/>
          </w:tcPr>
          <w:p w14:paraId="192A9DAE" w14:textId="5FA7B72B" w:rsidR="001E26E8" w:rsidRPr="005D1E7F" w:rsidRDefault="00023FB9" w:rsidP="00D22D6A">
            <w:r w:rsidRPr="00023FB9">
              <w:t xml:space="preserve">Federal Reserve </w:t>
            </w:r>
            <w:r>
              <w:t>extends</w:t>
            </w:r>
            <w:r w:rsidRPr="00023FB9">
              <w:t xml:space="preserve"> its temporary U.S. dollar liquidity swap lines and the temporary repurchase agreement facility for foreign and international monetary authorities through September 30, 2021</w:t>
            </w:r>
          </w:p>
        </w:tc>
      </w:tr>
      <w:tr w:rsidR="00FA71AC" w:rsidRPr="005D1E7F" w14:paraId="17332DCA"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292B09B0" w14:textId="528F6756" w:rsidR="00FA71AC" w:rsidRDefault="009E44F2" w:rsidP="00D22D6A">
            <w:r>
              <w:t>December 18</w:t>
            </w:r>
            <w:r w:rsidR="00FA71AC">
              <w:t>, 2020</w:t>
            </w:r>
          </w:p>
        </w:tc>
        <w:tc>
          <w:tcPr>
            <w:tcW w:w="7015" w:type="dxa"/>
          </w:tcPr>
          <w:p w14:paraId="731F6A05" w14:textId="5EA21DDA" w:rsidR="00FA71AC" w:rsidRPr="00327700" w:rsidRDefault="009E44F2" w:rsidP="00D22D6A">
            <w:r w:rsidRPr="009E44F2">
              <w:t xml:space="preserve">The FDA authorizes the </w:t>
            </w:r>
            <w:proofErr w:type="spellStart"/>
            <w:r w:rsidRPr="009E44F2">
              <w:t>Moderna</w:t>
            </w:r>
            <w:proofErr w:type="spellEnd"/>
            <w:r w:rsidRPr="009E44F2">
              <w:t xml:space="preserve"> COVID-19 vaccine for emergency use in the United States for individuals </w:t>
            </w:r>
            <w:r>
              <w:t xml:space="preserve">at least </w:t>
            </w:r>
            <w:r w:rsidRPr="009E44F2">
              <w:t xml:space="preserve">18 years </w:t>
            </w:r>
            <w:r>
              <w:t>old</w:t>
            </w:r>
          </w:p>
        </w:tc>
      </w:tr>
      <w:tr w:rsidR="00541D29" w:rsidRPr="005D1E7F" w14:paraId="485D6A31" w14:textId="77777777" w:rsidTr="007B5CA1">
        <w:tc>
          <w:tcPr>
            <w:tcW w:w="2335" w:type="dxa"/>
          </w:tcPr>
          <w:p w14:paraId="41461CE1" w14:textId="106F24A5" w:rsidR="00541D29" w:rsidRDefault="00541D29" w:rsidP="00D22D6A">
            <w:r>
              <w:t>December 19, 2020</w:t>
            </w:r>
          </w:p>
        </w:tc>
        <w:tc>
          <w:tcPr>
            <w:tcW w:w="7015" w:type="dxa"/>
          </w:tcPr>
          <w:p w14:paraId="39CEAA06" w14:textId="7EA13B1E" w:rsidR="00541D29" w:rsidRPr="00023FB9" w:rsidRDefault="00541D29" w:rsidP="00D22D6A">
            <w:r>
              <w:t xml:space="preserve">Global confirmed cases </w:t>
            </w:r>
            <w:r w:rsidRPr="00023FB9">
              <w:t xml:space="preserve">of COVID-19 </w:t>
            </w:r>
            <w:r>
              <w:t>reach</w:t>
            </w:r>
            <w:r w:rsidRPr="00023FB9">
              <w:t xml:space="preserve"> </w:t>
            </w:r>
            <w:r>
              <w:t>75</w:t>
            </w:r>
            <w:r w:rsidRPr="00023FB9">
              <w:t xml:space="preserve"> </w:t>
            </w:r>
            <w:r>
              <w:t>m</w:t>
            </w:r>
            <w:r w:rsidRPr="00023FB9">
              <w:t>illion</w:t>
            </w:r>
          </w:p>
        </w:tc>
      </w:tr>
      <w:tr w:rsidR="006C7B04" w:rsidRPr="005D1E7F" w14:paraId="383600BE"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47CF39C8" w14:textId="49BA4EB4" w:rsidR="006C7B04" w:rsidRDefault="006C7B04" w:rsidP="00D22D6A">
            <w:r>
              <w:t>December 21, 2020</w:t>
            </w:r>
          </w:p>
        </w:tc>
        <w:tc>
          <w:tcPr>
            <w:tcW w:w="7015" w:type="dxa"/>
          </w:tcPr>
          <w:p w14:paraId="73E8774F" w14:textId="0E4476D4" w:rsidR="006C7B04" w:rsidRPr="009E44F2" w:rsidRDefault="006C7B04" w:rsidP="00D22D6A">
            <w:r w:rsidRPr="00023FB9">
              <w:t xml:space="preserve">U.S. </w:t>
            </w:r>
            <w:r>
              <w:t xml:space="preserve">confirmed cases </w:t>
            </w:r>
            <w:r w:rsidRPr="00023FB9">
              <w:t xml:space="preserve">of COVID-19 </w:t>
            </w:r>
            <w:r>
              <w:t>reach</w:t>
            </w:r>
            <w:r w:rsidRPr="00023FB9">
              <w:t xml:space="preserve"> 1</w:t>
            </w:r>
            <w:r>
              <w:t>8</w:t>
            </w:r>
            <w:r w:rsidRPr="00023FB9">
              <w:t xml:space="preserve"> </w:t>
            </w:r>
            <w:r>
              <w:t>m</w:t>
            </w:r>
            <w:r w:rsidRPr="00023FB9">
              <w:t>illion</w:t>
            </w:r>
          </w:p>
        </w:tc>
      </w:tr>
      <w:tr w:rsidR="007B5CA1" w:rsidRPr="005D1E7F" w14:paraId="4485BA36" w14:textId="77777777" w:rsidTr="007B5CA1">
        <w:tc>
          <w:tcPr>
            <w:tcW w:w="2335" w:type="dxa"/>
          </w:tcPr>
          <w:p w14:paraId="47A8FEAD" w14:textId="584AC8F4" w:rsidR="007B5CA1" w:rsidRPr="005D1E7F" w:rsidRDefault="009E44F2" w:rsidP="00D22D6A">
            <w:r>
              <w:t>December 23</w:t>
            </w:r>
            <w:r w:rsidR="007B5CA1">
              <w:t>, 2020</w:t>
            </w:r>
          </w:p>
        </w:tc>
        <w:tc>
          <w:tcPr>
            <w:tcW w:w="7015" w:type="dxa"/>
          </w:tcPr>
          <w:p w14:paraId="393F17ED" w14:textId="5CC2285C" w:rsidR="007B5CA1" w:rsidRPr="00327700" w:rsidRDefault="009E44F2" w:rsidP="00D22D6A">
            <w:r w:rsidRPr="009E44F2">
              <w:t>CDC estimate</w:t>
            </w:r>
            <w:r>
              <w:t xml:space="preserve">s U.S. </w:t>
            </w:r>
            <w:r w:rsidRPr="009E44F2">
              <w:t xml:space="preserve">COVID-19 </w:t>
            </w:r>
            <w:r>
              <w:t>1</w:t>
            </w:r>
            <w:r w:rsidRPr="009E44F2">
              <w:rPr>
                <w:vertAlign w:val="superscript"/>
              </w:rPr>
              <w:t>st</w:t>
            </w:r>
            <w:r>
              <w:t>-dose vaccinations reach 1 million</w:t>
            </w:r>
          </w:p>
        </w:tc>
      </w:tr>
      <w:tr w:rsidR="007B5CA1" w:rsidRPr="005D1E7F" w14:paraId="7B5C4B43"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1F62B131" w14:textId="2B6938FC" w:rsidR="007B5CA1" w:rsidRPr="005D1E7F" w:rsidRDefault="009E44F2" w:rsidP="00D22D6A">
            <w:r>
              <w:t>December 27</w:t>
            </w:r>
            <w:r w:rsidR="007B5CA1">
              <w:t>, 2020</w:t>
            </w:r>
          </w:p>
        </w:tc>
        <w:tc>
          <w:tcPr>
            <w:tcW w:w="7015" w:type="dxa"/>
          </w:tcPr>
          <w:p w14:paraId="2834598D" w14:textId="795E335E" w:rsidR="007B5CA1" w:rsidRPr="00327700" w:rsidRDefault="009E44F2" w:rsidP="00D22D6A">
            <w:r w:rsidRPr="009E44F2">
              <w:t xml:space="preserve">President Trump </w:t>
            </w:r>
            <w:r>
              <w:t>si</w:t>
            </w:r>
            <w:r w:rsidRPr="009E44F2">
              <w:t xml:space="preserve">gns </w:t>
            </w:r>
            <w:r>
              <w:t>2</w:t>
            </w:r>
            <w:r w:rsidRPr="009E44F2">
              <w:rPr>
                <w:vertAlign w:val="superscript"/>
              </w:rPr>
              <w:t>nd</w:t>
            </w:r>
            <w:r>
              <w:t xml:space="preserve"> COVID-19 relief bill, </w:t>
            </w:r>
            <w:r w:rsidRPr="009E44F2">
              <w:t>the Coronavirus Response and Relief Supplemental Appropriations Act</w:t>
            </w:r>
            <w:r>
              <w:t>,</w:t>
            </w:r>
            <w:r w:rsidRPr="009E44F2">
              <w:t xml:space="preserve"> </w:t>
            </w:r>
            <w:r>
              <w:t>i</w:t>
            </w:r>
            <w:r w:rsidRPr="009E44F2">
              <w:t xml:space="preserve">nto </w:t>
            </w:r>
            <w:r>
              <w:t>l</w:t>
            </w:r>
            <w:r w:rsidRPr="009E44F2">
              <w:t>aw</w:t>
            </w:r>
          </w:p>
        </w:tc>
      </w:tr>
      <w:tr w:rsidR="005356B5" w:rsidRPr="005D1E7F" w14:paraId="3E1904A0" w14:textId="77777777" w:rsidTr="007B5CA1">
        <w:tc>
          <w:tcPr>
            <w:tcW w:w="2335" w:type="dxa"/>
          </w:tcPr>
          <w:p w14:paraId="7133B4B4" w14:textId="64D913F7" w:rsidR="005356B5" w:rsidRDefault="005356B5" w:rsidP="00D22D6A">
            <w:r>
              <w:t>December 29, 2020</w:t>
            </w:r>
          </w:p>
        </w:tc>
        <w:tc>
          <w:tcPr>
            <w:tcW w:w="7015" w:type="dxa"/>
          </w:tcPr>
          <w:p w14:paraId="67A84983" w14:textId="2D026933" w:rsidR="005356B5" w:rsidRPr="009E44F2" w:rsidRDefault="005356B5" w:rsidP="00D22D6A">
            <w:r>
              <w:t>Colorado reports first known U.S. case of more contagious COVID-19 variant first identified in the U.K.</w:t>
            </w:r>
          </w:p>
        </w:tc>
      </w:tr>
      <w:tr w:rsidR="001E26E8" w:rsidRPr="005D1E7F" w14:paraId="6BB98FC9" w14:textId="77777777" w:rsidTr="007B5CA1">
        <w:trPr>
          <w:cnfStyle w:val="000000100000" w:firstRow="0" w:lastRow="0" w:firstColumn="0" w:lastColumn="0" w:oddVBand="0" w:evenVBand="0" w:oddHBand="1" w:evenHBand="0" w:firstRowFirstColumn="0" w:firstRowLastColumn="0" w:lastRowFirstColumn="0" w:lastRowLastColumn="0"/>
        </w:trPr>
        <w:tc>
          <w:tcPr>
            <w:tcW w:w="2335" w:type="dxa"/>
          </w:tcPr>
          <w:p w14:paraId="18DC3820" w14:textId="7A57684A" w:rsidR="001E26E8" w:rsidRPr="005D1E7F" w:rsidRDefault="009E44F2" w:rsidP="00D22D6A">
            <w:r>
              <w:t>December 31</w:t>
            </w:r>
            <w:r w:rsidR="00327700">
              <w:t>, 2020</w:t>
            </w:r>
          </w:p>
        </w:tc>
        <w:tc>
          <w:tcPr>
            <w:tcW w:w="7015" w:type="dxa"/>
          </w:tcPr>
          <w:p w14:paraId="5361D873" w14:textId="1978EA46" w:rsidR="001E26E8" w:rsidRPr="005D1E7F" w:rsidRDefault="009E44F2" w:rsidP="00D22D6A">
            <w:r w:rsidRPr="009E44F2">
              <w:t xml:space="preserve">Federal Reserve </w:t>
            </w:r>
            <w:r>
              <w:t>extends</w:t>
            </w:r>
            <w:r w:rsidRPr="009E44F2">
              <w:t xml:space="preserve"> Main Street Lending Program facilities to January 8, 2021</w:t>
            </w:r>
            <w:r>
              <w:t>,</w:t>
            </w:r>
            <w:r w:rsidRPr="009E44F2">
              <w:t xml:space="preserve"> </w:t>
            </w:r>
            <w:r>
              <w:t>for loans submitted</w:t>
            </w:r>
            <w:r w:rsidRPr="009E44F2">
              <w:t xml:space="preserve"> to the Main Street lender portal on or before December 14, 2020</w:t>
            </w:r>
          </w:p>
        </w:tc>
      </w:tr>
    </w:tbl>
    <w:p w14:paraId="380DE2B2" w14:textId="53FBBBFB" w:rsidR="00F03302" w:rsidRDefault="00A615E8" w:rsidP="001E26E8">
      <w:pPr>
        <w:spacing w:before="160"/>
      </w:pPr>
      <w:r>
        <w:t xml:space="preserve">The Philadelphia Fed’s coincident index of economic activity in the U.S. </w:t>
      </w:r>
      <w:r w:rsidR="003A390C">
        <w:t xml:space="preserve">rose </w:t>
      </w:r>
      <w:r w:rsidR="00C10F0A">
        <w:t>0.</w:t>
      </w:r>
      <w:r w:rsidR="008B41BC">
        <w:t>1</w:t>
      </w:r>
      <w:r w:rsidR="003A390C">
        <w:t xml:space="preserve">% in </w:t>
      </w:r>
      <w:r w:rsidR="00E95F9A">
        <w:t>December</w:t>
      </w:r>
      <w:r w:rsidR="003A390C">
        <w:t xml:space="preserve"> 2020</w:t>
      </w:r>
      <w:r w:rsidR="00C10F0A">
        <w:t xml:space="preserve"> and </w:t>
      </w:r>
      <w:r w:rsidR="00E95F9A">
        <w:t>1.</w:t>
      </w:r>
      <w:r w:rsidR="00C10F0A">
        <w:t>2% throughout</w:t>
      </w:r>
      <w:r>
        <w:t xml:space="preserve"> the </w:t>
      </w:r>
      <w:r w:rsidR="00E95F9A">
        <w:t>4</w:t>
      </w:r>
      <w:r w:rsidR="00E95F9A" w:rsidRPr="00E95F9A">
        <w:rPr>
          <w:vertAlign w:val="superscript"/>
        </w:rPr>
        <w:t>th</w:t>
      </w:r>
      <w:r w:rsidR="00E95F9A">
        <w:t xml:space="preserve"> </w:t>
      </w:r>
      <w:r>
        <w:t>quarter</w:t>
      </w:r>
      <w:r w:rsidR="00AF420E">
        <w:t xml:space="preserve">. </w:t>
      </w:r>
      <w:r w:rsidR="00EB0FF8">
        <w:t xml:space="preserve">The Federal Reserve noted greater variation in economic activity among states during this time. </w:t>
      </w:r>
      <w:r w:rsidR="003A390C" w:rsidRPr="00A615E8">
        <w:t xml:space="preserve">In </w:t>
      </w:r>
      <w:r w:rsidR="00E95F9A">
        <w:t>December</w:t>
      </w:r>
      <w:r w:rsidRPr="00A615E8">
        <w:t xml:space="preserve">, </w:t>
      </w:r>
      <w:r w:rsidR="00714B74">
        <w:t xml:space="preserve">state </w:t>
      </w:r>
      <w:r>
        <w:t>coincident</w:t>
      </w:r>
      <w:r w:rsidRPr="00A615E8">
        <w:t xml:space="preserve"> indexes</w:t>
      </w:r>
      <w:r w:rsidR="00714B74">
        <w:rPr>
          <w:rStyle w:val="FootnoteReference"/>
        </w:rPr>
        <w:footnoteReference w:id="3"/>
      </w:r>
      <w:r w:rsidRPr="00A615E8">
        <w:t xml:space="preserve"> </w:t>
      </w:r>
      <w:r>
        <w:t>showed</w:t>
      </w:r>
      <w:r w:rsidR="003A390C" w:rsidRPr="003A390C">
        <w:t xml:space="preserve"> </w:t>
      </w:r>
      <w:r w:rsidR="003A390C" w:rsidRPr="00A615E8">
        <w:t xml:space="preserve">increased </w:t>
      </w:r>
      <w:r w:rsidR="003A390C">
        <w:t>economic activity</w:t>
      </w:r>
      <w:r w:rsidR="003A390C" w:rsidRPr="00A615E8">
        <w:t xml:space="preserve"> in </w:t>
      </w:r>
      <w:r w:rsidR="00E95F9A">
        <w:t>36</w:t>
      </w:r>
      <w:r w:rsidR="003A390C" w:rsidRPr="00A615E8">
        <w:t xml:space="preserve"> states, decreased </w:t>
      </w:r>
      <w:r w:rsidR="003A390C">
        <w:t xml:space="preserve">activity </w:t>
      </w:r>
      <w:r w:rsidR="003A390C" w:rsidRPr="00A615E8">
        <w:t xml:space="preserve">in </w:t>
      </w:r>
      <w:r w:rsidR="00E95F9A">
        <w:t>12</w:t>
      </w:r>
      <w:r w:rsidR="003A390C" w:rsidRPr="00A615E8">
        <w:t xml:space="preserve"> states, and stable </w:t>
      </w:r>
      <w:r w:rsidR="003A390C">
        <w:t xml:space="preserve">activity </w:t>
      </w:r>
      <w:r w:rsidR="003A390C" w:rsidRPr="00A615E8">
        <w:t xml:space="preserve">in </w:t>
      </w:r>
      <w:r w:rsidR="00E95F9A">
        <w:t>2</w:t>
      </w:r>
      <w:r w:rsidRPr="00A615E8">
        <w:t>.</w:t>
      </w:r>
      <w:r w:rsidR="003A390C" w:rsidRPr="003A390C">
        <w:t xml:space="preserve"> </w:t>
      </w:r>
      <w:r w:rsidR="00C10F0A">
        <w:t>O</w:t>
      </w:r>
      <w:r w:rsidR="003A390C" w:rsidRPr="00A615E8">
        <w:t xml:space="preserve">ver the </w:t>
      </w:r>
      <w:r w:rsidR="003A390C">
        <w:t>entire quarter</w:t>
      </w:r>
      <w:r w:rsidRPr="00A615E8">
        <w:t xml:space="preserve">, </w:t>
      </w:r>
      <w:r>
        <w:t>coincident</w:t>
      </w:r>
      <w:r w:rsidRPr="00A615E8">
        <w:t xml:space="preserve"> indexes </w:t>
      </w:r>
      <w:r w:rsidR="00C10F0A">
        <w:t>increased</w:t>
      </w:r>
      <w:r w:rsidR="003A390C">
        <w:t xml:space="preserve"> </w:t>
      </w:r>
      <w:r w:rsidR="003A390C" w:rsidRPr="00A615E8">
        <w:t xml:space="preserve">in </w:t>
      </w:r>
      <w:r w:rsidR="003A390C">
        <w:t>4</w:t>
      </w:r>
      <w:r w:rsidR="00E95F9A">
        <w:t>6</w:t>
      </w:r>
      <w:r w:rsidR="003A390C" w:rsidRPr="00A615E8">
        <w:t xml:space="preserve"> states</w:t>
      </w:r>
      <w:r w:rsidR="00C10F0A">
        <w:t xml:space="preserve"> and</w:t>
      </w:r>
      <w:r w:rsidR="00466612">
        <w:t xml:space="preserve"> </w:t>
      </w:r>
      <w:r w:rsidR="00C10F0A">
        <w:t>de</w:t>
      </w:r>
      <w:r w:rsidR="003A390C">
        <w:t>creased</w:t>
      </w:r>
      <w:r w:rsidR="003A390C" w:rsidRPr="00A615E8">
        <w:t xml:space="preserve"> in </w:t>
      </w:r>
      <w:r w:rsidR="00E95F9A">
        <w:t>4</w:t>
      </w:r>
      <w:r w:rsidRPr="00A615E8">
        <w:t>.</w:t>
      </w:r>
      <w:r>
        <w:t xml:space="preserve"> Coincident indexes reflect </w:t>
      </w:r>
      <w:r w:rsidR="00714B74">
        <w:t>unemployment, payroll employment, manufacturing hours, and wages and salaries</w:t>
      </w:r>
      <w:r w:rsidR="00A14CD4">
        <w:t>.</w:t>
      </w:r>
      <w:r w:rsidR="00714B74">
        <w:t xml:space="preserve"> </w:t>
      </w:r>
      <w:r w:rsidR="00442565">
        <w:t xml:space="preserve">Unemployment strongly influences the indexes; </w:t>
      </w:r>
      <w:r w:rsidR="00CF6B8A">
        <w:t xml:space="preserve">despite falling in </w:t>
      </w:r>
      <w:r w:rsidR="00E95F9A">
        <w:t>December</w:t>
      </w:r>
      <w:r w:rsidR="00CF6B8A">
        <w:t xml:space="preserve">, </w:t>
      </w:r>
      <w:r w:rsidR="00E95F9A">
        <w:t xml:space="preserve">the U.S. </w:t>
      </w:r>
      <w:r w:rsidR="00CF6B8A">
        <w:t xml:space="preserve">unemployment rate </w:t>
      </w:r>
      <w:r w:rsidR="00E95F9A">
        <w:t>was still up 3.2 percent</w:t>
      </w:r>
      <w:r w:rsidR="003711BF">
        <w:t>age points</w:t>
      </w:r>
      <w:r w:rsidR="00CF6B8A">
        <w:t xml:space="preserve"> from </w:t>
      </w:r>
      <w:r w:rsidR="00E95F9A">
        <w:t xml:space="preserve">February 2020, with an additional 5 million unemployed people. Payroll employment remained </w:t>
      </w:r>
      <w:r w:rsidR="003711BF">
        <w:t>9.8</w:t>
      </w:r>
      <w:r w:rsidR="00E95F9A">
        <w:t xml:space="preserve"> million jobs below its pre-pandemic level in February 2020.</w:t>
      </w:r>
    </w:p>
    <w:p w14:paraId="7739DC43" w14:textId="5F8A5061" w:rsidR="00A96A6A" w:rsidRDefault="0027585A" w:rsidP="006D4E8F">
      <w:pPr>
        <w:jc w:val="center"/>
      </w:pPr>
      <w:r w:rsidRPr="0027585A">
        <w:rPr>
          <w:noProof/>
        </w:rPr>
        <w:lastRenderedPageBreak/>
        <w:t xml:space="preserve"> </w:t>
      </w:r>
      <w:r w:rsidR="00FD0B0D" w:rsidRPr="00FD0B0D">
        <w:drawing>
          <wp:inline distT="0" distB="0" distL="0" distR="0" wp14:anchorId="3EC76B86" wp14:editId="337D315A">
            <wp:extent cx="5943600" cy="3424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14:paraId="022CFF26" w14:textId="20E28859"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4"/>
      </w:r>
      <w:r w:rsidR="009E4D8D" w:rsidRPr="00CA74AC">
        <w:t xml:space="preserve"> </w:t>
      </w:r>
      <w:r w:rsidR="00442565">
        <w:t>fell</w:t>
      </w:r>
      <w:r w:rsidR="00DA3959">
        <w:t xml:space="preserve"> </w:t>
      </w:r>
      <w:r w:rsidR="00EB0FF8">
        <w:t>4.86</w:t>
      </w:r>
      <w:r w:rsidR="00442565">
        <w:t>% during</w:t>
      </w:r>
      <w:r w:rsidR="00DA3959">
        <w:t xml:space="preserve"> the </w:t>
      </w:r>
      <w:r w:rsidR="00EB0FF8">
        <w:t>4</w:t>
      </w:r>
      <w:r w:rsidR="00EB0FF8" w:rsidRPr="00EB0FF8">
        <w:rPr>
          <w:vertAlign w:val="superscript"/>
        </w:rPr>
        <w:t>th</w:t>
      </w:r>
      <w:r w:rsidR="00EB0FF8">
        <w:t xml:space="preserve"> </w:t>
      </w:r>
      <w:r w:rsidR="00DA3959">
        <w:t>quarter of 2020</w:t>
      </w:r>
      <w:r>
        <w:t xml:space="preserve"> </w:t>
      </w:r>
      <w:r w:rsidR="00442565">
        <w:t xml:space="preserve">and </w:t>
      </w:r>
      <w:r w:rsidR="00EB0FF8">
        <w:t>2</w:t>
      </w:r>
      <w:r w:rsidR="00442565">
        <w:t>.</w:t>
      </w:r>
      <w:r w:rsidR="00EB0FF8">
        <w:t>67</w:t>
      </w:r>
      <w:r w:rsidR="00442565">
        <w:t>%</w:t>
      </w:r>
      <w:r w:rsidR="009E4D8D" w:rsidRPr="00CA74AC">
        <w:t xml:space="preserve"> </w:t>
      </w:r>
      <w:r w:rsidR="00442565">
        <w:t xml:space="preserve">since the </w:t>
      </w:r>
      <w:r w:rsidR="00EB0FF8">
        <w:t>4</w:t>
      </w:r>
      <w:r w:rsidR="00EB0FF8" w:rsidRPr="00EB0FF8">
        <w:rPr>
          <w:vertAlign w:val="superscript"/>
        </w:rPr>
        <w:t>th</w:t>
      </w:r>
      <w:r w:rsidR="00EB0FF8">
        <w:t xml:space="preserve"> </w:t>
      </w:r>
      <w:r w:rsidR="00D01E9D">
        <w:t>quarter</w:t>
      </w:r>
      <w:r w:rsidR="00DA3959">
        <w:t xml:space="preserve"> </w:t>
      </w:r>
      <w:r w:rsidR="00CF6B8A">
        <w:t>of 2019</w:t>
      </w:r>
      <w:r w:rsidR="009E4D8D" w:rsidRPr="00CA74AC">
        <w:t>.</w:t>
      </w:r>
      <w:r w:rsidR="00E24F81" w:rsidRPr="00CA74AC">
        <w:t xml:space="preserve"> </w:t>
      </w:r>
      <w:r w:rsidR="00CF6B8A">
        <w:t>Dollar</w:t>
      </w:r>
      <w:r w:rsidR="00C54129">
        <w:t xml:space="preserve"> </w:t>
      </w:r>
      <w:r w:rsidR="00EB0FF8">
        <w:t>demand paled against more dynamic equities as COVID-19 vaccines increased hope for global economic recovery</w:t>
      </w:r>
      <w:r w:rsidR="00E37A8F">
        <w:t>.</w:t>
      </w:r>
      <w:r w:rsidR="00EB0FF8">
        <w:t xml:space="preserve"> </w:t>
      </w:r>
      <w:r w:rsidR="003711BF">
        <w:t xml:space="preserve">Further suppressing the dollar’s value were </w:t>
      </w:r>
      <w:r w:rsidR="00EB0FF8">
        <w:t>U.S. trade and current account deficits</w:t>
      </w:r>
      <w:r w:rsidR="003711BF">
        <w:t>, which</w:t>
      </w:r>
      <w:r w:rsidR="00EB0FF8">
        <w:t xml:space="preserve"> ballooned </w:t>
      </w:r>
      <w:r w:rsidR="004B2DF4">
        <w:t>during the 4</w:t>
      </w:r>
      <w:r w:rsidR="004B2DF4" w:rsidRPr="004B2DF4">
        <w:rPr>
          <w:vertAlign w:val="superscript"/>
        </w:rPr>
        <w:t>th</w:t>
      </w:r>
      <w:r w:rsidR="004B2DF4">
        <w:t xml:space="preserve"> quarter of 2020.</w:t>
      </w:r>
      <w:r w:rsidR="001C7617">
        <w:t xml:space="preserve"> </w:t>
      </w:r>
    </w:p>
    <w:p w14:paraId="5FD9C9E3" w14:textId="15BD69E5" w:rsidR="004D1C9D" w:rsidRDefault="00FD0B0D" w:rsidP="006D4E8F">
      <w:pPr>
        <w:jc w:val="center"/>
      </w:pPr>
      <w:r>
        <w:rPr>
          <w:noProof/>
        </w:rPr>
        <w:drawing>
          <wp:inline distT="0" distB="0" distL="0" distR="0" wp14:anchorId="15798837" wp14:editId="580A1466">
            <wp:extent cx="4097020" cy="274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EF9" w14:textId="77777777" w:rsidR="002731EF" w:rsidRDefault="002731EF" w:rsidP="001475FF">
      <w:pPr>
        <w:pStyle w:val="Heading1"/>
      </w:pPr>
      <w:r>
        <w:lastRenderedPageBreak/>
        <w:t>Economic Highlights</w:t>
      </w:r>
    </w:p>
    <w:p w14:paraId="149D5EFA" w14:textId="14BAF088" w:rsidR="002608F3" w:rsidRPr="00D571C6" w:rsidRDefault="006C2DAB" w:rsidP="00E528F7">
      <w:pPr>
        <w:pStyle w:val="ListParagraph"/>
        <w:numPr>
          <w:ilvl w:val="0"/>
          <w:numId w:val="3"/>
        </w:numPr>
      </w:pPr>
      <w:r w:rsidRPr="00D571C6">
        <w:t xml:space="preserve">Real GDP </w:t>
      </w:r>
      <w:r w:rsidR="00D571C6" w:rsidRPr="00D571C6">
        <w:t>for the 4</w:t>
      </w:r>
      <w:r w:rsidR="00D571C6" w:rsidRPr="00D571C6">
        <w:rPr>
          <w:vertAlign w:val="superscript"/>
        </w:rPr>
        <w:t>th</w:t>
      </w:r>
      <w:r w:rsidR="00D571C6" w:rsidRPr="00D571C6">
        <w:t xml:space="preserve"> quarter of 2020 grew at an annual rate of </w:t>
      </w:r>
      <w:r w:rsidR="00990761" w:rsidRPr="00D571C6">
        <w:t>4.0% yet</w:t>
      </w:r>
      <w:r w:rsidR="00D571C6" w:rsidRPr="00D571C6">
        <w:t xml:space="preserve"> remained 2.5% below its year-ago level.</w:t>
      </w:r>
    </w:p>
    <w:p w14:paraId="149D5EFC" w14:textId="178F1104" w:rsidR="00E24F81" w:rsidRPr="00D571C6" w:rsidRDefault="00E24F81" w:rsidP="00E528F7">
      <w:pPr>
        <w:pStyle w:val="ListParagraph"/>
        <w:numPr>
          <w:ilvl w:val="0"/>
          <w:numId w:val="3"/>
        </w:numPr>
      </w:pPr>
      <w:r w:rsidRPr="00D571C6">
        <w:t xml:space="preserve">The U.S. dollar index </w:t>
      </w:r>
      <w:r w:rsidR="004B2DF4" w:rsidRPr="00D571C6">
        <w:t>fell 4.86% during the 4</w:t>
      </w:r>
      <w:r w:rsidR="004B2DF4" w:rsidRPr="00D571C6">
        <w:rPr>
          <w:vertAlign w:val="superscript"/>
        </w:rPr>
        <w:t>th</w:t>
      </w:r>
      <w:r w:rsidR="004B2DF4" w:rsidRPr="00D571C6">
        <w:t xml:space="preserve"> quarter of 2020 and 2.67% over the last year</w:t>
      </w:r>
      <w:r w:rsidRPr="00D571C6">
        <w:t>.</w:t>
      </w:r>
    </w:p>
    <w:p w14:paraId="149D5EFD" w14:textId="7F53682B" w:rsidR="0076717F" w:rsidRPr="00D571C6" w:rsidRDefault="00E23CA2" w:rsidP="00E528F7">
      <w:pPr>
        <w:pStyle w:val="ListParagraph"/>
        <w:numPr>
          <w:ilvl w:val="0"/>
          <w:numId w:val="3"/>
        </w:numPr>
      </w:pPr>
      <w:r w:rsidRPr="00D571C6">
        <w:t>Throughout</w:t>
      </w:r>
      <w:r w:rsidR="00E50993" w:rsidRPr="00D571C6">
        <w:t xml:space="preserve"> </w:t>
      </w:r>
      <w:r w:rsidR="0092347C" w:rsidRPr="00D571C6">
        <w:t xml:space="preserve">the </w:t>
      </w:r>
      <w:r w:rsidR="00D571C6" w:rsidRPr="00D571C6">
        <w:t>4</w:t>
      </w:r>
      <w:r w:rsidR="00D571C6" w:rsidRPr="00D571C6">
        <w:rPr>
          <w:vertAlign w:val="superscript"/>
        </w:rPr>
        <w:t>th</w:t>
      </w:r>
      <w:r w:rsidR="00D571C6" w:rsidRPr="00D571C6">
        <w:t xml:space="preserve"> </w:t>
      </w:r>
      <w:r w:rsidR="0092347C" w:rsidRPr="00D571C6">
        <w:t>quarter</w:t>
      </w:r>
      <w:r w:rsidR="00E37A8F" w:rsidRPr="00D571C6">
        <w:t>,</w:t>
      </w:r>
      <w:r w:rsidR="00E50993" w:rsidRPr="00D571C6">
        <w:t xml:space="preserve"> the Federal Reserve </w:t>
      </w:r>
      <w:r w:rsidR="0092347C" w:rsidRPr="00D571C6">
        <w:t>held</w:t>
      </w:r>
      <w:r w:rsidR="00E37A8F" w:rsidRPr="00D571C6">
        <w:t xml:space="preserve"> the federal funds target rate </w:t>
      </w:r>
      <w:r w:rsidR="0092347C" w:rsidRPr="00D571C6">
        <w:t>at</w:t>
      </w:r>
      <w:r w:rsidR="00E37A8F" w:rsidRPr="00D571C6">
        <w:t xml:space="preserve"> a range of </w:t>
      </w:r>
      <w:r w:rsidR="001E26E8" w:rsidRPr="00D571C6">
        <w:t>0</w:t>
      </w:r>
      <w:r w:rsidR="005117CA" w:rsidRPr="00D571C6">
        <w:t>.</w:t>
      </w:r>
      <w:r w:rsidR="001E26E8" w:rsidRPr="00D571C6">
        <w:t>0</w:t>
      </w:r>
      <w:r w:rsidR="00FE67AA" w:rsidRPr="00D571C6">
        <w:t>0</w:t>
      </w:r>
      <w:r w:rsidR="00E37A8F" w:rsidRPr="00D571C6">
        <w:t xml:space="preserve"> to </w:t>
      </w:r>
      <w:r w:rsidR="001E26E8" w:rsidRPr="00D571C6">
        <w:t>0</w:t>
      </w:r>
      <w:r w:rsidR="00FE67AA" w:rsidRPr="00D571C6">
        <w:t>.</w:t>
      </w:r>
      <w:r w:rsidR="001E26E8" w:rsidRPr="00D571C6">
        <w:t>2</w:t>
      </w:r>
      <w:r w:rsidR="00FE67AA" w:rsidRPr="00D571C6">
        <w:t>5</w:t>
      </w:r>
      <w:r w:rsidR="00E37A8F" w:rsidRPr="00D571C6">
        <w:t xml:space="preserve"> percent</w:t>
      </w:r>
      <w:r w:rsidR="0035542E" w:rsidRPr="00D571C6">
        <w:t>.</w:t>
      </w:r>
    </w:p>
    <w:p w14:paraId="149D5EFE" w14:textId="70975B5E" w:rsidR="003E4ACB" w:rsidRPr="00D571C6" w:rsidRDefault="00D571C6" w:rsidP="00E528F7">
      <w:pPr>
        <w:pStyle w:val="ListParagraph"/>
        <w:numPr>
          <w:ilvl w:val="0"/>
          <w:numId w:val="3"/>
        </w:numPr>
      </w:pPr>
      <w:r w:rsidRPr="00D571C6">
        <w:t>Short-term b</w:t>
      </w:r>
      <w:r w:rsidR="00FE67AA" w:rsidRPr="00D571C6">
        <w:t xml:space="preserve">ond </w:t>
      </w:r>
      <w:r w:rsidR="001E26E8" w:rsidRPr="00D571C6">
        <w:t>yields</w:t>
      </w:r>
      <w:r w:rsidR="003E4ACB" w:rsidRPr="00D571C6">
        <w:t xml:space="preserve"> </w:t>
      </w:r>
      <w:r w:rsidR="00BE1260" w:rsidRPr="00D571C6">
        <w:t>remained low</w:t>
      </w:r>
      <w:r w:rsidR="00E37A8F" w:rsidRPr="00D571C6">
        <w:t xml:space="preserve"> </w:t>
      </w:r>
      <w:r w:rsidR="003E4ACB" w:rsidRPr="00D571C6">
        <w:t xml:space="preserve">during the </w:t>
      </w:r>
      <w:r w:rsidR="00990761" w:rsidRPr="00D571C6">
        <w:t>quarter,</w:t>
      </w:r>
      <w:r w:rsidRPr="00D571C6">
        <w:t xml:space="preserve"> but long-term yields began to rise</w:t>
      </w:r>
      <w:r w:rsidR="00990761">
        <w:t>. T</w:t>
      </w:r>
      <w:r w:rsidR="003E4ACB" w:rsidRPr="00D571C6">
        <w:t>he 10-y</w:t>
      </w:r>
      <w:r w:rsidR="002F1C7B" w:rsidRPr="00D571C6">
        <w:t xml:space="preserve">ear U.S. treasury </w:t>
      </w:r>
      <w:r w:rsidR="00990761">
        <w:t>yielded</w:t>
      </w:r>
      <w:r w:rsidR="009A6A40" w:rsidRPr="00D571C6">
        <w:t xml:space="preserve"> 0.</w:t>
      </w:r>
      <w:r w:rsidRPr="00D571C6">
        <w:t>93</w:t>
      </w:r>
      <w:r w:rsidR="009A6A40" w:rsidRPr="00D571C6">
        <w:t xml:space="preserve">% annually at the end of </w:t>
      </w:r>
      <w:r w:rsidR="000048BB">
        <w:t>December</w:t>
      </w:r>
      <w:r w:rsidR="009A6A40" w:rsidRPr="00D571C6">
        <w:t xml:space="preserve"> 2020 and the 30-year treasury </w:t>
      </w:r>
      <w:r w:rsidR="00990761">
        <w:t>yielded</w:t>
      </w:r>
      <w:r w:rsidR="009A6A40" w:rsidRPr="00D571C6">
        <w:t xml:space="preserve"> 1.</w:t>
      </w:r>
      <w:r w:rsidRPr="00D571C6">
        <w:t>65</w:t>
      </w:r>
      <w:r w:rsidR="002F1C7B" w:rsidRPr="00D571C6">
        <w:t>%</w:t>
      </w:r>
      <w:r w:rsidR="004D0515" w:rsidRPr="00D571C6">
        <w:t>.</w:t>
      </w:r>
    </w:p>
    <w:p w14:paraId="2A4826B3" w14:textId="562BA651" w:rsidR="0069122E" w:rsidRPr="00990761" w:rsidRDefault="0069122E" w:rsidP="0069122E">
      <w:pPr>
        <w:pStyle w:val="ListParagraph"/>
        <w:numPr>
          <w:ilvl w:val="0"/>
          <w:numId w:val="3"/>
        </w:numPr>
      </w:pPr>
      <w:r w:rsidRPr="00990761">
        <w:t xml:space="preserve">Unemployment fell to </w:t>
      </w:r>
      <w:r w:rsidR="00D571C6" w:rsidRPr="00990761">
        <w:t>6.7%</w:t>
      </w:r>
      <w:r w:rsidRPr="00990761">
        <w:t xml:space="preserve"> in </w:t>
      </w:r>
      <w:r w:rsidR="00D571C6" w:rsidRPr="00990761">
        <w:t>November and December</w:t>
      </w:r>
      <w:r w:rsidRPr="00990761">
        <w:t xml:space="preserve"> 2020, and payroll employment </w:t>
      </w:r>
      <w:r w:rsidRPr="00990761">
        <w:rPr>
          <w:color w:val="000000" w:themeColor="text1"/>
        </w:rPr>
        <w:t xml:space="preserve">regained </w:t>
      </w:r>
      <w:r w:rsidR="00D571C6" w:rsidRPr="00990761">
        <w:rPr>
          <w:color w:val="000000" w:themeColor="text1"/>
        </w:rPr>
        <w:t>850 thousand</w:t>
      </w:r>
      <w:r w:rsidRPr="00990761">
        <w:rPr>
          <w:color w:val="000000" w:themeColor="text1"/>
        </w:rPr>
        <w:t xml:space="preserve"> jobs during the </w:t>
      </w:r>
      <w:r w:rsidR="00D571C6" w:rsidRPr="00990761">
        <w:rPr>
          <w:color w:val="000000" w:themeColor="text1"/>
        </w:rPr>
        <w:t>4</w:t>
      </w:r>
      <w:r w:rsidR="00D571C6" w:rsidRPr="00990761">
        <w:rPr>
          <w:color w:val="000000" w:themeColor="text1"/>
          <w:vertAlign w:val="superscript"/>
        </w:rPr>
        <w:t xml:space="preserve">th </w:t>
      </w:r>
      <w:r w:rsidRPr="00990761">
        <w:rPr>
          <w:color w:val="000000" w:themeColor="text1"/>
        </w:rPr>
        <w:t>quarter</w:t>
      </w:r>
      <w:r w:rsidRPr="00990761">
        <w:t>.</w:t>
      </w:r>
    </w:p>
    <w:p w14:paraId="149D5EFF" w14:textId="61781D5F" w:rsidR="003E4ACB" w:rsidRPr="00990761" w:rsidRDefault="00CD3F6E" w:rsidP="00E528F7">
      <w:pPr>
        <w:pStyle w:val="ListParagraph"/>
        <w:numPr>
          <w:ilvl w:val="0"/>
          <w:numId w:val="3"/>
        </w:numPr>
      </w:pPr>
      <w:r w:rsidRPr="00990761">
        <w:t>Consumer i</w:t>
      </w:r>
      <w:r w:rsidR="006E4B4F" w:rsidRPr="00990761">
        <w:t xml:space="preserve">nflation </w:t>
      </w:r>
      <w:r w:rsidR="00BE1260" w:rsidRPr="00990761">
        <w:t xml:space="preserve">rose </w:t>
      </w:r>
      <w:r w:rsidR="009A6A40" w:rsidRPr="00990761">
        <w:t>1.</w:t>
      </w:r>
      <w:r w:rsidR="00990761" w:rsidRPr="00990761">
        <w:t>29</w:t>
      </w:r>
      <w:r w:rsidR="009A6A40" w:rsidRPr="00990761">
        <w:t xml:space="preserve">% since last </w:t>
      </w:r>
      <w:r w:rsidR="00990761" w:rsidRPr="00990761">
        <w:t>December</w:t>
      </w:r>
      <w:r w:rsidR="003E4ACB" w:rsidRPr="00990761">
        <w:t>.</w:t>
      </w:r>
    </w:p>
    <w:p w14:paraId="02DFF80C" w14:textId="23A6FE64" w:rsidR="0069122E" w:rsidRPr="00990761" w:rsidRDefault="0069122E" w:rsidP="0069122E">
      <w:pPr>
        <w:pStyle w:val="ListParagraph"/>
        <w:numPr>
          <w:ilvl w:val="0"/>
          <w:numId w:val="3"/>
        </w:numPr>
      </w:pPr>
      <w:r w:rsidRPr="00990761">
        <w:t xml:space="preserve">Oil prices </w:t>
      </w:r>
      <w:r w:rsidR="00990761" w:rsidRPr="00990761">
        <w:t xml:space="preserve">rose during the </w:t>
      </w:r>
      <w:r w:rsidR="00990761">
        <w:t>4</w:t>
      </w:r>
      <w:r w:rsidR="00990761" w:rsidRPr="00990761">
        <w:rPr>
          <w:vertAlign w:val="superscript"/>
        </w:rPr>
        <w:t>th</w:t>
      </w:r>
      <w:r w:rsidR="00990761">
        <w:t xml:space="preserve"> </w:t>
      </w:r>
      <w:r w:rsidR="00990761" w:rsidRPr="00990761">
        <w:t>quarter to $47.02 per barrel in December 2020</w:t>
      </w:r>
      <w:r w:rsidRPr="00990761">
        <w:t>.</w:t>
      </w:r>
    </w:p>
    <w:p w14:paraId="149D5F00" w14:textId="513220DD" w:rsidR="003E4ACB" w:rsidRPr="00990761" w:rsidRDefault="00E736EF" w:rsidP="00E528F7">
      <w:pPr>
        <w:pStyle w:val="ListParagraph"/>
        <w:numPr>
          <w:ilvl w:val="0"/>
          <w:numId w:val="3"/>
        </w:numPr>
      </w:pPr>
      <w:r w:rsidRPr="00990761">
        <w:t xml:space="preserve">New </w:t>
      </w:r>
      <w:r w:rsidR="00BE1260" w:rsidRPr="00990761">
        <w:t xml:space="preserve">housing starts </w:t>
      </w:r>
      <w:r w:rsidR="007B0FB5" w:rsidRPr="00990761">
        <w:t xml:space="preserve">grew </w:t>
      </w:r>
      <w:r w:rsidR="00990761" w:rsidRPr="00990761">
        <w:t>16</w:t>
      </w:r>
      <w:r w:rsidR="007B0FB5" w:rsidRPr="00990761">
        <w:t>.</w:t>
      </w:r>
      <w:r w:rsidR="00990761" w:rsidRPr="00990761">
        <w:t>1</w:t>
      </w:r>
      <w:r w:rsidR="007B0FB5" w:rsidRPr="00990761">
        <w:t xml:space="preserve">% over the </w:t>
      </w:r>
      <w:r w:rsidR="00990761" w:rsidRPr="00990761">
        <w:t>4</w:t>
      </w:r>
      <w:r w:rsidR="00990761" w:rsidRPr="00990761">
        <w:rPr>
          <w:vertAlign w:val="superscript"/>
        </w:rPr>
        <w:t>th</w:t>
      </w:r>
      <w:r w:rsidR="00990761" w:rsidRPr="00990761">
        <w:t xml:space="preserve"> </w:t>
      </w:r>
      <w:r w:rsidR="007B0FB5" w:rsidRPr="00990761">
        <w:t xml:space="preserve">quarter </w:t>
      </w:r>
      <w:r w:rsidR="00990761" w:rsidRPr="00990761">
        <w:t>to their highest level in over 14 years</w:t>
      </w:r>
      <w:r w:rsidR="0035542E" w:rsidRPr="00990761">
        <w:t>.</w:t>
      </w:r>
    </w:p>
    <w:p w14:paraId="149D5F03" w14:textId="0A1C0DE2" w:rsidR="0076717F" w:rsidRPr="00990761" w:rsidRDefault="00FC013E" w:rsidP="00F94484">
      <w:pPr>
        <w:pStyle w:val="ListParagraph"/>
        <w:numPr>
          <w:ilvl w:val="0"/>
          <w:numId w:val="3"/>
        </w:numPr>
      </w:pPr>
      <w:r w:rsidRPr="00990761">
        <w:t>U</w:t>
      </w:r>
      <w:r w:rsidR="00F74174" w:rsidRPr="00990761">
        <w:t>.</w:t>
      </w:r>
      <w:r w:rsidRPr="00990761">
        <w:t>S</w:t>
      </w:r>
      <w:r w:rsidR="00F74174" w:rsidRPr="00990761">
        <w:t>.</w:t>
      </w:r>
      <w:r w:rsidRPr="00990761">
        <w:t xml:space="preserve"> </w:t>
      </w:r>
      <w:r w:rsidR="00F94484" w:rsidRPr="00990761">
        <w:t xml:space="preserve">capital </w:t>
      </w:r>
      <w:r w:rsidRPr="00990761">
        <w:t>markets</w:t>
      </w:r>
      <w:r w:rsidR="00D928C8" w:rsidRPr="00990761">
        <w:t xml:space="preserve"> </w:t>
      </w:r>
      <w:r w:rsidR="00990761" w:rsidRPr="00990761">
        <w:t>sustained their ongoing boom through the 4</w:t>
      </w:r>
      <w:r w:rsidR="00990761" w:rsidRPr="00990761">
        <w:rPr>
          <w:vertAlign w:val="superscript"/>
        </w:rPr>
        <w:t>th</w:t>
      </w:r>
      <w:r w:rsidR="00990761" w:rsidRPr="00990761">
        <w:t xml:space="preserve"> quarter</w:t>
      </w:r>
      <w:r w:rsidR="007B0FB5" w:rsidRPr="00990761">
        <w:t>.</w:t>
      </w:r>
      <w:r w:rsidR="00990761" w:rsidRPr="00990761">
        <w:t xml:space="preserve"> The NASDAQ Composite advanced 15.4% in the 4</w:t>
      </w:r>
      <w:r w:rsidR="00990761" w:rsidRPr="00990761">
        <w:rPr>
          <w:vertAlign w:val="superscript"/>
        </w:rPr>
        <w:t>th</w:t>
      </w:r>
      <w:r w:rsidR="00990761" w:rsidRPr="00990761">
        <w:t xml:space="preserve"> quarter, the Wilshire 5000 climbed 14.0% and the S&amp;P 500 rose 11.7%.</w:t>
      </w:r>
      <w:r w:rsidR="0076717F" w:rsidRPr="00990761">
        <w:br w:type="page"/>
      </w:r>
    </w:p>
    <w:p w14:paraId="149D5F04" w14:textId="77777777" w:rsidR="00057711" w:rsidRDefault="00057711" w:rsidP="00057711">
      <w:pPr>
        <w:pStyle w:val="Heading1"/>
      </w:pPr>
      <w:r>
        <w:lastRenderedPageBreak/>
        <w:t>Business Activity</w:t>
      </w:r>
    </w:p>
    <w:p w14:paraId="25413EE4" w14:textId="66E9943E" w:rsidR="00A96A6A" w:rsidRPr="00F27E28" w:rsidRDefault="0080028D" w:rsidP="00057711">
      <w:r w:rsidRPr="00F27E28">
        <w:t>According to the Bureau of Economic Analysis</w:t>
      </w:r>
      <w:r w:rsidR="002608F3" w:rsidRPr="00F27E28">
        <w:t xml:space="preserve"> (BEA)</w:t>
      </w:r>
      <w:r w:rsidRPr="00F27E28">
        <w:t>, real gross domestic product (GDP)</w:t>
      </w:r>
      <w:r w:rsidR="00A8559D" w:rsidRPr="00F27E28">
        <w:rPr>
          <w:rStyle w:val="FootnoteReference"/>
        </w:rPr>
        <w:footnoteReference w:id="5"/>
      </w:r>
      <w:r w:rsidRPr="00F27E28">
        <w:t xml:space="preserve"> </w:t>
      </w:r>
      <w:r w:rsidR="00BD0BA8" w:rsidRPr="00F27E28">
        <w:t xml:space="preserve">for the </w:t>
      </w:r>
      <w:r w:rsidR="004B2DF4">
        <w:t>4</w:t>
      </w:r>
      <w:r w:rsidR="004B2DF4" w:rsidRPr="004B2DF4">
        <w:rPr>
          <w:vertAlign w:val="superscript"/>
        </w:rPr>
        <w:t>th</w:t>
      </w:r>
      <w:r w:rsidR="004B2DF4">
        <w:t xml:space="preserve"> </w:t>
      </w:r>
      <w:r w:rsidR="00BD0BA8" w:rsidRPr="00F27E28">
        <w:t xml:space="preserve">quarter of </w:t>
      </w:r>
      <w:r w:rsidR="00813396">
        <w:t>2020</w:t>
      </w:r>
      <w:r w:rsidR="00700166" w:rsidRPr="00F27E28">
        <w:t xml:space="preserve"> </w:t>
      </w:r>
      <w:r w:rsidR="004B2DF4">
        <w:t>grew</w:t>
      </w:r>
      <w:r w:rsidR="00BD0BA8" w:rsidRPr="00F27E28">
        <w:t xml:space="preserve"> </w:t>
      </w:r>
      <w:r w:rsidRPr="00F27E28">
        <w:t xml:space="preserve">at an annual rate of </w:t>
      </w:r>
      <w:r w:rsidR="004B2DF4">
        <w:t>4.0</w:t>
      </w:r>
      <w:r w:rsidR="00321AA2" w:rsidRPr="00F27E28">
        <w:t>%</w:t>
      </w:r>
      <w:r w:rsidR="001756EC" w:rsidRPr="00F27E28">
        <w:t>,</w:t>
      </w:r>
      <w:r w:rsidRPr="00F27E28">
        <w:t xml:space="preserve"> </w:t>
      </w:r>
      <w:r w:rsidR="004B2DF4">
        <w:t>following the</w:t>
      </w:r>
      <w:r w:rsidR="00E23CA2">
        <w:t xml:space="preserve"> prior</w:t>
      </w:r>
      <w:r w:rsidR="002F1660">
        <w:t xml:space="preserve"> quarter’s </w:t>
      </w:r>
      <w:r w:rsidR="004B2DF4">
        <w:t>record rebound</w:t>
      </w:r>
      <w:r w:rsidR="002F1660">
        <w:t xml:space="preserve"> of </w:t>
      </w:r>
      <w:r w:rsidR="00D36137">
        <w:t>3</w:t>
      </w:r>
      <w:r w:rsidR="004B2DF4">
        <w:t>3</w:t>
      </w:r>
      <w:r w:rsidR="00D36137">
        <w:t>.4</w:t>
      </w:r>
      <w:r w:rsidR="002F1660">
        <w:t>%</w:t>
      </w:r>
      <w:r w:rsidR="005650CD">
        <w:t>.</w:t>
      </w:r>
      <w:r w:rsidR="002F1660">
        <w:t xml:space="preserve"> </w:t>
      </w:r>
      <w:r w:rsidR="00D36137">
        <w:t>Over the last</w:t>
      </w:r>
      <w:r w:rsidR="00B40AF8" w:rsidRPr="00F27E28">
        <w:t xml:space="preserve"> 30</w:t>
      </w:r>
      <w:r w:rsidR="00D36137">
        <w:t xml:space="preserve"> </w:t>
      </w:r>
      <w:r w:rsidR="00B40AF8" w:rsidRPr="00F27E28">
        <w:t>year</w:t>
      </w:r>
      <w:r w:rsidR="00D36137">
        <w:t>s, the</w:t>
      </w:r>
      <w:r w:rsidR="00B40AF8" w:rsidRPr="00F27E28">
        <w:t xml:space="preserve"> average</w:t>
      </w:r>
      <w:r w:rsidR="005650CD" w:rsidRPr="005650CD">
        <w:t xml:space="preserve"> </w:t>
      </w:r>
      <w:r w:rsidR="00D36137">
        <w:t xml:space="preserve">compounded </w:t>
      </w:r>
      <w:r w:rsidR="005650CD" w:rsidRPr="00F27E28">
        <w:t>annual</w:t>
      </w:r>
      <w:r w:rsidR="00B40AF8" w:rsidRPr="00F27E28">
        <w:t xml:space="preserve"> rate of </w:t>
      </w:r>
      <w:r w:rsidR="005650CD">
        <w:t xml:space="preserve">GDP growth </w:t>
      </w:r>
      <w:r w:rsidR="00D36137">
        <w:t>was 2.4</w:t>
      </w:r>
      <w:r w:rsidRPr="004F67A9">
        <w:t>%.</w:t>
      </w:r>
      <w:r w:rsidR="001756EC" w:rsidRPr="00F27E28">
        <w:t xml:space="preserve"> </w:t>
      </w:r>
      <w:r w:rsidR="00D5240C">
        <w:t>The</w:t>
      </w:r>
      <w:r w:rsidR="0067456E">
        <w:t xml:space="preserve"> 4</w:t>
      </w:r>
      <w:r w:rsidR="0067456E" w:rsidRPr="0067456E">
        <w:rPr>
          <w:vertAlign w:val="superscript"/>
        </w:rPr>
        <w:t>th</w:t>
      </w:r>
      <w:r w:rsidR="0067456E">
        <w:t xml:space="preserve"> quarter </w:t>
      </w:r>
      <w:r w:rsidR="003711BF">
        <w:t>advance estimate</w:t>
      </w:r>
      <w:r w:rsidR="00D5240C">
        <w:t xml:space="preserve"> represented continuing recovery from the devastating economic effects of the COVID-19 </w:t>
      </w:r>
      <w:r w:rsidR="00E40C93">
        <w:t>pandemic yet</w:t>
      </w:r>
      <w:r w:rsidR="00D5240C">
        <w:t xml:space="preserve"> </w:t>
      </w:r>
      <w:r w:rsidR="0067456E">
        <w:t>fell slightly shy of e</w:t>
      </w:r>
      <w:r w:rsidR="00D5240C">
        <w:t>conomists’ e</w:t>
      </w:r>
      <w:r w:rsidR="0067456E">
        <w:t xml:space="preserve">xpectations. </w:t>
      </w:r>
      <w:r w:rsidR="00D36137">
        <w:t xml:space="preserve">Despite the </w:t>
      </w:r>
      <w:r w:rsidR="00D5240C">
        <w:t>4</w:t>
      </w:r>
      <w:r w:rsidR="00D5240C" w:rsidRPr="00D5240C">
        <w:rPr>
          <w:vertAlign w:val="superscript"/>
        </w:rPr>
        <w:t>th</w:t>
      </w:r>
      <w:r w:rsidR="00D5240C">
        <w:t xml:space="preserve"> </w:t>
      </w:r>
      <w:r w:rsidR="002F1660">
        <w:t>quarter</w:t>
      </w:r>
      <w:r w:rsidR="00D36137">
        <w:t xml:space="preserve">’s </w:t>
      </w:r>
      <w:r w:rsidR="003711BF">
        <w:t>increase</w:t>
      </w:r>
      <w:r w:rsidR="00D36137">
        <w:t>,</w:t>
      </w:r>
      <w:r w:rsidR="00A52E02">
        <w:t xml:space="preserve"> real GDP </w:t>
      </w:r>
      <w:r w:rsidR="00D36137">
        <w:t>remained 2.</w:t>
      </w:r>
      <w:r w:rsidR="00D5240C">
        <w:t>5</w:t>
      </w:r>
      <w:r w:rsidR="00D36137">
        <w:t>% below its year-ago level</w:t>
      </w:r>
      <w:r w:rsidR="00F27E28" w:rsidRPr="00F27E28">
        <w:t>.</w:t>
      </w:r>
    </w:p>
    <w:p w14:paraId="7810A9C6" w14:textId="6BA88E77" w:rsidR="00A96A6A" w:rsidRDefault="00FD0B0D" w:rsidP="005117CA">
      <w:pPr>
        <w:jc w:val="center"/>
      </w:pPr>
      <w:r>
        <w:rPr>
          <w:noProof/>
        </w:rPr>
        <w:drawing>
          <wp:inline distT="0" distB="0" distL="0" distR="0" wp14:anchorId="5DE6E766" wp14:editId="19B263BA">
            <wp:extent cx="4097020" cy="274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6E9155B" w14:textId="0C1370F5" w:rsidR="00D55969" w:rsidRDefault="00584B8E" w:rsidP="00CD643D">
      <w:r>
        <w:t xml:space="preserve">The </w:t>
      </w:r>
      <w:r w:rsidR="00D5240C">
        <w:t>4</w:t>
      </w:r>
      <w:r w:rsidR="00D5240C" w:rsidRPr="00D5240C">
        <w:rPr>
          <w:vertAlign w:val="superscript"/>
        </w:rPr>
        <w:t>th</w:t>
      </w:r>
      <w:r w:rsidR="00D5240C">
        <w:t xml:space="preserve"> </w:t>
      </w:r>
      <w:r>
        <w:t xml:space="preserve">quarter GDP </w:t>
      </w:r>
      <w:r w:rsidR="00D5240C">
        <w:t>advance</w:t>
      </w:r>
      <w:r>
        <w:t xml:space="preserve"> </w:t>
      </w:r>
      <w:r w:rsidR="003711BF">
        <w:t xml:space="preserve">estimate </w:t>
      </w:r>
      <w:r>
        <w:t xml:space="preserve">primarily reflected </w:t>
      </w:r>
      <w:r w:rsidR="00D5240C">
        <w:t xml:space="preserve">widespread </w:t>
      </w:r>
      <w:r w:rsidR="003711BF">
        <w:t>growth</w:t>
      </w:r>
      <w:r w:rsidR="00D5240C">
        <w:t xml:space="preserve"> in private domestic investment and higher personal spending on services</w:t>
      </w:r>
      <w:r w:rsidR="00D5240C" w:rsidRPr="002F1660">
        <w:t xml:space="preserve">. </w:t>
      </w:r>
      <w:r w:rsidR="00D5240C">
        <w:t xml:space="preserve">Imports again outpaced exports, moderating </w:t>
      </w:r>
      <w:r w:rsidR="003711BF">
        <w:t xml:space="preserve">the rise in </w:t>
      </w:r>
      <w:r w:rsidR="00D5240C">
        <w:t>real GDP, and government spending contracted at the state, local, and federal levels</w:t>
      </w:r>
      <w:r w:rsidR="00CD643D">
        <w:t>.</w:t>
      </w:r>
    </w:p>
    <w:p w14:paraId="74EC7CAF" w14:textId="3F418D95" w:rsidR="004D1C9D" w:rsidRDefault="00FD0B0D" w:rsidP="005117CA">
      <w:pPr>
        <w:jc w:val="center"/>
      </w:pPr>
      <w:r>
        <w:rPr>
          <w:noProof/>
        </w:rPr>
        <w:lastRenderedPageBreak/>
        <w:drawing>
          <wp:inline distT="0" distB="0" distL="0" distR="0" wp14:anchorId="36CEA9AB" wp14:editId="54724803">
            <wp:extent cx="4224655" cy="34874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487420"/>
                    </a:xfrm>
                    <a:prstGeom prst="rect">
                      <a:avLst/>
                    </a:prstGeom>
                    <a:noFill/>
                  </pic:spPr>
                </pic:pic>
              </a:graphicData>
            </a:graphic>
          </wp:inline>
        </w:drawing>
      </w:r>
    </w:p>
    <w:p w14:paraId="31033888" w14:textId="2550D95C" w:rsidR="004D1C9D" w:rsidRDefault="006331A2" w:rsidP="00174BCD">
      <w:r w:rsidRPr="006331A2">
        <w:t>T</w:t>
      </w:r>
      <w:r w:rsidR="00EF008E" w:rsidRPr="006331A2">
        <w:t>he Industrial Production Index</w:t>
      </w:r>
      <w:r w:rsidR="006A114D" w:rsidRPr="006331A2">
        <w:rPr>
          <w:rStyle w:val="FootnoteReference"/>
        </w:rPr>
        <w:footnoteReference w:id="6"/>
      </w:r>
      <w:r w:rsidR="00EF008E" w:rsidRPr="006331A2">
        <w:t xml:space="preserve"> </w:t>
      </w:r>
      <w:r w:rsidR="00B00E83" w:rsidRPr="006331A2">
        <w:t>stood</w:t>
      </w:r>
      <w:r w:rsidR="00DA5A96" w:rsidRPr="006331A2">
        <w:t xml:space="preserve"> at</w:t>
      </w:r>
      <w:r w:rsidR="008636F9" w:rsidRPr="006331A2">
        <w:t xml:space="preserve"> </w:t>
      </w:r>
      <w:r w:rsidR="006619DC" w:rsidRPr="006331A2">
        <w:t>10</w:t>
      </w:r>
      <w:r w:rsidR="006A687C">
        <w:t>5</w:t>
      </w:r>
      <w:r w:rsidR="006619DC" w:rsidRPr="006331A2">
        <w:t>.</w:t>
      </w:r>
      <w:r w:rsidR="006A687C">
        <w:t>72</w:t>
      </w:r>
      <w:r w:rsidRPr="006331A2">
        <w:t xml:space="preserve"> to end 2020</w:t>
      </w:r>
      <w:r w:rsidR="006619DC" w:rsidRPr="006331A2">
        <w:t>,</w:t>
      </w:r>
      <w:r w:rsidR="00AA651C" w:rsidRPr="006331A2">
        <w:t xml:space="preserve"> </w:t>
      </w:r>
      <w:r w:rsidR="006619DC" w:rsidRPr="006331A2">
        <w:t xml:space="preserve">up </w:t>
      </w:r>
      <w:r w:rsidR="006A687C">
        <w:t>3</w:t>
      </w:r>
      <w:r w:rsidR="006619DC" w:rsidRPr="006331A2">
        <w:t>.0</w:t>
      </w:r>
      <w:r w:rsidR="009E4A2E" w:rsidRPr="006331A2">
        <w:t xml:space="preserve">% </w:t>
      </w:r>
      <w:r w:rsidR="006A687C">
        <w:t>for the 4</w:t>
      </w:r>
      <w:r w:rsidR="006A687C" w:rsidRPr="006A687C">
        <w:rPr>
          <w:vertAlign w:val="superscript"/>
        </w:rPr>
        <w:t>th</w:t>
      </w:r>
      <w:r w:rsidR="006A687C">
        <w:t xml:space="preserve"> </w:t>
      </w:r>
      <w:r w:rsidR="009E4A2E" w:rsidRPr="006331A2">
        <w:t>quarter</w:t>
      </w:r>
      <w:r w:rsidR="001C1070" w:rsidRPr="006331A2">
        <w:t>.</w:t>
      </w:r>
      <w:r w:rsidR="008636F9">
        <w:t xml:space="preserve"> </w:t>
      </w:r>
      <w:r w:rsidR="006A687C">
        <w:t>More than half</w:t>
      </w:r>
      <w:r w:rsidR="006619DC">
        <w:t xml:space="preserve"> of the gain occurred in </w:t>
      </w:r>
      <w:r w:rsidR="006A687C">
        <w:t>December</w:t>
      </w:r>
      <w:r w:rsidR="006619DC">
        <w:t xml:space="preserve">, </w:t>
      </w:r>
      <w:r w:rsidR="001A5EDF">
        <w:t>with the index gaining 1.6% during the month</w:t>
      </w:r>
      <w:r w:rsidR="006A687C">
        <w:t xml:space="preserve"> </w:t>
      </w:r>
      <w:r w:rsidR="006619DC">
        <w:t xml:space="preserve">as </w:t>
      </w:r>
      <w:r w:rsidR="001A5EDF">
        <w:t>energy demand for heating bounced back from an unseasonably warm November. Factory production, particularly</w:t>
      </w:r>
      <w:r w:rsidR="000048BB">
        <w:t xml:space="preserve"> of</w:t>
      </w:r>
      <w:r w:rsidR="001A5EDF">
        <w:t xml:space="preserve"> plastics and rubber, also rose, as did oil and gas extraction</w:t>
      </w:r>
      <w:r w:rsidR="00E528F9">
        <w:t xml:space="preserve">. </w:t>
      </w:r>
      <w:r w:rsidR="001A5EDF">
        <w:t>Still, t</w:t>
      </w:r>
      <w:r w:rsidR="00E528F9">
        <w:t xml:space="preserve">he index </w:t>
      </w:r>
      <w:r w:rsidR="00BB226D">
        <w:t>remained</w:t>
      </w:r>
      <w:r w:rsidR="00FA283E">
        <w:t xml:space="preserve"> </w:t>
      </w:r>
      <w:r w:rsidR="001A5EDF">
        <w:t>3.6</w:t>
      </w:r>
      <w:r w:rsidR="00FA283E">
        <w:t>% lower</w:t>
      </w:r>
      <w:r w:rsidR="00332197">
        <w:t xml:space="preserve"> </w:t>
      </w:r>
      <w:r w:rsidR="00BB226D">
        <w:t xml:space="preserve">than in </w:t>
      </w:r>
      <w:r w:rsidR="001A5EDF">
        <w:t>December</w:t>
      </w:r>
      <w:r w:rsidR="00BB226D">
        <w:t xml:space="preserve"> 2019</w:t>
      </w:r>
      <w:r w:rsidR="00332197">
        <w:t>.</w:t>
      </w:r>
    </w:p>
    <w:p w14:paraId="149D5F1F" w14:textId="7397EDB4" w:rsidR="00172307" w:rsidRDefault="00FD0B0D" w:rsidP="00BA7A2C">
      <w:pPr>
        <w:jc w:val="center"/>
      </w:pPr>
      <w:r>
        <w:rPr>
          <w:noProof/>
        </w:rPr>
        <w:drawing>
          <wp:inline distT="0" distB="0" distL="0" distR="0" wp14:anchorId="7B0B86F5" wp14:editId="770AC797">
            <wp:extent cx="3816350" cy="2737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49D5F20" w14:textId="72147876" w:rsidR="00005111" w:rsidRPr="005261C1" w:rsidRDefault="00005111" w:rsidP="005261C1">
      <w:pPr>
        <w:pStyle w:val="Heading1"/>
      </w:pPr>
      <w:r w:rsidRPr="005261C1">
        <w:lastRenderedPageBreak/>
        <w:t>Interest Rates</w:t>
      </w:r>
    </w:p>
    <w:p w14:paraId="472CBB47" w14:textId="29AF5E7D" w:rsidR="00A96A6A" w:rsidRPr="00AE64EF" w:rsidRDefault="0092287E" w:rsidP="00005111">
      <w:pPr>
        <w:rPr>
          <w:color w:val="000000" w:themeColor="text1"/>
        </w:rPr>
      </w:pPr>
      <w:r>
        <w:t>While</w:t>
      </w:r>
      <w:r w:rsidR="008E1296">
        <w:t xml:space="preserve"> l</w:t>
      </w:r>
      <w:r w:rsidR="00022BB4">
        <w:t>ong-term treasury bond yields</w:t>
      </w:r>
      <w:r w:rsidR="00B65667">
        <w:rPr>
          <w:rStyle w:val="FootnoteReference"/>
        </w:rPr>
        <w:footnoteReference w:id="7"/>
      </w:r>
      <w:r w:rsidR="00022BB4">
        <w:t xml:space="preserve"> </w:t>
      </w:r>
      <w:r>
        <w:t xml:space="preserve">began to rise, short-term yields </w:t>
      </w:r>
      <w:r w:rsidR="006E6EAA">
        <w:t>remained near historic lows</w:t>
      </w:r>
      <w:r w:rsidR="008E1296">
        <w:t xml:space="preserve"> </w:t>
      </w:r>
      <w:r w:rsidR="00E528F9">
        <w:t>throughout</w:t>
      </w:r>
      <w:r w:rsidR="008E1296">
        <w:t xml:space="preserve"> the </w:t>
      </w:r>
      <w:r>
        <w:t>4</w:t>
      </w:r>
      <w:r w:rsidRPr="0092287E">
        <w:rPr>
          <w:vertAlign w:val="superscript"/>
        </w:rPr>
        <w:t>th</w:t>
      </w:r>
      <w:r>
        <w:t xml:space="preserve"> </w:t>
      </w:r>
      <w:r w:rsidR="008E1296">
        <w:t>quarter of 2020</w:t>
      </w:r>
      <w:r w:rsidR="00022BB4">
        <w:t>.</w:t>
      </w:r>
      <w:r>
        <w:t xml:space="preserve"> The mixed data </w:t>
      </w:r>
      <w:r w:rsidR="006B3D25">
        <w:t>echoed</w:t>
      </w:r>
      <w:r>
        <w:t xml:space="preserve"> investors’ </w:t>
      </w:r>
      <w:r w:rsidR="006B3D25">
        <w:t xml:space="preserve">intermingled </w:t>
      </w:r>
      <w:r>
        <w:t xml:space="preserve">optimism over new pandemic relief </w:t>
      </w:r>
      <w:r w:rsidR="006B3D25">
        <w:t>and fears over more contagious COVID-19 strains identified in late 2020.</w:t>
      </w:r>
      <w:r w:rsidR="00022BB4">
        <w:t xml:space="preserve"> </w:t>
      </w:r>
      <w:r w:rsidR="005E7A94">
        <w:t xml:space="preserve">The 1-year and 2-year annual treasury yields </w:t>
      </w:r>
      <w:r w:rsidR="00B65667">
        <w:t>ended the quarter</w:t>
      </w:r>
      <w:r w:rsidR="005E7A94">
        <w:t xml:space="preserve"> at </w:t>
      </w:r>
      <w:r w:rsidR="00B65667">
        <w:t>0.</w:t>
      </w:r>
      <w:r w:rsidR="00B34926">
        <w:t>1</w:t>
      </w:r>
      <w:r>
        <w:t>0</w:t>
      </w:r>
      <w:r w:rsidR="005E7A94">
        <w:t>%</w:t>
      </w:r>
      <w:r w:rsidR="006E6EAA">
        <w:t xml:space="preserve"> and 0.13%, respectively</w:t>
      </w:r>
      <w:r w:rsidR="005E7A94">
        <w:t>. T</w:t>
      </w:r>
      <w:r w:rsidR="0061080D" w:rsidRPr="0005726F">
        <w:t xml:space="preserve">he </w:t>
      </w:r>
      <w:r w:rsidR="005E7A94">
        <w:t xml:space="preserve">benchmark </w:t>
      </w:r>
      <w:r w:rsidR="00022BB4">
        <w:t>1</w:t>
      </w:r>
      <w:r w:rsidR="0061080D" w:rsidRPr="0005726F">
        <w:t xml:space="preserve">0-year treasury </w:t>
      </w:r>
      <w:r w:rsidR="005E7A94">
        <w:t>yielded</w:t>
      </w:r>
      <w:r w:rsidR="0061080D" w:rsidRPr="0005726F">
        <w:t xml:space="preserve"> </w:t>
      </w:r>
      <w:r w:rsidR="00B65667">
        <w:t>0.</w:t>
      </w:r>
      <w:r>
        <w:t>93</w:t>
      </w:r>
      <w:r w:rsidR="0061080D" w:rsidRPr="0005726F">
        <w:t>%</w:t>
      </w:r>
      <w:r w:rsidR="005E7A94">
        <w:t xml:space="preserve"> annually at the</w:t>
      </w:r>
      <w:r w:rsidR="00B65667">
        <w:t xml:space="preserve"> end of </w:t>
      </w:r>
      <w:r>
        <w:t>December</w:t>
      </w:r>
      <w:r w:rsidR="00B65667">
        <w:t xml:space="preserve"> 2020</w:t>
      </w:r>
      <w:r w:rsidR="005E7A94">
        <w:t xml:space="preserve">, while </w:t>
      </w:r>
      <w:r w:rsidR="00D851AB" w:rsidRPr="0005726F">
        <w:t xml:space="preserve">the </w:t>
      </w:r>
      <w:r w:rsidR="00022BB4">
        <w:t>3</w:t>
      </w:r>
      <w:r w:rsidR="00D851AB" w:rsidRPr="0005726F">
        <w:t xml:space="preserve">0-year treasury </w:t>
      </w:r>
      <w:r w:rsidR="00B65667">
        <w:t>yielded</w:t>
      </w:r>
      <w:r w:rsidR="00D851AB" w:rsidRPr="0005726F">
        <w:t xml:space="preserve"> </w:t>
      </w:r>
      <w:r w:rsidR="00B65667">
        <w:t>1.</w:t>
      </w:r>
      <w:r>
        <w:t>65</w:t>
      </w:r>
      <w:r w:rsidR="00D851AB" w:rsidRPr="0005726F">
        <w:t>%</w:t>
      </w:r>
      <w:r w:rsidR="00AE64EF" w:rsidRPr="007807DE">
        <w:rPr>
          <w:color w:val="000000" w:themeColor="text1"/>
        </w:rPr>
        <w:t>.</w:t>
      </w:r>
    </w:p>
    <w:p w14:paraId="0614E8BB" w14:textId="02B8797A" w:rsidR="004D1C9D" w:rsidRDefault="008E1296" w:rsidP="005117CA">
      <w:pPr>
        <w:jc w:val="center"/>
      </w:pPr>
      <w:r>
        <w:rPr>
          <w:noProof/>
        </w:rPr>
        <w:t xml:space="preserve"> </w:t>
      </w:r>
      <w:r w:rsidR="00FD0B0D">
        <w:rPr>
          <w:noProof/>
        </w:rPr>
        <w:drawing>
          <wp:inline distT="0" distB="0" distL="0" distR="0" wp14:anchorId="43C5BE1E" wp14:editId="6D05631E">
            <wp:extent cx="3493135" cy="2755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2755900"/>
                    </a:xfrm>
                    <a:prstGeom prst="rect">
                      <a:avLst/>
                    </a:prstGeom>
                    <a:noFill/>
                  </pic:spPr>
                </pic:pic>
              </a:graphicData>
            </a:graphic>
          </wp:inline>
        </w:drawing>
      </w:r>
    </w:p>
    <w:p w14:paraId="031CA932" w14:textId="387C1CC0" w:rsidR="00B00681" w:rsidRDefault="00171C8E" w:rsidP="00005111">
      <w:r w:rsidRPr="004709B0">
        <w:t xml:space="preserve">In </w:t>
      </w:r>
      <w:r w:rsidR="00B34926">
        <w:t xml:space="preserve">the </w:t>
      </w:r>
      <w:r w:rsidR="006B3D25">
        <w:t>4</w:t>
      </w:r>
      <w:r w:rsidR="006B3D25" w:rsidRPr="006B3D25">
        <w:rPr>
          <w:vertAlign w:val="superscript"/>
        </w:rPr>
        <w:t>th</w:t>
      </w:r>
      <w:r w:rsidR="006B3D25">
        <w:t xml:space="preserve"> </w:t>
      </w:r>
      <w:r w:rsidR="00B34926">
        <w:t>quarter of 2020</w:t>
      </w:r>
      <w:r w:rsidR="00FE4D42">
        <w:t>,</w:t>
      </w:r>
      <w:r w:rsidRPr="004709B0">
        <w:t xml:space="preserve"> the Federal Reserve </w:t>
      </w:r>
      <w:r w:rsidR="006B3D25">
        <w:t>continued to keep</w:t>
      </w:r>
      <w:r w:rsidR="003376CD" w:rsidRPr="004709B0">
        <w:t xml:space="preserve"> </w:t>
      </w:r>
      <w:r w:rsidR="00D851AB" w:rsidRPr="004709B0">
        <w:t>the federal funds target rate</w:t>
      </w:r>
      <w:r w:rsidR="00740863">
        <w:t xml:space="preserve"> </w:t>
      </w:r>
      <w:r w:rsidR="00B34926">
        <w:t>steady at</w:t>
      </w:r>
      <w:r w:rsidR="004709B0" w:rsidRPr="004709B0">
        <w:t xml:space="preserve"> </w:t>
      </w:r>
      <w:r w:rsidR="00624AEF">
        <w:t xml:space="preserve">a range of </w:t>
      </w:r>
      <w:r w:rsidR="00B65667">
        <w:t>0.0</w:t>
      </w:r>
      <w:r w:rsidR="005E7A94">
        <w:t>0</w:t>
      </w:r>
      <w:r w:rsidR="00624AEF">
        <w:t xml:space="preserve"> to </w:t>
      </w:r>
      <w:r w:rsidR="00B65667">
        <w:t>0.2</w:t>
      </w:r>
      <w:r w:rsidR="005E7A94">
        <w:t>5</w:t>
      </w:r>
      <w:r w:rsidR="004709B0" w:rsidRPr="004709B0">
        <w:t xml:space="preserve"> percent</w:t>
      </w:r>
      <w:r w:rsidR="00BA1CC0">
        <w:t xml:space="preserve">, pledging to </w:t>
      </w:r>
      <w:r w:rsidR="00E536DC">
        <w:t>continue its aggressive monetary policy stance</w:t>
      </w:r>
      <w:r w:rsidR="00BA1CC0">
        <w:t xml:space="preserve"> </w:t>
      </w:r>
      <w:proofErr w:type="gramStart"/>
      <w:r w:rsidR="00E536DC">
        <w:t>as long as</w:t>
      </w:r>
      <w:proofErr w:type="gramEnd"/>
      <w:r w:rsidR="00BA1CC0">
        <w:t xml:space="preserve"> </w:t>
      </w:r>
      <w:r w:rsidR="00AA236F">
        <w:t xml:space="preserve">U.S. </w:t>
      </w:r>
      <w:r w:rsidR="00E536DC">
        <w:t xml:space="preserve">employment and </w:t>
      </w:r>
      <w:r w:rsidR="00AA236F">
        <w:t xml:space="preserve">inflation </w:t>
      </w:r>
      <w:r w:rsidR="00E536DC">
        <w:t>continue to lag behind</w:t>
      </w:r>
      <w:r w:rsidR="006B792C">
        <w:t xml:space="preserve"> the Fed’s goals</w:t>
      </w:r>
      <w:r w:rsidR="000B0583">
        <w:t xml:space="preserve">. </w:t>
      </w:r>
      <w:r w:rsidR="003F5061">
        <w:t>The effective federal funds rate</w:t>
      </w:r>
      <w:r w:rsidR="003F5061">
        <w:rPr>
          <w:rStyle w:val="FootnoteReference"/>
        </w:rPr>
        <w:footnoteReference w:id="8"/>
      </w:r>
      <w:r w:rsidR="003F5061">
        <w:t xml:space="preserve"> as of </w:t>
      </w:r>
      <w:r w:rsidR="006B3D25">
        <w:t>December</w:t>
      </w:r>
      <w:r w:rsidR="00BA1CC0">
        <w:t xml:space="preserve"> </w:t>
      </w:r>
      <w:r w:rsidR="00B00E83">
        <w:t>wa</w:t>
      </w:r>
      <w:r w:rsidR="003F5061">
        <w:t xml:space="preserve">s </w:t>
      </w:r>
      <w:r w:rsidR="00955094">
        <w:t>0.</w:t>
      </w:r>
      <w:r w:rsidR="00BA1CC0">
        <w:t>0</w:t>
      </w:r>
      <w:r w:rsidR="006B792C">
        <w:t>9</w:t>
      </w:r>
      <w:r w:rsidR="003F5061">
        <w:t>%.</w:t>
      </w:r>
    </w:p>
    <w:p w14:paraId="515AD2F7" w14:textId="2CD5FB68" w:rsidR="004D1C9D" w:rsidRDefault="00FD0B0D" w:rsidP="00166C08">
      <w:pPr>
        <w:jc w:val="center"/>
      </w:pPr>
      <w:r>
        <w:rPr>
          <w:noProof/>
        </w:rPr>
        <w:lastRenderedPageBreak/>
        <w:drawing>
          <wp:inline distT="0" distB="0" distL="0" distR="0" wp14:anchorId="23E40A50" wp14:editId="08046CFE">
            <wp:extent cx="3493135"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7D026DBE" w14:textId="06712569" w:rsidR="004D1C9D" w:rsidRDefault="005117CA" w:rsidP="005261C1">
      <w:r>
        <w:t>T</w:t>
      </w:r>
      <w:r w:rsidR="002978F9" w:rsidRPr="003376CD">
        <w:t xml:space="preserve">he yield on the </w:t>
      </w:r>
      <w:r w:rsidR="0039196F">
        <w:t xml:space="preserve">benchmark </w:t>
      </w:r>
      <w:r w:rsidR="002978F9" w:rsidRPr="003376CD">
        <w:t>10-year U.S. treasury</w:t>
      </w:r>
      <w:r w:rsidR="004759DB">
        <w:rPr>
          <w:rStyle w:val="FootnoteReference"/>
        </w:rPr>
        <w:footnoteReference w:id="9"/>
      </w:r>
      <w:r w:rsidR="002978F9" w:rsidRPr="003376CD">
        <w:t xml:space="preserve"> </w:t>
      </w:r>
      <w:r w:rsidR="006B792C">
        <w:t>rose</w:t>
      </w:r>
      <w:r w:rsidR="00D22D6A">
        <w:t xml:space="preserve"> 0.</w:t>
      </w:r>
      <w:r w:rsidR="00E536DC">
        <w:t>24</w:t>
      </w:r>
      <w:r>
        <w:t xml:space="preserve"> percentage points </w:t>
      </w:r>
      <w:r w:rsidR="00D22D6A">
        <w:t xml:space="preserve">during the </w:t>
      </w:r>
      <w:r w:rsidR="00E536DC">
        <w:t>4</w:t>
      </w:r>
      <w:r w:rsidR="00E536DC" w:rsidRPr="00E536DC">
        <w:rPr>
          <w:vertAlign w:val="superscript"/>
        </w:rPr>
        <w:t>th</w:t>
      </w:r>
      <w:r w:rsidR="00E536DC">
        <w:t xml:space="preserve"> </w:t>
      </w:r>
      <w:r>
        <w:t>quarter</w:t>
      </w:r>
      <w:r w:rsidR="00B00E83">
        <w:t xml:space="preserve"> </w:t>
      </w:r>
      <w:r w:rsidR="000B0583">
        <w:t xml:space="preserve">to end </w:t>
      </w:r>
      <w:r w:rsidR="00E536DC">
        <w:t>December</w:t>
      </w:r>
      <w:r w:rsidR="00CA112C">
        <w:t xml:space="preserve"> </w:t>
      </w:r>
      <w:r w:rsidR="00BF0B27">
        <w:t xml:space="preserve">2020 </w:t>
      </w:r>
      <w:r w:rsidR="00CA112C">
        <w:t xml:space="preserve">at </w:t>
      </w:r>
      <w:r w:rsidR="00955094">
        <w:t>0.</w:t>
      </w:r>
      <w:r w:rsidR="00E536DC">
        <w:t>93</w:t>
      </w:r>
      <w:r w:rsidR="00CA112C">
        <w:t>%</w:t>
      </w:r>
      <w:r w:rsidR="00D22D6A">
        <w:t xml:space="preserve">, well </w:t>
      </w:r>
      <w:r w:rsidR="00071875" w:rsidRPr="003376CD">
        <w:t xml:space="preserve">below the average yield of </w:t>
      </w:r>
      <w:r w:rsidR="003376CD" w:rsidRPr="003376CD">
        <w:t>4.</w:t>
      </w:r>
      <w:r w:rsidR="00E536DC">
        <w:t>26</w:t>
      </w:r>
      <w:r w:rsidR="004965CE" w:rsidRPr="003376CD">
        <w:t>% over the last 30 years</w:t>
      </w:r>
      <w:r w:rsidR="00CA112C">
        <w:t xml:space="preserve"> and</w:t>
      </w:r>
      <w:r w:rsidR="000874E3" w:rsidRPr="003376CD">
        <w:t xml:space="preserve"> the </w:t>
      </w:r>
      <w:r w:rsidR="006B792C">
        <w:t>1.</w:t>
      </w:r>
      <w:r w:rsidR="00E536DC">
        <w:t>92</w:t>
      </w:r>
      <w:r w:rsidR="000874E3" w:rsidRPr="003376CD">
        <w:t xml:space="preserve">% </w:t>
      </w:r>
      <w:r w:rsidR="0016688A" w:rsidRPr="003376CD">
        <w:t xml:space="preserve">yield </w:t>
      </w:r>
      <w:r w:rsidR="00C9379B">
        <w:t xml:space="preserve">from </w:t>
      </w:r>
      <w:r w:rsidR="00F3628D">
        <w:t>the same period last year</w:t>
      </w:r>
      <w:r w:rsidR="00CB629F" w:rsidRPr="003376CD">
        <w:t>.</w:t>
      </w:r>
    </w:p>
    <w:p w14:paraId="67433862" w14:textId="7AA80D88" w:rsidR="004D1C9D" w:rsidRDefault="00FD0B0D" w:rsidP="005117CA">
      <w:pPr>
        <w:jc w:val="center"/>
      </w:pPr>
      <w:r>
        <w:rPr>
          <w:noProof/>
        </w:rPr>
        <w:drawing>
          <wp:inline distT="0" distB="0" distL="0" distR="0" wp14:anchorId="721F0E96" wp14:editId="0CB79A53">
            <wp:extent cx="3499485" cy="27495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9485" cy="2749550"/>
                    </a:xfrm>
                    <a:prstGeom prst="rect">
                      <a:avLst/>
                    </a:prstGeom>
                    <a:noFill/>
                  </pic:spPr>
                </pic:pic>
              </a:graphicData>
            </a:graphic>
          </wp:inline>
        </w:drawing>
      </w:r>
    </w:p>
    <w:p w14:paraId="62B8B6AA" w14:textId="26B3F61C" w:rsidR="00A96A6A" w:rsidRDefault="00F02B3A" w:rsidP="00460436">
      <w:r w:rsidRPr="007E5B14">
        <w:t xml:space="preserve">Corporate bond yields </w:t>
      </w:r>
      <w:r w:rsidR="00822038">
        <w:t>continued to decline</w:t>
      </w:r>
      <w:r w:rsidR="00D22D6A">
        <w:t xml:space="preserve"> </w:t>
      </w:r>
      <w:r w:rsidR="006B792C">
        <w:t>in</w:t>
      </w:r>
      <w:r w:rsidRPr="007E5B14">
        <w:t xml:space="preserve"> th</w:t>
      </w:r>
      <w:r w:rsidR="00D22D6A">
        <w:t>e</w:t>
      </w:r>
      <w:r w:rsidRPr="007E5B14">
        <w:t xml:space="preserve"> </w:t>
      </w:r>
      <w:r w:rsidR="00E536DC">
        <w:t>4</w:t>
      </w:r>
      <w:r w:rsidR="00E536DC" w:rsidRPr="00E536DC">
        <w:rPr>
          <w:vertAlign w:val="superscript"/>
        </w:rPr>
        <w:t>th</w:t>
      </w:r>
      <w:r w:rsidR="00E536DC">
        <w:t xml:space="preserve"> </w:t>
      </w:r>
      <w:r w:rsidRPr="007E5B14">
        <w:t>quarter</w:t>
      </w:r>
      <w:r w:rsidR="00BF0B27">
        <w:t xml:space="preserve"> of 2020</w:t>
      </w:r>
      <w:r w:rsidRPr="007E5B14">
        <w:t>, with the Moody’s Baa Corpor</w:t>
      </w:r>
      <w:r w:rsidR="00102080" w:rsidRPr="007E5B14">
        <w:t xml:space="preserve">ate Bond Yield </w:t>
      </w:r>
      <w:r w:rsidR="004E3393" w:rsidRPr="007E5B14">
        <w:t>Index</w:t>
      </w:r>
      <w:r w:rsidR="004E5EC0">
        <w:rPr>
          <w:rStyle w:val="FootnoteReference"/>
        </w:rPr>
        <w:footnoteReference w:id="10"/>
      </w:r>
      <w:r w:rsidR="004E3393" w:rsidRPr="007E5B14">
        <w:t xml:space="preserve"> </w:t>
      </w:r>
      <w:r w:rsidR="00102080" w:rsidRPr="007E5B14">
        <w:t>ending the quarter</w:t>
      </w:r>
      <w:r w:rsidRPr="007E5B14">
        <w:t xml:space="preserve"> at </w:t>
      </w:r>
      <w:r w:rsidR="00D22D6A">
        <w:t>3.</w:t>
      </w:r>
      <w:r w:rsidR="00E536DC">
        <w:t>16</w:t>
      </w:r>
      <w:r w:rsidR="004965CE" w:rsidRPr="007E5B14">
        <w:t xml:space="preserve">% compared to </w:t>
      </w:r>
      <w:r w:rsidR="006B792C">
        <w:t>3.</w:t>
      </w:r>
      <w:r w:rsidR="00E536DC">
        <w:t>36</w:t>
      </w:r>
      <w:r w:rsidRPr="007E5B14">
        <w:t xml:space="preserve">% for the </w:t>
      </w:r>
      <w:r w:rsidR="00E536DC">
        <w:t>3</w:t>
      </w:r>
      <w:r w:rsidR="00E536DC" w:rsidRPr="00E536DC">
        <w:rPr>
          <w:vertAlign w:val="superscript"/>
        </w:rPr>
        <w:t>rd</w:t>
      </w:r>
      <w:r w:rsidR="00E536DC">
        <w:t xml:space="preserve"> </w:t>
      </w:r>
      <w:r w:rsidRPr="007E5B14">
        <w:t>quarter</w:t>
      </w:r>
      <w:r w:rsidR="00823E2B">
        <w:t xml:space="preserve">. </w:t>
      </w:r>
      <w:r w:rsidR="006B792C">
        <w:t xml:space="preserve">The </w:t>
      </w:r>
      <w:r w:rsidR="000048BB">
        <w:t>December</w:t>
      </w:r>
      <w:r w:rsidR="006B792C">
        <w:t xml:space="preserve"> rate </w:t>
      </w:r>
      <w:r w:rsidR="00550C7C">
        <w:t>is lower than the</w:t>
      </w:r>
      <w:r w:rsidR="00285F67">
        <w:t xml:space="preserve"> </w:t>
      </w:r>
      <w:r w:rsidR="006B792C">
        <w:t>3.</w:t>
      </w:r>
      <w:r w:rsidR="00E536DC">
        <w:t>88</w:t>
      </w:r>
      <w:r w:rsidR="00CD40BC">
        <w:t xml:space="preserve">% yield from the </w:t>
      </w:r>
      <w:r w:rsidR="00CD40BC" w:rsidRPr="007E5B14">
        <w:t>same period last year</w:t>
      </w:r>
      <w:r w:rsidR="00323C75">
        <w:t>, as well as its 30-year average yield of 6.</w:t>
      </w:r>
      <w:r w:rsidR="00822038">
        <w:t>65</w:t>
      </w:r>
      <w:r w:rsidR="00323C75">
        <w:t>%</w:t>
      </w:r>
      <w:r w:rsidRPr="00AF6040">
        <w:t>.</w:t>
      </w:r>
    </w:p>
    <w:p w14:paraId="7CE57D35" w14:textId="681A0747" w:rsidR="005117CA" w:rsidRDefault="00FD0B0D" w:rsidP="005117CA">
      <w:pPr>
        <w:jc w:val="center"/>
      </w:pPr>
      <w:r>
        <w:rPr>
          <w:noProof/>
        </w:rPr>
        <w:lastRenderedPageBreak/>
        <w:drawing>
          <wp:inline distT="0" distB="0" distL="0" distR="0" wp14:anchorId="07E25997" wp14:editId="5BBC767A">
            <wp:extent cx="3493135" cy="274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2F" w14:textId="479C442E" w:rsidR="00005111" w:rsidRDefault="00005111" w:rsidP="005261C1">
      <w:pPr>
        <w:pStyle w:val="Heading1"/>
      </w:pPr>
      <w:r>
        <w:t>Employment</w:t>
      </w:r>
    </w:p>
    <w:p w14:paraId="149D5F31" w14:textId="197891BE" w:rsidR="00C05052" w:rsidRPr="00D74F6D" w:rsidRDefault="00A01E81" w:rsidP="00B84330">
      <w:pPr>
        <w:rPr>
          <w:color w:val="000000" w:themeColor="text1"/>
        </w:rPr>
      </w:pPr>
      <w:r>
        <w:t xml:space="preserve">Labor market gains </w:t>
      </w:r>
      <w:r w:rsidR="000048BB">
        <w:t>tapered off</w:t>
      </w:r>
      <w:r>
        <w:t xml:space="preserve"> in the 4</w:t>
      </w:r>
      <w:r w:rsidRPr="00A01E81">
        <w:rPr>
          <w:vertAlign w:val="superscript"/>
        </w:rPr>
        <w:t>th</w:t>
      </w:r>
      <w:r>
        <w:t xml:space="preserve"> quarter of 2020. </w:t>
      </w:r>
      <w:r w:rsidR="00D839AA">
        <w:t>T</w:t>
      </w:r>
      <w:r w:rsidR="00D03F0F">
        <w:t xml:space="preserve">he </w:t>
      </w:r>
      <w:r w:rsidR="00F24605">
        <w:t>U</w:t>
      </w:r>
      <w:r w:rsidR="00BC00A7">
        <w:t>.</w:t>
      </w:r>
      <w:r w:rsidR="00F24605">
        <w:t>S</w:t>
      </w:r>
      <w:r w:rsidR="00BC00A7">
        <w:t>.</w:t>
      </w:r>
      <w:r w:rsidR="00F24605">
        <w:t xml:space="preserve"> </w:t>
      </w:r>
      <w:r w:rsidR="00D74F6D">
        <w:t>unemployment rate</w:t>
      </w:r>
      <w:r w:rsidR="00D03F0F">
        <w:t xml:space="preserve"> </w:t>
      </w:r>
      <w:r>
        <w:t>fell early in the</w:t>
      </w:r>
      <w:r w:rsidR="00323C75">
        <w:t xml:space="preserve"> </w:t>
      </w:r>
      <w:r>
        <w:t>quarter</w:t>
      </w:r>
      <w:r w:rsidR="00B55FC5">
        <w:t xml:space="preserve">, then held steady </w:t>
      </w:r>
      <w:r w:rsidR="00323C75">
        <w:t>well above pre-pandemic levels</w:t>
      </w:r>
      <w:r>
        <w:t xml:space="preserve"> in December 2020</w:t>
      </w:r>
      <w:r w:rsidR="00105413">
        <w:rPr>
          <w:color w:val="000000" w:themeColor="text1"/>
        </w:rPr>
        <w:t xml:space="preserve">. </w:t>
      </w:r>
      <w:r w:rsidR="00323C75">
        <w:rPr>
          <w:color w:val="000000" w:themeColor="text1"/>
        </w:rPr>
        <w:t xml:space="preserve">Similarly, </w:t>
      </w:r>
      <w:r w:rsidR="00BF0B27">
        <w:rPr>
          <w:color w:val="000000" w:themeColor="text1"/>
        </w:rPr>
        <w:t xml:space="preserve">while </w:t>
      </w:r>
      <w:r w:rsidR="00323C75">
        <w:rPr>
          <w:color w:val="000000" w:themeColor="text1"/>
        </w:rPr>
        <w:t>the</w:t>
      </w:r>
      <w:r w:rsidR="001E15B0">
        <w:rPr>
          <w:color w:val="000000" w:themeColor="text1"/>
        </w:rPr>
        <w:t xml:space="preserve"> U.S. </w:t>
      </w:r>
      <w:r w:rsidR="00323C75">
        <w:rPr>
          <w:color w:val="000000" w:themeColor="text1"/>
        </w:rPr>
        <w:t>regained</w:t>
      </w:r>
      <w:r w:rsidR="001E15B0">
        <w:rPr>
          <w:color w:val="000000" w:themeColor="text1"/>
        </w:rPr>
        <w:t xml:space="preserve"> </w:t>
      </w:r>
      <w:r>
        <w:rPr>
          <w:color w:val="000000" w:themeColor="text1"/>
        </w:rPr>
        <w:t>850</w:t>
      </w:r>
      <w:r w:rsidR="001E15B0">
        <w:rPr>
          <w:color w:val="000000" w:themeColor="text1"/>
        </w:rPr>
        <w:t xml:space="preserve"> </w:t>
      </w:r>
      <w:r>
        <w:rPr>
          <w:color w:val="000000" w:themeColor="text1"/>
        </w:rPr>
        <w:t>thousand</w:t>
      </w:r>
      <w:r w:rsidR="001E15B0">
        <w:rPr>
          <w:color w:val="000000" w:themeColor="text1"/>
        </w:rPr>
        <w:t xml:space="preserve"> jobs </w:t>
      </w:r>
      <w:r w:rsidR="00323C75">
        <w:rPr>
          <w:color w:val="000000" w:themeColor="text1"/>
        </w:rPr>
        <w:t>during</w:t>
      </w:r>
      <w:r w:rsidR="00D31166">
        <w:rPr>
          <w:color w:val="000000" w:themeColor="text1"/>
        </w:rPr>
        <w:t xml:space="preserve"> the </w:t>
      </w:r>
      <w:r>
        <w:rPr>
          <w:color w:val="000000" w:themeColor="text1"/>
        </w:rPr>
        <w:t>4</w:t>
      </w:r>
      <w:r w:rsidRPr="00A01E81">
        <w:rPr>
          <w:color w:val="000000" w:themeColor="text1"/>
          <w:vertAlign w:val="superscript"/>
        </w:rPr>
        <w:t>th</w:t>
      </w:r>
      <w:r>
        <w:rPr>
          <w:color w:val="000000" w:themeColor="text1"/>
        </w:rPr>
        <w:t xml:space="preserve"> </w:t>
      </w:r>
      <w:r w:rsidR="00D31166">
        <w:rPr>
          <w:color w:val="000000" w:themeColor="text1"/>
        </w:rPr>
        <w:t>quarter</w:t>
      </w:r>
      <w:r w:rsidR="00BF0B27">
        <w:rPr>
          <w:color w:val="000000" w:themeColor="text1"/>
        </w:rPr>
        <w:t>,</w:t>
      </w:r>
      <w:r w:rsidR="00323C75">
        <w:rPr>
          <w:color w:val="000000" w:themeColor="text1"/>
        </w:rPr>
        <w:t xml:space="preserve"> </w:t>
      </w:r>
      <w:r w:rsidR="001E15B0">
        <w:rPr>
          <w:color w:val="000000" w:themeColor="text1"/>
        </w:rPr>
        <w:t>t</w:t>
      </w:r>
      <w:r w:rsidR="00102080" w:rsidRPr="00865CE8">
        <w:rPr>
          <w:color w:val="000000" w:themeColor="text1"/>
        </w:rPr>
        <w:t xml:space="preserve">otal </w:t>
      </w:r>
      <w:r w:rsidR="00DB663A" w:rsidRPr="00D74F6D">
        <w:rPr>
          <w:color w:val="000000" w:themeColor="text1"/>
        </w:rPr>
        <w:t>nonfarm payrolls</w:t>
      </w:r>
      <w:r w:rsidR="0052077C" w:rsidRPr="00D74F6D">
        <w:rPr>
          <w:rStyle w:val="FootnoteReference"/>
          <w:color w:val="000000" w:themeColor="text1"/>
        </w:rPr>
        <w:footnoteReference w:id="11"/>
      </w:r>
      <w:r w:rsidR="00DB663A" w:rsidRPr="00D74F6D">
        <w:rPr>
          <w:color w:val="000000" w:themeColor="text1"/>
        </w:rPr>
        <w:t xml:space="preserve"> </w:t>
      </w:r>
      <w:r w:rsidR="00BF0B27">
        <w:rPr>
          <w:color w:val="000000" w:themeColor="text1"/>
        </w:rPr>
        <w:t xml:space="preserve">in </w:t>
      </w:r>
      <w:r>
        <w:rPr>
          <w:color w:val="000000" w:themeColor="text1"/>
        </w:rPr>
        <w:t>December</w:t>
      </w:r>
      <w:r w:rsidR="00BF0B27">
        <w:rPr>
          <w:color w:val="000000" w:themeColor="text1"/>
        </w:rPr>
        <w:t xml:space="preserve"> were still</w:t>
      </w:r>
      <w:r w:rsidR="00323C75">
        <w:rPr>
          <w:color w:val="000000" w:themeColor="text1"/>
        </w:rPr>
        <w:t xml:space="preserve"> </w:t>
      </w:r>
      <w:r>
        <w:rPr>
          <w:color w:val="000000" w:themeColor="text1"/>
        </w:rPr>
        <w:t>9.8</w:t>
      </w:r>
      <w:r w:rsidR="00323C75">
        <w:rPr>
          <w:color w:val="000000" w:themeColor="text1"/>
        </w:rPr>
        <w:t xml:space="preserve"> million jobs below </w:t>
      </w:r>
      <w:r w:rsidR="00B55FC5">
        <w:rPr>
          <w:color w:val="000000" w:themeColor="text1"/>
        </w:rPr>
        <w:t xml:space="preserve">February’s </w:t>
      </w:r>
      <w:r w:rsidR="00323C75">
        <w:rPr>
          <w:color w:val="000000" w:themeColor="text1"/>
        </w:rPr>
        <w:t xml:space="preserve">pre-pandemic </w:t>
      </w:r>
      <w:r w:rsidR="00B55FC5">
        <w:rPr>
          <w:color w:val="000000" w:themeColor="text1"/>
        </w:rPr>
        <w:t>peak</w:t>
      </w:r>
      <w:r w:rsidR="00572F03">
        <w:rPr>
          <w:color w:val="000000" w:themeColor="text1"/>
        </w:rPr>
        <w:t xml:space="preserve">. </w:t>
      </w:r>
      <w:r w:rsidR="00F70A8F">
        <w:rPr>
          <w:color w:val="000000" w:themeColor="text1"/>
        </w:rPr>
        <w:t xml:space="preserve">The largest </w:t>
      </w:r>
      <w:r w:rsidR="003C1A72">
        <w:rPr>
          <w:color w:val="000000" w:themeColor="text1"/>
        </w:rPr>
        <w:t>4</w:t>
      </w:r>
      <w:r w:rsidR="003C1A72" w:rsidRPr="003C1A72">
        <w:rPr>
          <w:color w:val="000000" w:themeColor="text1"/>
          <w:vertAlign w:val="superscript"/>
        </w:rPr>
        <w:t>th</w:t>
      </w:r>
      <w:r w:rsidR="00162E77">
        <w:rPr>
          <w:color w:val="000000" w:themeColor="text1"/>
        </w:rPr>
        <w:t xml:space="preserve">-quarter payroll </w:t>
      </w:r>
      <w:r w:rsidR="00BF0B27">
        <w:rPr>
          <w:color w:val="000000" w:themeColor="text1"/>
        </w:rPr>
        <w:t>increases</w:t>
      </w:r>
      <w:r w:rsidR="00F70A8F">
        <w:rPr>
          <w:color w:val="000000" w:themeColor="text1"/>
        </w:rPr>
        <w:t xml:space="preserve"> were in </w:t>
      </w:r>
      <w:r w:rsidR="003C1A72">
        <w:rPr>
          <w:color w:val="000000" w:themeColor="text1"/>
        </w:rPr>
        <w:t>professional and business services</w:t>
      </w:r>
      <w:r w:rsidR="00F70A8F">
        <w:rPr>
          <w:color w:val="000000" w:themeColor="text1"/>
        </w:rPr>
        <w:t xml:space="preserve">, especially </w:t>
      </w:r>
      <w:r w:rsidR="003C1A72">
        <w:rPr>
          <w:color w:val="000000" w:themeColor="text1"/>
        </w:rPr>
        <w:t>temporary help</w:t>
      </w:r>
      <w:r w:rsidR="00F70A8F">
        <w:rPr>
          <w:color w:val="000000" w:themeColor="text1"/>
        </w:rPr>
        <w:t>;</w:t>
      </w:r>
      <w:r w:rsidR="00D30343">
        <w:rPr>
          <w:color w:val="000000" w:themeColor="text1"/>
        </w:rPr>
        <w:t xml:space="preserve"> transportation and warehousing; and</w:t>
      </w:r>
      <w:r w:rsidR="00F70A8F">
        <w:rPr>
          <w:color w:val="000000" w:themeColor="text1"/>
        </w:rPr>
        <w:t xml:space="preserve"> </w:t>
      </w:r>
      <w:r w:rsidR="00162E77">
        <w:rPr>
          <w:color w:val="000000" w:themeColor="text1"/>
        </w:rPr>
        <w:t>retail trade</w:t>
      </w:r>
      <w:r w:rsidR="003E18DF">
        <w:rPr>
          <w:color w:val="000000" w:themeColor="text1"/>
        </w:rPr>
        <w:t xml:space="preserve">. </w:t>
      </w:r>
      <w:r w:rsidR="00572F03">
        <w:rPr>
          <w:color w:val="000000" w:themeColor="text1"/>
        </w:rPr>
        <w:t xml:space="preserve">Payrolls </w:t>
      </w:r>
      <w:r>
        <w:rPr>
          <w:color w:val="000000" w:themeColor="text1"/>
        </w:rPr>
        <w:t xml:space="preserve">began to dip again </w:t>
      </w:r>
      <w:r w:rsidR="00D30343">
        <w:rPr>
          <w:color w:val="000000" w:themeColor="text1"/>
        </w:rPr>
        <w:t xml:space="preserve">in </w:t>
      </w:r>
      <w:r>
        <w:rPr>
          <w:color w:val="000000" w:themeColor="text1"/>
        </w:rPr>
        <w:t>Decembe</w:t>
      </w:r>
      <w:r w:rsidR="00162E77">
        <w:rPr>
          <w:color w:val="000000" w:themeColor="text1"/>
        </w:rPr>
        <w:t xml:space="preserve">r </w:t>
      </w:r>
      <w:r w:rsidR="00BF0B27">
        <w:rPr>
          <w:color w:val="000000" w:themeColor="text1"/>
        </w:rPr>
        <w:t>2020</w:t>
      </w:r>
      <w:r>
        <w:rPr>
          <w:color w:val="000000" w:themeColor="text1"/>
        </w:rPr>
        <w:t>, down 140 thousand</w:t>
      </w:r>
      <w:r w:rsidR="00B55FC5">
        <w:rPr>
          <w:color w:val="000000" w:themeColor="text1"/>
        </w:rPr>
        <w:t xml:space="preserve"> jobs; losses were </w:t>
      </w:r>
      <w:r w:rsidR="00D30343">
        <w:rPr>
          <w:color w:val="000000" w:themeColor="text1"/>
        </w:rPr>
        <w:t>led by leisure and hospitality as a winter COVID</w:t>
      </w:r>
      <w:r w:rsidR="00A6114B">
        <w:rPr>
          <w:color w:val="000000" w:themeColor="text1"/>
        </w:rPr>
        <w:t>-19</w:t>
      </w:r>
      <w:r w:rsidR="00D30343">
        <w:rPr>
          <w:color w:val="000000" w:themeColor="text1"/>
        </w:rPr>
        <w:t xml:space="preserve"> surge forced a return to restrictions. At the end of 2020, payrolls</w:t>
      </w:r>
      <w:r w:rsidR="00162E77">
        <w:rPr>
          <w:color w:val="000000" w:themeColor="text1"/>
        </w:rPr>
        <w:t xml:space="preserve"> </w:t>
      </w:r>
      <w:r w:rsidR="00D30343">
        <w:rPr>
          <w:color w:val="000000" w:themeColor="text1"/>
        </w:rPr>
        <w:t>were</w:t>
      </w:r>
      <w:r w:rsidR="00BE1260">
        <w:rPr>
          <w:color w:val="000000" w:themeColor="text1"/>
        </w:rPr>
        <w:t xml:space="preserve"> </w:t>
      </w:r>
      <w:r w:rsidR="00162E77">
        <w:rPr>
          <w:color w:val="000000" w:themeColor="text1"/>
        </w:rPr>
        <w:t>9</w:t>
      </w:r>
      <w:r w:rsidR="003E18DF">
        <w:rPr>
          <w:color w:val="000000" w:themeColor="text1"/>
        </w:rPr>
        <w:t>.</w:t>
      </w:r>
      <w:r>
        <w:rPr>
          <w:color w:val="000000" w:themeColor="text1"/>
        </w:rPr>
        <w:t>4</w:t>
      </w:r>
      <w:r w:rsidR="00572F03">
        <w:rPr>
          <w:color w:val="000000" w:themeColor="text1"/>
        </w:rPr>
        <w:t xml:space="preserve"> million </w:t>
      </w:r>
      <w:r w:rsidR="003E18DF">
        <w:rPr>
          <w:color w:val="000000" w:themeColor="text1"/>
        </w:rPr>
        <w:t>below</w:t>
      </w:r>
      <w:r w:rsidR="00572F03">
        <w:rPr>
          <w:color w:val="000000" w:themeColor="text1"/>
        </w:rPr>
        <w:t xml:space="preserve"> </w:t>
      </w:r>
      <w:r w:rsidR="00D30343">
        <w:rPr>
          <w:color w:val="000000" w:themeColor="text1"/>
        </w:rPr>
        <w:t>the previous</w:t>
      </w:r>
      <w:r w:rsidR="003E18DF">
        <w:rPr>
          <w:color w:val="000000" w:themeColor="text1"/>
        </w:rPr>
        <w:t xml:space="preserve"> </w:t>
      </w:r>
      <w:r>
        <w:rPr>
          <w:color w:val="000000" w:themeColor="text1"/>
        </w:rPr>
        <w:t>December’s</w:t>
      </w:r>
      <w:r w:rsidR="003E18DF">
        <w:rPr>
          <w:color w:val="000000" w:themeColor="text1"/>
        </w:rPr>
        <w:t xml:space="preserve"> levels</w:t>
      </w:r>
      <w:r w:rsidR="00572F03">
        <w:rPr>
          <w:color w:val="000000" w:themeColor="text1"/>
        </w:rPr>
        <w:t>.</w:t>
      </w:r>
    </w:p>
    <w:p w14:paraId="149D5F33" w14:textId="600377F7" w:rsidR="00B84330" w:rsidRDefault="00FD0B0D" w:rsidP="004D099A">
      <w:pPr>
        <w:jc w:val="center"/>
      </w:pPr>
      <w:r>
        <w:rPr>
          <w:noProof/>
        </w:rPr>
        <w:lastRenderedPageBreak/>
        <w:drawing>
          <wp:inline distT="0" distB="0" distL="0" distR="0" wp14:anchorId="75EC07A9" wp14:editId="59DF210B">
            <wp:extent cx="3846830" cy="27432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6830" cy="2743200"/>
                    </a:xfrm>
                    <a:prstGeom prst="rect">
                      <a:avLst/>
                    </a:prstGeom>
                    <a:noFill/>
                  </pic:spPr>
                </pic:pic>
              </a:graphicData>
            </a:graphic>
          </wp:inline>
        </w:drawing>
      </w:r>
    </w:p>
    <w:p w14:paraId="0D3BFDA8" w14:textId="7B878C8C" w:rsidR="00A96A6A" w:rsidRDefault="00D74F6D" w:rsidP="00005111">
      <w:r>
        <w:t>The</w:t>
      </w:r>
      <w:r w:rsidR="00C05052" w:rsidRPr="00925F58">
        <w:t xml:space="preserve"> unemp</w:t>
      </w:r>
      <w:r w:rsidR="00F81F49" w:rsidRPr="00925F58">
        <w:t>loyment rate</w:t>
      </w:r>
      <w:r w:rsidR="00C937ED">
        <w:rPr>
          <w:rStyle w:val="FootnoteReference"/>
        </w:rPr>
        <w:footnoteReference w:id="12"/>
      </w:r>
      <w:r w:rsidR="00F81F49" w:rsidRPr="00925F58">
        <w:t xml:space="preserve"> </w:t>
      </w:r>
      <w:r w:rsidR="00162E77">
        <w:t>fell t</w:t>
      </w:r>
      <w:r w:rsidR="00D30343">
        <w:t>o 6.7</w:t>
      </w:r>
      <w:r w:rsidR="00162E77">
        <w:t xml:space="preserve">% </w:t>
      </w:r>
      <w:r w:rsidR="00D30343">
        <w:t>by November</w:t>
      </w:r>
      <w:r w:rsidR="00162E77">
        <w:t xml:space="preserve"> 2020</w:t>
      </w:r>
      <w:r w:rsidR="00D30343">
        <w:t>, then remained the same in December</w:t>
      </w:r>
      <w:r w:rsidR="001E15B0">
        <w:rPr>
          <w:color w:val="000000" w:themeColor="text1"/>
        </w:rPr>
        <w:t>.</w:t>
      </w:r>
      <w:r w:rsidR="001E15B0">
        <w:t xml:space="preserve"> </w:t>
      </w:r>
      <w:r w:rsidR="003E18DF">
        <w:t xml:space="preserve">Those reporting temporary layoffs </w:t>
      </w:r>
      <w:r w:rsidR="00D30343">
        <w:t>rose</w:t>
      </w:r>
      <w:r w:rsidR="003E18DF">
        <w:t xml:space="preserve"> by </w:t>
      </w:r>
      <w:r w:rsidR="00D30343">
        <w:t>277 thousand</w:t>
      </w:r>
      <w:r w:rsidR="003E18DF">
        <w:t xml:space="preserve"> in </w:t>
      </w:r>
      <w:r w:rsidR="000048BB">
        <w:t>December</w:t>
      </w:r>
      <w:r w:rsidR="003E18DF">
        <w:t xml:space="preserve">, </w:t>
      </w:r>
      <w:r w:rsidR="00B55FC5">
        <w:t>while</w:t>
      </w:r>
      <w:r w:rsidR="003E18DF">
        <w:t xml:space="preserve"> </w:t>
      </w:r>
      <w:r w:rsidR="00982654">
        <w:t xml:space="preserve">those experiencing </w:t>
      </w:r>
      <w:r w:rsidR="003E18DF">
        <w:t>permanent job loss</w:t>
      </w:r>
      <w:r w:rsidR="00982654">
        <w:t>es</w:t>
      </w:r>
      <w:r w:rsidR="003E18DF">
        <w:t xml:space="preserve"> </w:t>
      </w:r>
      <w:r w:rsidR="00D30343">
        <w:t>fell</w:t>
      </w:r>
      <w:r w:rsidR="00BF0B27">
        <w:t xml:space="preserve"> by</w:t>
      </w:r>
      <w:r w:rsidR="00982654">
        <w:t xml:space="preserve"> </w:t>
      </w:r>
      <w:r w:rsidR="00D30343">
        <w:t>348</w:t>
      </w:r>
      <w:r w:rsidR="00982654">
        <w:t xml:space="preserve"> </w:t>
      </w:r>
      <w:r w:rsidR="00D30343">
        <w:t>thousand</w:t>
      </w:r>
      <w:r w:rsidR="00982654">
        <w:t xml:space="preserve">. </w:t>
      </w:r>
      <w:r w:rsidR="00D57C94">
        <w:t>T</w:t>
      </w:r>
      <w:r>
        <w:t xml:space="preserve">he </w:t>
      </w:r>
      <w:r w:rsidR="00D30343">
        <w:t>December</w:t>
      </w:r>
      <w:r w:rsidR="00982654">
        <w:t xml:space="preserve"> unemployment </w:t>
      </w:r>
      <w:r>
        <w:t xml:space="preserve">rate was </w:t>
      </w:r>
      <w:r w:rsidR="00D30343">
        <w:t>3.1</w:t>
      </w:r>
      <w:r w:rsidR="00162E77">
        <w:t xml:space="preserve"> percentage points higher than</w:t>
      </w:r>
      <w:r w:rsidR="001744C6" w:rsidRPr="00925F58">
        <w:t xml:space="preserve"> the </w:t>
      </w:r>
      <w:r w:rsidR="00162E77">
        <w:t xml:space="preserve">previous </w:t>
      </w:r>
      <w:r w:rsidR="00D30343">
        <w:t>December</w:t>
      </w:r>
      <w:r w:rsidR="001744C6" w:rsidRPr="00925F58">
        <w:t xml:space="preserve"> </w:t>
      </w:r>
      <w:r w:rsidR="00982654">
        <w:t xml:space="preserve">and </w:t>
      </w:r>
      <w:r w:rsidR="00162E77">
        <w:t xml:space="preserve">remained </w:t>
      </w:r>
      <w:r w:rsidR="00982654">
        <w:t>above</w:t>
      </w:r>
      <w:r w:rsidR="001744C6" w:rsidRPr="00925F58">
        <w:t xml:space="preserve"> the 30-year average </w:t>
      </w:r>
      <w:r w:rsidR="00D644B7" w:rsidRPr="00925F58">
        <w:t xml:space="preserve">unemployment rate </w:t>
      </w:r>
      <w:r w:rsidR="001744C6" w:rsidRPr="00925F58">
        <w:t xml:space="preserve">of </w:t>
      </w:r>
      <w:r w:rsidR="00D501BC" w:rsidRPr="00925F58">
        <w:t>5.</w:t>
      </w:r>
      <w:r w:rsidR="00982654">
        <w:t>9</w:t>
      </w:r>
      <w:r w:rsidR="001744C6" w:rsidRPr="00925F58">
        <w:t>%</w:t>
      </w:r>
      <w:r w:rsidR="008C798A">
        <w:t>.</w:t>
      </w:r>
    </w:p>
    <w:p w14:paraId="1926EEEC" w14:textId="4F002D72" w:rsidR="0017576B" w:rsidRDefault="00FD0B0D" w:rsidP="00D57C94">
      <w:pPr>
        <w:jc w:val="center"/>
      </w:pPr>
      <w:r>
        <w:rPr>
          <w:noProof/>
        </w:rPr>
        <w:drawing>
          <wp:inline distT="0" distB="0" distL="0" distR="0" wp14:anchorId="05C77E9B" wp14:editId="5CF21AEF">
            <wp:extent cx="3493135"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8" w14:textId="77777777" w:rsidR="00005111" w:rsidRDefault="00005111" w:rsidP="001475FF">
      <w:pPr>
        <w:pStyle w:val="Heading1"/>
      </w:pPr>
      <w:r>
        <w:lastRenderedPageBreak/>
        <w:t>Inflation</w:t>
      </w:r>
    </w:p>
    <w:p w14:paraId="149D5F3A" w14:textId="46603E29" w:rsidR="00172307" w:rsidRDefault="00C90C6F" w:rsidP="00005111">
      <w:r>
        <w:t xml:space="preserve">Inflation </w:t>
      </w:r>
      <w:r w:rsidR="004E1574">
        <w:t>rose</w:t>
      </w:r>
      <w:r w:rsidR="006E621A">
        <w:t xml:space="preserve"> </w:t>
      </w:r>
      <w:r w:rsidR="0069122E">
        <w:t>during</w:t>
      </w:r>
      <w:r w:rsidR="006E621A">
        <w:t xml:space="preserve"> the </w:t>
      </w:r>
      <w:r w:rsidR="00D30343">
        <w:t>4th</w:t>
      </w:r>
      <w:r w:rsidR="006E621A">
        <w:t xml:space="preserve"> </w:t>
      </w:r>
      <w:r w:rsidR="00982654">
        <w:t>quarter</w:t>
      </w:r>
      <w:r w:rsidR="0069122E">
        <w:t xml:space="preserve"> of 2020</w:t>
      </w:r>
      <w:r w:rsidR="004E1574">
        <w:t>. December</w:t>
      </w:r>
      <w:r w:rsidR="006E621A">
        <w:t xml:space="preserve"> price increases were led by </w:t>
      </w:r>
      <w:r w:rsidR="004E1574">
        <w:t>gasoline and fuel oil</w:t>
      </w:r>
      <w:r w:rsidR="006E621A">
        <w:t xml:space="preserve">. </w:t>
      </w:r>
      <w:r w:rsidR="00C50E71">
        <w:t>T</w:t>
      </w:r>
      <w:r w:rsidR="006F7FB2" w:rsidRPr="0016088B">
        <w:t>he Consumer Price Index (CPI)</w:t>
      </w:r>
      <w:r w:rsidR="0076678E">
        <w:rPr>
          <w:rStyle w:val="FootnoteReference"/>
        </w:rPr>
        <w:footnoteReference w:id="13"/>
      </w:r>
      <w:r w:rsidR="006F7FB2" w:rsidRPr="0016088B">
        <w:t xml:space="preserve"> </w:t>
      </w:r>
      <w:r w:rsidR="00CD3F6E">
        <w:t xml:space="preserve">has </w:t>
      </w:r>
      <w:r w:rsidR="006F7FB2" w:rsidRPr="0016088B">
        <w:t xml:space="preserve">increased </w:t>
      </w:r>
      <w:r w:rsidR="0016088B" w:rsidRPr="0016088B">
        <w:t xml:space="preserve">by </w:t>
      </w:r>
      <w:r w:rsidR="006E621A">
        <w:t>1.</w:t>
      </w:r>
      <w:r w:rsidR="004E1574">
        <w:t>29</w:t>
      </w:r>
      <w:r w:rsidR="0016088B" w:rsidRPr="0016088B">
        <w:t>%</w:t>
      </w:r>
      <w:r w:rsidR="00CD3F6E">
        <w:t xml:space="preserve"> since</w:t>
      </w:r>
      <w:r>
        <w:t xml:space="preserve"> </w:t>
      </w:r>
      <w:r w:rsidR="00072C36">
        <w:t xml:space="preserve">last </w:t>
      </w:r>
      <w:r w:rsidR="004E1574">
        <w:t>December</w:t>
      </w:r>
      <w:r w:rsidR="006F7FB2" w:rsidRPr="0016088B">
        <w:t>.</w:t>
      </w:r>
      <w:r w:rsidR="00B071DB" w:rsidRPr="0016088B">
        <w:t xml:space="preserve"> </w:t>
      </w:r>
      <w:r w:rsidR="00BD3693">
        <w:t xml:space="preserve">According to </w:t>
      </w:r>
      <w:r w:rsidR="001E6FCC">
        <w:t xml:space="preserve">the </w:t>
      </w:r>
      <w:r w:rsidR="00BD3693">
        <w:t>Federal Reserve Bank of New York’s S</w:t>
      </w:r>
      <w:r w:rsidR="00A82B9E">
        <w:t>urvey of Consumer Expectations,</w:t>
      </w:r>
      <w:r w:rsidR="00BD3693">
        <w:t xml:space="preserve"> inflation</w:t>
      </w:r>
      <w:r w:rsidR="00A82B9E">
        <w:t xml:space="preserve"> </w:t>
      </w:r>
      <w:r w:rsidR="001E7445">
        <w:t>expectations</w:t>
      </w:r>
      <w:r w:rsidR="008155BA">
        <w:rPr>
          <w:rStyle w:val="FootnoteReference"/>
        </w:rPr>
        <w:footnoteReference w:id="14"/>
      </w:r>
      <w:r w:rsidR="00E274D8">
        <w:t xml:space="preserve"> </w:t>
      </w:r>
      <w:r w:rsidR="00BC04D5">
        <w:t xml:space="preserve">rose slightly in </w:t>
      </w:r>
      <w:r w:rsidR="004E1574">
        <w:t>December</w:t>
      </w:r>
      <w:r w:rsidR="00C50E71">
        <w:t xml:space="preserve"> to </w:t>
      </w:r>
      <w:r w:rsidR="00BC04D5">
        <w:t>3.0</w:t>
      </w:r>
      <w:r w:rsidR="00346350">
        <w:t>0</w:t>
      </w:r>
      <w:r w:rsidR="009C74AB">
        <w:t xml:space="preserve">% </w:t>
      </w:r>
      <w:r w:rsidR="00E274D8">
        <w:t xml:space="preserve">for the </w:t>
      </w:r>
      <w:r w:rsidR="00BD3693">
        <w:t>one</w:t>
      </w:r>
      <w:r w:rsidR="00E274D8">
        <w:t>-</w:t>
      </w:r>
      <w:r w:rsidR="00BD3693">
        <w:t>year</w:t>
      </w:r>
      <w:r>
        <w:t xml:space="preserve"> </w:t>
      </w:r>
      <w:r w:rsidR="009C74AB">
        <w:t xml:space="preserve">horizon </w:t>
      </w:r>
      <w:r w:rsidR="00E274D8">
        <w:t>and</w:t>
      </w:r>
      <w:r w:rsidR="001A4F9E">
        <w:t xml:space="preserve"> </w:t>
      </w:r>
      <w:r w:rsidR="009C74AB">
        <w:t>2</w:t>
      </w:r>
      <w:r w:rsidR="00BC04D5">
        <w:t>.</w:t>
      </w:r>
      <w:r w:rsidR="004E1574">
        <w:t>98</w:t>
      </w:r>
      <w:r w:rsidR="009C74AB">
        <w:t xml:space="preserve">% for the </w:t>
      </w:r>
      <w:r w:rsidR="00E274D8">
        <w:t>three-year</w:t>
      </w:r>
      <w:r w:rsidR="009C74AB">
        <w:t xml:space="preserve"> horizon</w:t>
      </w:r>
      <w:r w:rsidR="00BD3693">
        <w:t xml:space="preserve">. </w:t>
      </w:r>
    </w:p>
    <w:p w14:paraId="149D5F3C" w14:textId="29BAAB47" w:rsidR="00B94E68" w:rsidRDefault="00FD0B0D" w:rsidP="0026599C">
      <w:pPr>
        <w:jc w:val="center"/>
      </w:pPr>
      <w:r>
        <w:rPr>
          <w:noProof/>
        </w:rPr>
        <w:drawing>
          <wp:inline distT="0" distB="0" distL="0" distR="0" wp14:anchorId="7276C856" wp14:editId="6B3D4CDD">
            <wp:extent cx="3493135"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E" w14:textId="54DA894E" w:rsidR="00A11CAC" w:rsidRDefault="006F7FB2" w:rsidP="006F7FB2">
      <w:r w:rsidRPr="004E4B6F">
        <w:t>Prices at the prod</w:t>
      </w:r>
      <w:r w:rsidR="000E6A61" w:rsidRPr="004E4B6F">
        <w:t>ucer level</w:t>
      </w:r>
      <w:r w:rsidR="00E274D8">
        <w:t xml:space="preserve"> </w:t>
      </w:r>
      <w:r w:rsidR="00737D58">
        <w:t>continued to rebound</w:t>
      </w:r>
      <w:r w:rsidR="00C50E71">
        <w:t xml:space="preserve"> </w:t>
      </w:r>
      <w:r w:rsidR="00737D58">
        <w:t xml:space="preserve">during the </w:t>
      </w:r>
      <w:r w:rsidR="000048BB">
        <w:t>4</w:t>
      </w:r>
      <w:r w:rsidR="000048BB" w:rsidRPr="000048BB">
        <w:rPr>
          <w:vertAlign w:val="superscript"/>
        </w:rPr>
        <w:t>th</w:t>
      </w:r>
      <w:r w:rsidR="000048BB">
        <w:t xml:space="preserve"> </w:t>
      </w:r>
      <w:r w:rsidR="00C50E71">
        <w:t>quarter</w:t>
      </w:r>
      <w:r w:rsidR="0042476E">
        <w:t>,</w:t>
      </w:r>
      <w:r w:rsidR="00FE5B60">
        <w:t xml:space="preserve"> with </w:t>
      </w:r>
      <w:r w:rsidR="004E1574">
        <w:t>December</w:t>
      </w:r>
      <w:r w:rsidR="00FE5B60">
        <w:t xml:space="preserve"> </w:t>
      </w:r>
      <w:r w:rsidR="0069122E">
        <w:t xml:space="preserve">2020 </w:t>
      </w:r>
      <w:r w:rsidR="00FE5B60">
        <w:t>price</w:t>
      </w:r>
      <w:r w:rsidR="002435D7">
        <w:t>s</w:t>
      </w:r>
      <w:r w:rsidR="00FE5B60">
        <w:t xml:space="preserve"> </w:t>
      </w:r>
      <w:r w:rsidR="00C50E71">
        <w:t>up</w:t>
      </w:r>
      <w:r w:rsidR="00FE5B60">
        <w:t xml:space="preserve"> </w:t>
      </w:r>
      <w:r w:rsidR="004E1574">
        <w:t>1.</w:t>
      </w:r>
      <w:r w:rsidR="00966BA6">
        <w:t>21</w:t>
      </w:r>
      <w:r w:rsidR="00C50E71">
        <w:t xml:space="preserve">% </w:t>
      </w:r>
      <w:r w:rsidR="0069122E">
        <w:t xml:space="preserve">over the month </w:t>
      </w:r>
      <w:r w:rsidR="00FE5B60">
        <w:t>for</w:t>
      </w:r>
      <w:r w:rsidR="008155BA">
        <w:t xml:space="preserve"> </w:t>
      </w:r>
      <w:r w:rsidR="00C50E71">
        <w:t>all commodities</w:t>
      </w:r>
      <w:r w:rsidR="008155BA">
        <w:t xml:space="preserve">, </w:t>
      </w:r>
      <w:r w:rsidR="00737D58">
        <w:t xml:space="preserve">especially </w:t>
      </w:r>
      <w:r w:rsidR="00966BA6">
        <w:t xml:space="preserve">fuel, leather, </w:t>
      </w:r>
      <w:r w:rsidR="00737D58">
        <w:t>lumber, and ferrous metals</w:t>
      </w:r>
      <w:r w:rsidR="00FE5B60">
        <w:t>. T</w:t>
      </w:r>
      <w:r w:rsidRPr="004E4B6F">
        <w:t>he Producer Pr</w:t>
      </w:r>
      <w:r w:rsidR="00174B44" w:rsidRPr="004E4B6F">
        <w:t>ice Index (PPI)</w:t>
      </w:r>
      <w:r w:rsidR="00CB1375">
        <w:rPr>
          <w:rStyle w:val="FootnoteReference"/>
        </w:rPr>
        <w:footnoteReference w:id="15"/>
      </w:r>
      <w:r w:rsidR="00174B44" w:rsidRPr="004E4B6F">
        <w:t xml:space="preserve"> </w:t>
      </w:r>
      <w:r w:rsidR="0042476E">
        <w:t xml:space="preserve">for all commodities </w:t>
      </w:r>
      <w:r w:rsidR="002435D7">
        <w:t>was</w:t>
      </w:r>
      <w:r w:rsidR="007B7D73" w:rsidRPr="004E4B6F">
        <w:t xml:space="preserve"> </w:t>
      </w:r>
      <w:r w:rsidR="00966BA6">
        <w:t>0.8</w:t>
      </w:r>
      <w:r w:rsidR="00346350">
        <w:t>0</w:t>
      </w:r>
      <w:r w:rsidR="00174B44" w:rsidRPr="004E4B6F">
        <w:t>%</w:t>
      </w:r>
      <w:r w:rsidRPr="004E4B6F">
        <w:t xml:space="preserve"> </w:t>
      </w:r>
      <w:r w:rsidR="00966BA6">
        <w:t>higher</w:t>
      </w:r>
      <w:r w:rsidR="002435D7">
        <w:t xml:space="preserve"> </w:t>
      </w:r>
      <w:r w:rsidR="00966BA6">
        <w:t>from</w:t>
      </w:r>
      <w:r w:rsidR="0039736B">
        <w:t xml:space="preserve"> </w:t>
      </w:r>
      <w:r w:rsidR="00966BA6">
        <w:t>December</w:t>
      </w:r>
      <w:r w:rsidR="0039736B">
        <w:t xml:space="preserve"> </w:t>
      </w:r>
      <w:r w:rsidR="00346350">
        <w:t>2</w:t>
      </w:r>
      <w:r w:rsidR="00966BA6">
        <w:t xml:space="preserve">019 to December </w:t>
      </w:r>
      <w:r w:rsidR="00737D58">
        <w:t>2020</w:t>
      </w:r>
      <w:r w:rsidR="00966BA6">
        <w:t xml:space="preserve">, below the </w:t>
      </w:r>
      <w:r w:rsidR="0031179D" w:rsidRPr="004E4B6F">
        <w:t xml:space="preserve">average </w:t>
      </w:r>
      <w:r w:rsidR="00737D58">
        <w:t xml:space="preserve">annual increase of </w:t>
      </w:r>
      <w:r w:rsidR="00FD35EB">
        <w:t>1.</w:t>
      </w:r>
      <w:r w:rsidR="00966BA6">
        <w:t>85</w:t>
      </w:r>
      <w:r w:rsidR="0031179D" w:rsidRPr="004E4B6F">
        <w:t>%</w:t>
      </w:r>
      <w:r w:rsidR="00737D58">
        <w:t xml:space="preserve"> over the last 30 years</w:t>
      </w:r>
      <w:r w:rsidR="0031179D" w:rsidRPr="004E4B6F">
        <w:t xml:space="preserve">. </w:t>
      </w:r>
    </w:p>
    <w:p w14:paraId="149D5F40" w14:textId="3250C256" w:rsidR="00B94E68" w:rsidRDefault="00FD0B0D" w:rsidP="00166C08">
      <w:pPr>
        <w:jc w:val="center"/>
      </w:pPr>
      <w:r>
        <w:rPr>
          <w:noProof/>
        </w:rPr>
        <w:lastRenderedPageBreak/>
        <w:drawing>
          <wp:inline distT="0" distB="0" distL="0" distR="0" wp14:anchorId="7C07EF07" wp14:editId="412E8FD5">
            <wp:extent cx="3493135"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491A6E5E" w14:textId="08D45175" w:rsidR="00F03302" w:rsidRDefault="0074137C" w:rsidP="00F03302">
      <w:r>
        <w:t>U.S. crude oil</w:t>
      </w:r>
      <w:r>
        <w:rPr>
          <w:rStyle w:val="FootnoteReference"/>
        </w:rPr>
        <w:footnoteReference w:id="16"/>
      </w:r>
      <w:r>
        <w:t xml:space="preserve"> </w:t>
      </w:r>
      <w:r w:rsidR="00660C7A">
        <w:t xml:space="preserve">prices </w:t>
      </w:r>
      <w:r w:rsidR="00C675E2">
        <w:t>rose during the 4</w:t>
      </w:r>
      <w:r w:rsidR="00C675E2" w:rsidRPr="00C675E2">
        <w:rPr>
          <w:vertAlign w:val="superscript"/>
        </w:rPr>
        <w:t>th</w:t>
      </w:r>
      <w:r w:rsidR="00C675E2">
        <w:t xml:space="preserve"> quarter of 2020</w:t>
      </w:r>
      <w:r w:rsidR="005C0423">
        <w:t xml:space="preserve"> as </w:t>
      </w:r>
      <w:r w:rsidR="00C675E2">
        <w:t xml:space="preserve">optimism over COVID-19 vaccines spurred investment even as the pandemic’s winter surge and </w:t>
      </w:r>
      <w:r w:rsidR="00346350">
        <w:t xml:space="preserve">the discovery of </w:t>
      </w:r>
      <w:r w:rsidR="00C675E2">
        <w:t>more contagious virus variants prompted renewed travel restrictions</w:t>
      </w:r>
      <w:r w:rsidR="00F03302">
        <w:t>. Crude oil prices</w:t>
      </w:r>
      <w:r>
        <w:t xml:space="preserve"> </w:t>
      </w:r>
      <w:r w:rsidR="00F03302">
        <w:t xml:space="preserve">ended the quarter at </w:t>
      </w:r>
      <w:r>
        <w:t>$</w:t>
      </w:r>
      <w:r w:rsidR="00C675E2">
        <w:t>47</w:t>
      </w:r>
      <w:r>
        <w:t>.</w:t>
      </w:r>
      <w:r w:rsidR="00C675E2">
        <w:t>02</w:t>
      </w:r>
      <w:r>
        <w:t xml:space="preserve"> </w:t>
      </w:r>
      <w:r w:rsidR="00F03302">
        <w:t xml:space="preserve">per barrel in </w:t>
      </w:r>
      <w:r w:rsidR="00C675E2">
        <w:t>December</w:t>
      </w:r>
      <w:r w:rsidR="0069122E">
        <w:t xml:space="preserve"> 2020</w:t>
      </w:r>
      <w:r w:rsidR="00F03302">
        <w:t xml:space="preserve">, </w:t>
      </w:r>
      <w:r w:rsidR="00FD35EB">
        <w:t>up</w:t>
      </w:r>
      <w:r w:rsidR="00F03302">
        <w:t xml:space="preserve"> </w:t>
      </w:r>
      <w:r w:rsidR="00C675E2">
        <w:t>18.6</w:t>
      </w:r>
      <w:r w:rsidR="00F03302">
        <w:t>% from the previous quarter</w:t>
      </w:r>
      <w:r w:rsidR="00FD35EB">
        <w:t xml:space="preserve"> yet</w:t>
      </w:r>
      <w:r w:rsidR="00F03302">
        <w:t xml:space="preserve"> </w:t>
      </w:r>
      <w:r w:rsidR="001E6FCC">
        <w:t xml:space="preserve">still </w:t>
      </w:r>
      <w:r w:rsidR="00C675E2">
        <w:t>21.5</w:t>
      </w:r>
      <w:r w:rsidR="00F03302" w:rsidRPr="00892D49">
        <w:t xml:space="preserve">% </w:t>
      </w:r>
      <w:r>
        <w:t>lower</w:t>
      </w:r>
      <w:r w:rsidR="00F03302">
        <w:t xml:space="preserve"> than</w:t>
      </w:r>
      <w:r w:rsidR="00F03302" w:rsidRPr="00892D49">
        <w:t xml:space="preserve"> </w:t>
      </w:r>
      <w:r w:rsidR="00C675E2">
        <w:t xml:space="preserve">the </w:t>
      </w:r>
      <w:r w:rsidR="00346350">
        <w:t>same period last year</w:t>
      </w:r>
      <w:r w:rsidR="00F03302">
        <w:t>.</w:t>
      </w:r>
    </w:p>
    <w:p w14:paraId="51050840" w14:textId="1C3DE4F8" w:rsidR="00F03302" w:rsidRDefault="00FD0B0D" w:rsidP="00166C08">
      <w:pPr>
        <w:jc w:val="center"/>
      </w:pPr>
      <w:r>
        <w:rPr>
          <w:noProof/>
        </w:rPr>
        <w:drawing>
          <wp:inline distT="0" distB="0" distL="0" distR="0" wp14:anchorId="1512E012" wp14:editId="0C83180A">
            <wp:extent cx="360934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149D5F41" w14:textId="77777777" w:rsidR="00005111" w:rsidRDefault="00005111" w:rsidP="001475FF">
      <w:pPr>
        <w:pStyle w:val="Heading1"/>
      </w:pPr>
      <w:r>
        <w:lastRenderedPageBreak/>
        <w:t>Housing</w:t>
      </w:r>
    </w:p>
    <w:p w14:paraId="7135DBE1" w14:textId="0F2B0C6D" w:rsidR="00A96A6A" w:rsidRDefault="00BC04D5">
      <w:r>
        <w:t>T</w:t>
      </w:r>
      <w:r w:rsidR="00B0395F" w:rsidRPr="0094654A">
        <w:t>he h</w:t>
      </w:r>
      <w:r w:rsidR="00CD0AEC" w:rsidRPr="0094654A">
        <w:t xml:space="preserve">ousing </w:t>
      </w:r>
      <w:r w:rsidR="00B0395F" w:rsidRPr="0094654A">
        <w:t xml:space="preserve">market </w:t>
      </w:r>
      <w:r>
        <w:t xml:space="preserve">continued </w:t>
      </w:r>
      <w:r w:rsidR="00896D03">
        <w:t xml:space="preserve">to </w:t>
      </w:r>
      <w:r w:rsidR="00346350">
        <w:t>boom</w:t>
      </w:r>
      <w:r>
        <w:t xml:space="preserve"> in the </w:t>
      </w:r>
      <w:r w:rsidR="005C2F47">
        <w:t>4</w:t>
      </w:r>
      <w:r w:rsidR="005C2F47" w:rsidRPr="005C2F47">
        <w:rPr>
          <w:vertAlign w:val="superscript"/>
        </w:rPr>
        <w:t>th</w:t>
      </w:r>
      <w:r w:rsidR="005C2F47">
        <w:t xml:space="preserve"> </w:t>
      </w:r>
      <w:r>
        <w:t>quarter of 202</w:t>
      </w:r>
      <w:r w:rsidR="00346350">
        <w:t>0</w:t>
      </w:r>
      <w:r w:rsidR="00536754">
        <w:t>, with n</w:t>
      </w:r>
      <w:r w:rsidR="00B0395F" w:rsidRPr="0094654A">
        <w:t>ew home starts</w:t>
      </w:r>
      <w:r w:rsidR="00C828B0">
        <w:rPr>
          <w:rStyle w:val="FootnoteReference"/>
        </w:rPr>
        <w:footnoteReference w:id="17"/>
      </w:r>
      <w:r w:rsidR="00B0395F" w:rsidRPr="0094654A">
        <w:t xml:space="preserve"> </w:t>
      </w:r>
      <w:r w:rsidR="00C82545">
        <w:t xml:space="preserve">ending the quarter </w:t>
      </w:r>
      <w:r>
        <w:t>at 1.</w:t>
      </w:r>
      <w:r w:rsidR="005C2F47">
        <w:t>67</w:t>
      </w:r>
      <w:r w:rsidR="00B0395F" w:rsidRPr="0094654A">
        <w:t xml:space="preserve"> million in </w:t>
      </w:r>
      <w:r w:rsidR="005C2F47">
        <w:t>December</w:t>
      </w:r>
      <w:r w:rsidR="00516EDD">
        <w:t>, their highest level in over 14 years</w:t>
      </w:r>
      <w:r w:rsidR="00B0395F" w:rsidRPr="0094654A">
        <w:t xml:space="preserve">. </w:t>
      </w:r>
      <w:r w:rsidR="00536754">
        <w:t>T</w:t>
      </w:r>
      <w:r w:rsidR="0028237E">
        <w:t xml:space="preserve">otal </w:t>
      </w:r>
      <w:r w:rsidR="00536754">
        <w:t xml:space="preserve">new </w:t>
      </w:r>
      <w:r w:rsidR="0028237E">
        <w:t xml:space="preserve">housing starts </w:t>
      </w:r>
      <w:r>
        <w:t xml:space="preserve">grew </w:t>
      </w:r>
      <w:r w:rsidR="00516EDD">
        <w:t>16.1</w:t>
      </w:r>
      <w:r w:rsidR="0028237E">
        <w:t xml:space="preserve">% over </w:t>
      </w:r>
      <w:r w:rsidR="00BE1260">
        <w:t xml:space="preserve">the </w:t>
      </w:r>
      <w:r w:rsidR="00516EDD">
        <w:t>4</w:t>
      </w:r>
      <w:r w:rsidR="00516EDD" w:rsidRPr="00516EDD">
        <w:rPr>
          <w:vertAlign w:val="superscript"/>
        </w:rPr>
        <w:t>th</w:t>
      </w:r>
      <w:r w:rsidR="00516EDD">
        <w:t xml:space="preserve"> quarter and 5.2% since the prior December</w:t>
      </w:r>
      <w:r w:rsidR="0028237E">
        <w:t xml:space="preserve">. </w:t>
      </w:r>
      <w:r w:rsidR="00C82545">
        <w:t xml:space="preserve">Single-family homebuilding </w:t>
      </w:r>
      <w:r w:rsidR="00516EDD">
        <w:t xml:space="preserve">continued to </w:t>
      </w:r>
      <w:r w:rsidR="00C82545">
        <w:t xml:space="preserve">surge as home demand </w:t>
      </w:r>
      <w:r w:rsidR="00516EDD">
        <w:t>remained strong in</w:t>
      </w:r>
      <w:r w:rsidR="00C82545">
        <w:t xml:space="preserve"> suburban areas</w:t>
      </w:r>
      <w:r w:rsidR="00516EDD">
        <w:t xml:space="preserve">, supported by </w:t>
      </w:r>
      <w:r w:rsidR="00346350">
        <w:t>record-low</w:t>
      </w:r>
      <w:r w:rsidR="00516EDD">
        <w:t xml:space="preserve"> mortgage rates and </w:t>
      </w:r>
      <w:r w:rsidR="00B2531F">
        <w:t>increased telework access amid the pandemic</w:t>
      </w:r>
      <w:r w:rsidR="00B0395F" w:rsidRPr="0094654A">
        <w:t xml:space="preserve">. </w:t>
      </w:r>
      <w:r w:rsidR="00B2531F">
        <w:t>Conversely</w:t>
      </w:r>
      <w:r w:rsidR="00C82545">
        <w:t xml:space="preserve">, </w:t>
      </w:r>
      <w:r w:rsidR="00B2531F">
        <w:t xml:space="preserve">the </w:t>
      </w:r>
      <w:r w:rsidR="00C82545">
        <w:t xml:space="preserve">multi-family </w:t>
      </w:r>
      <w:r w:rsidR="00B2531F">
        <w:t>housing market is troubled by rising vacancies and flagging demand</w:t>
      </w:r>
      <w:r w:rsidR="00C82545">
        <w:t xml:space="preserve">. </w:t>
      </w:r>
      <w:r w:rsidR="003B0615">
        <w:t xml:space="preserve">New home starts </w:t>
      </w:r>
      <w:r w:rsidR="00105A55">
        <w:t>outpaced</w:t>
      </w:r>
      <w:r w:rsidR="00424E74" w:rsidRPr="0094654A">
        <w:t xml:space="preserve"> the 30-year average of 1.</w:t>
      </w:r>
      <w:r w:rsidR="00B135D7">
        <w:t>3</w:t>
      </w:r>
      <w:r w:rsidR="00B2531F">
        <w:t>1</w:t>
      </w:r>
      <w:r w:rsidR="00424E74" w:rsidRPr="0094654A">
        <w:t xml:space="preserve"> </w:t>
      </w:r>
      <w:r w:rsidR="00424E74" w:rsidRPr="004F1527">
        <w:t>million</w:t>
      </w:r>
      <w:r w:rsidR="00D55969">
        <w:t xml:space="preserve"> units per month</w:t>
      </w:r>
      <w:r w:rsidR="00660C7A" w:rsidRPr="00660C7A">
        <w:t xml:space="preserve"> </w:t>
      </w:r>
      <w:r w:rsidR="00660C7A">
        <w:t xml:space="preserve">throughout the </w:t>
      </w:r>
      <w:r w:rsidR="00B2531F">
        <w:t>4</w:t>
      </w:r>
      <w:r w:rsidR="00B2531F" w:rsidRPr="00B2531F">
        <w:rPr>
          <w:vertAlign w:val="superscript"/>
        </w:rPr>
        <w:t>th</w:t>
      </w:r>
      <w:r w:rsidR="00B2531F">
        <w:t xml:space="preserve"> </w:t>
      </w:r>
      <w:r w:rsidR="00660C7A">
        <w:t>quarter of 2020</w:t>
      </w:r>
      <w:r w:rsidR="00424E74" w:rsidRPr="004F1527">
        <w:t>.</w:t>
      </w:r>
      <w:r w:rsidR="00F80395">
        <w:t xml:space="preserve"> </w:t>
      </w:r>
    </w:p>
    <w:p w14:paraId="149D5F44" w14:textId="47DD3B8E" w:rsidR="00B5315D" w:rsidRDefault="00FD0B0D" w:rsidP="001B4B76">
      <w:pPr>
        <w:jc w:val="center"/>
      </w:pPr>
      <w:r>
        <w:rPr>
          <w:noProof/>
        </w:rPr>
        <w:drawing>
          <wp:inline distT="0" distB="0" distL="0" distR="0" wp14:anchorId="4CB30285" wp14:editId="4D4414C2">
            <wp:extent cx="3816350"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0" cy="2743200"/>
                    </a:xfrm>
                    <a:prstGeom prst="rect">
                      <a:avLst/>
                    </a:prstGeom>
                    <a:noFill/>
                  </pic:spPr>
                </pic:pic>
              </a:graphicData>
            </a:graphic>
          </wp:inline>
        </w:drawing>
      </w:r>
    </w:p>
    <w:p w14:paraId="149D5F46" w14:textId="63BB1B42" w:rsidR="00A96795" w:rsidRDefault="00A223EC" w:rsidP="000A1224">
      <w:r>
        <w:t xml:space="preserve">The cost </w:t>
      </w:r>
      <w:r w:rsidR="00BC00A7">
        <w:t xml:space="preserve">of financing </w:t>
      </w:r>
      <w:r>
        <w:t xml:space="preserve">for </w:t>
      </w:r>
      <w:r w:rsidR="001B4B76">
        <w:t xml:space="preserve">would-be homebuyers </w:t>
      </w:r>
      <w:r w:rsidR="00F277D7">
        <w:t>continued to decline</w:t>
      </w:r>
      <w:r w:rsidR="003B0615">
        <w:t xml:space="preserve"> </w:t>
      </w:r>
      <w:r w:rsidR="00670FB1">
        <w:t>during</w:t>
      </w:r>
      <w:r w:rsidR="00394236">
        <w:t xml:space="preserve"> the </w:t>
      </w:r>
      <w:r w:rsidR="00B2531F">
        <w:t>4</w:t>
      </w:r>
      <w:r w:rsidR="00B2531F" w:rsidRPr="00B2531F">
        <w:rPr>
          <w:vertAlign w:val="superscript"/>
        </w:rPr>
        <w:t>th</w:t>
      </w:r>
      <w:r w:rsidR="00B2531F">
        <w:t xml:space="preserve"> </w:t>
      </w:r>
      <w:r w:rsidR="00394236">
        <w:t>quarter</w:t>
      </w:r>
      <w:r w:rsidR="0026329B">
        <w:t xml:space="preserve"> </w:t>
      </w:r>
      <w:r w:rsidR="001B4B76">
        <w:t>as the 30-year fixed-rate mortgage</w:t>
      </w:r>
      <w:r w:rsidR="00250313">
        <w:rPr>
          <w:rStyle w:val="FootnoteReference"/>
        </w:rPr>
        <w:footnoteReference w:id="18"/>
      </w:r>
      <w:r w:rsidR="001B4B76">
        <w:t xml:space="preserve"> </w:t>
      </w:r>
      <w:r w:rsidR="00550C7C">
        <w:t>dropped</w:t>
      </w:r>
      <w:r w:rsidR="0026329B">
        <w:t xml:space="preserve"> to </w:t>
      </w:r>
      <w:r w:rsidR="00896D03">
        <w:t>record lows in</w:t>
      </w:r>
      <w:r w:rsidR="003B0615">
        <w:t xml:space="preserve"> </w:t>
      </w:r>
      <w:r w:rsidR="00B2531F">
        <w:t>December</w:t>
      </w:r>
      <w:r w:rsidR="00364347">
        <w:t xml:space="preserve"> </w:t>
      </w:r>
      <w:r w:rsidR="003B0615">
        <w:t>20</w:t>
      </w:r>
      <w:r w:rsidR="00364347">
        <w:t>20</w:t>
      </w:r>
      <w:r w:rsidR="00896D03">
        <w:t>, ending the month at 2.67%</w:t>
      </w:r>
      <w:r w:rsidR="001B4B76">
        <w:t>.</w:t>
      </w:r>
      <w:r w:rsidR="00A730DC">
        <w:t xml:space="preserve"> </w:t>
      </w:r>
      <w:r w:rsidR="00670FB1">
        <w:t>The</w:t>
      </w:r>
      <w:r w:rsidR="00A730DC">
        <w:t xml:space="preserve"> Fed </w:t>
      </w:r>
      <w:r w:rsidR="00F277D7">
        <w:t xml:space="preserve">held target interest rates at 0.00% to 0.25% throughout the </w:t>
      </w:r>
      <w:r w:rsidR="00B2531F">
        <w:t>4</w:t>
      </w:r>
      <w:r w:rsidR="00B2531F" w:rsidRPr="00B2531F">
        <w:rPr>
          <w:vertAlign w:val="superscript"/>
        </w:rPr>
        <w:t>th</w:t>
      </w:r>
      <w:r w:rsidR="00B2531F">
        <w:t xml:space="preserve"> </w:t>
      </w:r>
      <w:r w:rsidR="00F277D7">
        <w:t>quarter</w:t>
      </w:r>
      <w:r w:rsidR="00A730DC">
        <w:t>.</w:t>
      </w:r>
    </w:p>
    <w:p w14:paraId="0D0A69F6" w14:textId="7001BC4E" w:rsidR="00A96A6A" w:rsidRDefault="00FD0B0D" w:rsidP="00453708">
      <w:pPr>
        <w:jc w:val="center"/>
      </w:pPr>
      <w:r>
        <w:rPr>
          <w:noProof/>
        </w:rPr>
        <w:lastRenderedPageBreak/>
        <w:drawing>
          <wp:inline distT="0" distB="0" distL="0" distR="0" wp14:anchorId="18B8739A" wp14:editId="1713DC93">
            <wp:extent cx="3816350" cy="27374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D2DE37C" w14:textId="0448B453" w:rsidR="00A96A6A" w:rsidRDefault="00B767AE" w:rsidP="00773B5B">
      <w:r>
        <w:t>The S&amp;</w:t>
      </w:r>
      <w:r w:rsidR="00BD1AF4">
        <w:t>P Case-Shiller Home Price Index (20-city)</w:t>
      </w:r>
      <w:r w:rsidR="00B2585A">
        <w:rPr>
          <w:rStyle w:val="FootnoteReference"/>
        </w:rPr>
        <w:footnoteReference w:id="19"/>
      </w:r>
      <w:r w:rsidR="00BD1AF4">
        <w:t xml:space="preserve"> </w:t>
      </w:r>
      <w:r w:rsidR="00BE4FA9">
        <w:t>for</w:t>
      </w:r>
      <w:r w:rsidR="00BD1AF4">
        <w:t xml:space="preserve"> </w:t>
      </w:r>
      <w:r w:rsidR="00B2531F">
        <w:t>November</w:t>
      </w:r>
      <w:r w:rsidR="00BD1AF4">
        <w:t xml:space="preserve"> </w:t>
      </w:r>
      <w:r w:rsidR="00111974">
        <w:t>2020</w:t>
      </w:r>
      <w:r w:rsidR="00BD1AF4">
        <w:t xml:space="preserve"> </w:t>
      </w:r>
      <w:r w:rsidR="001868CB">
        <w:t>increased</w:t>
      </w:r>
      <w:r w:rsidR="00E2306A">
        <w:t xml:space="preserve"> </w:t>
      </w:r>
      <w:r w:rsidR="001868CB">
        <w:t xml:space="preserve">by </w:t>
      </w:r>
      <w:r w:rsidR="00B2531F">
        <w:t>9.1</w:t>
      </w:r>
      <w:r w:rsidR="00E2306A">
        <w:t>%</w:t>
      </w:r>
      <w:r w:rsidR="003A0447">
        <w:t xml:space="preserve"> over the year</w:t>
      </w:r>
      <w:r w:rsidR="00933213">
        <w:t xml:space="preserve"> with </w:t>
      </w:r>
      <w:r w:rsidR="006F49C7">
        <w:t xml:space="preserve">Phoenix, Seattle, and </w:t>
      </w:r>
      <w:r w:rsidR="00105A55">
        <w:t>San Diego</w:t>
      </w:r>
      <w:r w:rsidR="00896D03">
        <w:t xml:space="preserve"> continuing to lead</w:t>
      </w:r>
      <w:r w:rsidR="0096732C">
        <w:t>.</w:t>
      </w:r>
      <w:r w:rsidR="00933213">
        <w:t xml:space="preserve"> </w:t>
      </w:r>
      <w:r w:rsidR="006F49C7">
        <w:t xml:space="preserve">The </w:t>
      </w:r>
      <w:r w:rsidR="00896D03">
        <w:t xml:space="preserve">national index </w:t>
      </w:r>
      <w:r w:rsidR="00D567AB">
        <w:t>rose</w:t>
      </w:r>
      <w:r w:rsidR="00896D03">
        <w:t xml:space="preserve"> even faster than the </w:t>
      </w:r>
      <w:r w:rsidR="006F49C7">
        <w:t xml:space="preserve">20-city composite. </w:t>
      </w:r>
      <w:r w:rsidR="00896D03">
        <w:t>R</w:t>
      </w:r>
      <w:r w:rsidR="00105A55">
        <w:t xml:space="preserve">ecord-low mortgage rates </w:t>
      </w:r>
      <w:r w:rsidR="00896D03">
        <w:t>and constrained supply continued to urge prices higher</w:t>
      </w:r>
      <w:r w:rsidR="00B432FD" w:rsidRPr="00B432FD">
        <w:t>.</w:t>
      </w:r>
      <w:r w:rsidR="00B432FD">
        <w:t xml:space="preserve"> </w:t>
      </w:r>
      <w:r w:rsidR="00873466">
        <w:t xml:space="preserve">Last </w:t>
      </w:r>
      <w:r w:rsidR="00896D03">
        <w:t>November</w:t>
      </w:r>
      <w:r w:rsidR="00873466">
        <w:t xml:space="preserve">, home prices were increasing at a </w:t>
      </w:r>
      <w:r w:rsidR="009A36DD">
        <w:t>2.</w:t>
      </w:r>
      <w:r w:rsidR="00896D03">
        <w:t>5</w:t>
      </w:r>
      <w:r w:rsidR="00873466">
        <w:t>% annual rate.</w:t>
      </w:r>
    </w:p>
    <w:p w14:paraId="149D5F4C" w14:textId="6A3DE2E0" w:rsidR="0064538F" w:rsidRDefault="00FD0B0D" w:rsidP="002775DB">
      <w:pPr>
        <w:jc w:val="center"/>
      </w:pPr>
      <w:r>
        <w:rPr>
          <w:noProof/>
        </w:rPr>
        <w:drawing>
          <wp:inline distT="0" distB="0" distL="0" distR="0" wp14:anchorId="1749DFFD" wp14:editId="6975E0CC">
            <wp:extent cx="3493135"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4D" w14:textId="52E84594" w:rsidR="00005111" w:rsidRDefault="0079609A" w:rsidP="001475FF">
      <w:pPr>
        <w:pStyle w:val="Heading1"/>
      </w:pPr>
      <w:r>
        <w:lastRenderedPageBreak/>
        <w:t>Consumer Spending</w:t>
      </w:r>
    </w:p>
    <w:p w14:paraId="149D5F51" w14:textId="2CBC7F57" w:rsidR="0079609A" w:rsidRDefault="00873466" w:rsidP="00A04AD3">
      <w:r>
        <w:t>T</w:t>
      </w:r>
      <w:r w:rsidR="0079609A" w:rsidRPr="00FD4516">
        <w:t>he</w:t>
      </w:r>
      <w:r w:rsidR="0079609A" w:rsidRPr="00971553">
        <w:t xml:space="preserve"> </w:t>
      </w:r>
      <w:r w:rsidR="0025469C">
        <w:t>rebound in</w:t>
      </w:r>
      <w:r w:rsidR="0079609A" w:rsidRPr="00971553">
        <w:t xml:space="preserve"> Personal Consumption Expenditures (PCE)</w:t>
      </w:r>
      <w:r w:rsidR="00421F60">
        <w:rPr>
          <w:rStyle w:val="FootnoteReference"/>
        </w:rPr>
        <w:footnoteReference w:id="20"/>
      </w:r>
      <w:r w:rsidR="0079609A" w:rsidRPr="00971553">
        <w:t xml:space="preserve"> </w:t>
      </w:r>
      <w:r w:rsidR="0025469C">
        <w:t>leveled off during</w:t>
      </w:r>
      <w:r w:rsidR="00F04BC9">
        <w:t xml:space="preserve"> the </w:t>
      </w:r>
      <w:r w:rsidR="0025469C">
        <w:t>4</w:t>
      </w:r>
      <w:r w:rsidR="0025469C" w:rsidRPr="0025469C">
        <w:rPr>
          <w:vertAlign w:val="superscript"/>
        </w:rPr>
        <w:t>th</w:t>
      </w:r>
      <w:r w:rsidR="0025469C">
        <w:t xml:space="preserve"> </w:t>
      </w:r>
      <w:r w:rsidR="00F04BC9">
        <w:t>quarter</w:t>
      </w:r>
      <w:r w:rsidR="00E37950">
        <w:t xml:space="preserve">. PCE </w:t>
      </w:r>
      <w:r w:rsidR="0025469C">
        <w:t>declined 0.</w:t>
      </w:r>
      <w:r w:rsidR="00D567AB">
        <w:t>19</w:t>
      </w:r>
      <w:r w:rsidR="00E37950">
        <w:t xml:space="preserve">% in </w:t>
      </w:r>
      <w:r w:rsidR="0025469C">
        <w:t>December</w:t>
      </w:r>
      <w:r w:rsidR="00730BC7">
        <w:t xml:space="preserve"> 2020</w:t>
      </w:r>
      <w:r w:rsidR="00E37950">
        <w:t xml:space="preserve"> </w:t>
      </w:r>
      <w:r w:rsidR="0025469C">
        <w:t>and was</w:t>
      </w:r>
      <w:r w:rsidR="00E37950">
        <w:t xml:space="preserve"> </w:t>
      </w:r>
      <w:r w:rsidR="00D567AB">
        <w:t xml:space="preserve">down </w:t>
      </w:r>
      <w:r w:rsidR="0025469C">
        <w:t>2.05</w:t>
      </w:r>
      <w:r w:rsidR="0079609A" w:rsidRPr="00971553">
        <w:t xml:space="preserve">% </w:t>
      </w:r>
      <w:r w:rsidR="00D567AB">
        <w:t>from the same period last year</w:t>
      </w:r>
      <w:r w:rsidR="002F6282">
        <w:t xml:space="preserve">. </w:t>
      </w:r>
      <w:r w:rsidR="0025469C">
        <w:t>Spending fell in December for recreational goods, food</w:t>
      </w:r>
      <w:r w:rsidR="00D567AB">
        <w:t xml:space="preserve"> and beverages, </w:t>
      </w:r>
      <w:r w:rsidR="0025469C">
        <w:t>food services,</w:t>
      </w:r>
      <w:r w:rsidR="006F0678">
        <w:t xml:space="preserve"> </w:t>
      </w:r>
      <w:r w:rsidR="0025469C">
        <w:t>and ho</w:t>
      </w:r>
      <w:r w:rsidR="0004025D">
        <w:t>spitals, but rose for</w:t>
      </w:r>
      <w:r w:rsidR="00306B1D">
        <w:t xml:space="preserve"> </w:t>
      </w:r>
      <w:r w:rsidR="00F04BC9">
        <w:t>motor vehicles and parts</w:t>
      </w:r>
      <w:r w:rsidR="002A0B80">
        <w:t>.</w:t>
      </w:r>
      <w:r w:rsidR="00F04BC9">
        <w:t xml:space="preserve"> </w:t>
      </w:r>
      <w:r w:rsidR="0004025D">
        <w:t>Both personal income and personal spending outperformed economists’ expectations in December 2020.</w:t>
      </w:r>
    </w:p>
    <w:p w14:paraId="419D69CE" w14:textId="1A53BEA7" w:rsidR="00A96A6A" w:rsidRDefault="00FD0B0D" w:rsidP="00CF06AE">
      <w:pPr>
        <w:jc w:val="center"/>
      </w:pPr>
      <w:r>
        <w:rPr>
          <w:noProof/>
        </w:rPr>
        <w:drawing>
          <wp:inline distT="0" distB="0" distL="0" distR="0" wp14:anchorId="1F38ED65" wp14:editId="7B056DD7">
            <wp:extent cx="3493135" cy="274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53" w14:textId="224548F8" w:rsidR="0079609A" w:rsidRDefault="00515DB3" w:rsidP="00F92FD1">
      <w:r>
        <w:t xml:space="preserve">Automotive companies </w:t>
      </w:r>
      <w:r w:rsidR="00695980">
        <w:t xml:space="preserve">reported </w:t>
      </w:r>
      <w:r w:rsidR="008B37F0" w:rsidRPr="008B37F0">
        <w:t>1</w:t>
      </w:r>
      <w:r w:rsidR="00F04BC9">
        <w:t>6</w:t>
      </w:r>
      <w:r w:rsidR="00BA05F4">
        <w:t>.</w:t>
      </w:r>
      <w:r w:rsidR="0004025D">
        <w:t>3</w:t>
      </w:r>
      <w:r w:rsidR="0079609A" w:rsidRPr="008B37F0">
        <w:t xml:space="preserve"> million autos and light trucks sold</w:t>
      </w:r>
      <w:r w:rsidR="00933E80">
        <w:rPr>
          <w:rStyle w:val="FootnoteReference"/>
        </w:rPr>
        <w:footnoteReference w:id="21"/>
      </w:r>
      <w:r w:rsidR="0079609A" w:rsidRPr="008B37F0">
        <w:t xml:space="preserve"> in </w:t>
      </w:r>
      <w:r w:rsidR="0004025D">
        <w:t>December</w:t>
      </w:r>
      <w:r w:rsidR="00730BC7">
        <w:t xml:space="preserve"> 2020</w:t>
      </w:r>
      <w:r w:rsidR="008B3E4E">
        <w:t>,</w:t>
      </w:r>
      <w:r w:rsidR="005B40E5">
        <w:t xml:space="preserve"> </w:t>
      </w:r>
      <w:r w:rsidR="006F0678">
        <w:t>up</w:t>
      </w:r>
      <w:r w:rsidR="008B3E4E">
        <w:t xml:space="preserve"> </w:t>
      </w:r>
      <w:r w:rsidR="0004025D">
        <w:t>0.6</w:t>
      </w:r>
      <w:r w:rsidR="0079609A" w:rsidRPr="008B37F0">
        <w:t xml:space="preserve"> million </w:t>
      </w:r>
      <w:r w:rsidR="00155E88">
        <w:t xml:space="preserve">units </w:t>
      </w:r>
      <w:r w:rsidR="00CF06AE">
        <w:t xml:space="preserve">from </w:t>
      </w:r>
      <w:r w:rsidR="0004025D">
        <w:t>November</w:t>
      </w:r>
      <w:r w:rsidR="002361FB">
        <w:t xml:space="preserve"> </w:t>
      </w:r>
      <w:r w:rsidR="0004025D">
        <w:t>but down 26 thousand</w:t>
      </w:r>
      <w:r w:rsidR="00155E88">
        <w:t xml:space="preserve"> </w:t>
      </w:r>
      <w:r w:rsidR="00A97343" w:rsidRPr="002D660A">
        <w:t>from</w:t>
      </w:r>
      <w:r w:rsidR="00F04BC9" w:rsidRPr="002D660A">
        <w:t xml:space="preserve"> the </w:t>
      </w:r>
      <w:r w:rsidR="00A97343" w:rsidRPr="002D660A">
        <w:t xml:space="preserve">end of the </w:t>
      </w:r>
      <w:r w:rsidR="0004025D">
        <w:t>3</w:t>
      </w:r>
      <w:r w:rsidR="0004025D" w:rsidRPr="0004025D">
        <w:rPr>
          <w:vertAlign w:val="superscript"/>
        </w:rPr>
        <w:t>rd</w:t>
      </w:r>
      <w:r w:rsidR="0004025D">
        <w:t xml:space="preserve"> </w:t>
      </w:r>
      <w:r w:rsidR="00F04BC9" w:rsidRPr="002D660A">
        <w:t>quarter</w:t>
      </w:r>
      <w:r w:rsidR="00155E88">
        <w:t>.</w:t>
      </w:r>
      <w:r w:rsidR="0079609A" w:rsidRPr="008B37F0">
        <w:t xml:space="preserve"> </w:t>
      </w:r>
      <w:r w:rsidR="0004025D">
        <w:t>December</w:t>
      </w:r>
      <w:r w:rsidR="006F0678">
        <w:t xml:space="preserve"> </w:t>
      </w:r>
      <w:r w:rsidR="00730BC7">
        <w:t xml:space="preserve">2020 </w:t>
      </w:r>
      <w:r w:rsidR="006F0678">
        <w:t>sales remained</w:t>
      </w:r>
      <w:r w:rsidR="0079609A" w:rsidRPr="008B37F0">
        <w:t xml:space="preserve"> </w:t>
      </w:r>
      <w:r w:rsidR="00730BC7">
        <w:t>0</w:t>
      </w:r>
      <w:r w:rsidR="00F04BC9">
        <w:t>.</w:t>
      </w:r>
      <w:r w:rsidR="0004025D">
        <w:t>5</w:t>
      </w:r>
      <w:r w:rsidR="0079609A" w:rsidRPr="008B37F0">
        <w:t xml:space="preserve"> million units </w:t>
      </w:r>
      <w:r w:rsidR="00B2629D">
        <w:t>below</w:t>
      </w:r>
      <w:r w:rsidR="008B37F0" w:rsidRPr="008B37F0">
        <w:t xml:space="preserve"> </w:t>
      </w:r>
      <w:r w:rsidR="006F0678">
        <w:t>year-ago levels</w:t>
      </w:r>
      <w:r w:rsidR="00B1397B">
        <w:t xml:space="preserve"> but exceeded </w:t>
      </w:r>
      <w:r w:rsidR="006F0678">
        <w:t xml:space="preserve">the </w:t>
      </w:r>
      <w:r w:rsidR="008B37F0" w:rsidRPr="008B37F0">
        <w:t>30-year average of 15.</w:t>
      </w:r>
      <w:r w:rsidR="0004025D">
        <w:t>4</w:t>
      </w:r>
      <w:r w:rsidR="0079609A" w:rsidRPr="008B37F0">
        <w:t xml:space="preserve"> million</w:t>
      </w:r>
      <w:r w:rsidR="00354195">
        <w:t xml:space="preserve"> units per month</w:t>
      </w:r>
      <w:r w:rsidR="00F92FD1">
        <w:t>.</w:t>
      </w:r>
    </w:p>
    <w:p w14:paraId="571A905C" w14:textId="5E3F5262" w:rsidR="002E3647" w:rsidRDefault="00FD0B0D" w:rsidP="003A679B">
      <w:pPr>
        <w:jc w:val="center"/>
      </w:pPr>
      <w:r>
        <w:rPr>
          <w:noProof/>
        </w:rPr>
        <w:lastRenderedPageBreak/>
        <w:drawing>
          <wp:inline distT="0" distB="0" distL="0" distR="0" wp14:anchorId="34C5DB70" wp14:editId="7D4BC130">
            <wp:extent cx="4090670" cy="27432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59B475FF" w14:textId="1C1F4E33" w:rsidR="002E3647" w:rsidRDefault="008A581A" w:rsidP="00354195">
      <w:r w:rsidRPr="002E3647">
        <w:t>The c</w:t>
      </w:r>
      <w:r w:rsidR="008C5503" w:rsidRPr="002E3647">
        <w:t>onsumer sentiment</w:t>
      </w:r>
      <w:r w:rsidR="00291FFB" w:rsidRPr="002E3647">
        <w:rPr>
          <w:rStyle w:val="FootnoteReference"/>
        </w:rPr>
        <w:footnoteReference w:id="22"/>
      </w:r>
      <w:r w:rsidR="008C5503" w:rsidRPr="002E3647">
        <w:t xml:space="preserve"> </w:t>
      </w:r>
      <w:r w:rsidRPr="002E3647">
        <w:t>index ended</w:t>
      </w:r>
      <w:r w:rsidR="008C5503" w:rsidRPr="002E3647">
        <w:t xml:space="preserve"> </w:t>
      </w:r>
      <w:r w:rsidR="00E71440">
        <w:t xml:space="preserve">the </w:t>
      </w:r>
      <w:r w:rsidR="0004025D">
        <w:t>4</w:t>
      </w:r>
      <w:r w:rsidR="0004025D" w:rsidRPr="0004025D">
        <w:rPr>
          <w:vertAlign w:val="superscript"/>
        </w:rPr>
        <w:t>th</w:t>
      </w:r>
      <w:r w:rsidR="0004025D">
        <w:t xml:space="preserve"> </w:t>
      </w:r>
      <w:r w:rsidR="00E71440">
        <w:t>quarter</w:t>
      </w:r>
      <w:r w:rsidRPr="002E3647">
        <w:t xml:space="preserve"> </w:t>
      </w:r>
      <w:r w:rsidR="0036641E">
        <w:t xml:space="preserve">of 2020 </w:t>
      </w:r>
      <w:r w:rsidRPr="002E3647">
        <w:t xml:space="preserve">at </w:t>
      </w:r>
      <w:r w:rsidR="00B1397B">
        <w:t>80</w:t>
      </w:r>
      <w:r w:rsidR="003A679B">
        <w:t>.</w:t>
      </w:r>
      <w:r w:rsidR="0004025D">
        <w:t>7</w:t>
      </w:r>
      <w:r w:rsidR="006C6752">
        <w:t xml:space="preserve">, </w:t>
      </w:r>
      <w:r w:rsidR="0004025D">
        <w:t>falling slightly short of</w:t>
      </w:r>
      <w:r w:rsidR="00B1397B">
        <w:t xml:space="preserve"> economists’ expectations. The index was up</w:t>
      </w:r>
      <w:r w:rsidR="006C6752">
        <w:t xml:space="preserve"> </w:t>
      </w:r>
      <w:r w:rsidR="0004025D">
        <w:t>0</w:t>
      </w:r>
      <w:r w:rsidR="005D6316">
        <w:t>.3 points</w:t>
      </w:r>
      <w:r w:rsidR="006C6752">
        <w:t xml:space="preserve"> </w:t>
      </w:r>
      <w:r w:rsidR="00B1397B">
        <w:t>since</w:t>
      </w:r>
      <w:r w:rsidR="006C6752">
        <w:t xml:space="preserve"> </w:t>
      </w:r>
      <w:r w:rsidR="00B1397B">
        <w:t>the previous quarter</w:t>
      </w:r>
      <w:r w:rsidR="006F0678">
        <w:t xml:space="preserve"> </w:t>
      </w:r>
      <w:r w:rsidR="00B1397B">
        <w:t xml:space="preserve">despite a </w:t>
      </w:r>
      <w:r w:rsidR="00BF72BA">
        <w:t>November</w:t>
      </w:r>
      <w:r w:rsidR="00B1397B">
        <w:t xml:space="preserve"> dip</w:t>
      </w:r>
      <w:r w:rsidR="006970E9" w:rsidRPr="002E3647">
        <w:t xml:space="preserve">. </w:t>
      </w:r>
      <w:r w:rsidR="00BF72BA">
        <w:t>The</w:t>
      </w:r>
      <w:r w:rsidR="006970E9" w:rsidRPr="002E3647">
        <w:t xml:space="preserve"> consumer sentiment </w:t>
      </w:r>
      <w:r w:rsidR="00BF72BA">
        <w:t>index has been on a general upward trend s</w:t>
      </w:r>
      <w:r w:rsidR="00D465D5">
        <w:t>ince</w:t>
      </w:r>
      <w:r w:rsidR="00BF72BA">
        <w:t xml:space="preserve"> its April</w:t>
      </w:r>
      <w:r w:rsidR="0036641E">
        <w:t xml:space="preserve"> 2020</w:t>
      </w:r>
      <w:r w:rsidR="00BF72BA">
        <w:t xml:space="preserve"> </w:t>
      </w:r>
      <w:r w:rsidR="00D567AB">
        <w:t>low,</w:t>
      </w:r>
      <w:r w:rsidR="00D465D5">
        <w:t xml:space="preserve"> but</w:t>
      </w:r>
      <w:r w:rsidR="00D465D5" w:rsidRPr="002E3647">
        <w:t xml:space="preserve"> </w:t>
      </w:r>
      <w:r w:rsidR="00BF72BA">
        <w:t xml:space="preserve">December’s reading </w:t>
      </w:r>
      <w:r w:rsidR="006970E9" w:rsidRPr="002E3647">
        <w:t>was</w:t>
      </w:r>
      <w:r w:rsidR="00D465D5">
        <w:t xml:space="preserve"> still</w:t>
      </w:r>
      <w:r w:rsidR="006970E9" w:rsidRPr="002E3647">
        <w:t xml:space="preserve"> </w:t>
      </w:r>
      <w:r w:rsidR="00DB12EF">
        <w:t>well below</w:t>
      </w:r>
      <w:r w:rsidR="003A679B">
        <w:t xml:space="preserve"> </w:t>
      </w:r>
      <w:r w:rsidR="00316E8F">
        <w:t xml:space="preserve">its </w:t>
      </w:r>
      <w:r w:rsidR="00B1397B">
        <w:t xml:space="preserve">year-ago </w:t>
      </w:r>
      <w:r w:rsidR="00316E8F">
        <w:t xml:space="preserve">level of </w:t>
      </w:r>
      <w:r w:rsidR="00A073CB">
        <w:t>9</w:t>
      </w:r>
      <w:r w:rsidR="00BF72BA">
        <w:t>9</w:t>
      </w:r>
      <w:r w:rsidR="00A073CB">
        <w:t>.</w:t>
      </w:r>
      <w:r w:rsidR="00BF72BA">
        <w:t>3</w:t>
      </w:r>
      <w:r w:rsidR="00316E8F">
        <w:t xml:space="preserve"> </w:t>
      </w:r>
      <w:r w:rsidR="009D3151">
        <w:t>and</w:t>
      </w:r>
      <w:r w:rsidR="006970E9" w:rsidRPr="002E3647">
        <w:t xml:space="preserve"> </w:t>
      </w:r>
      <w:r w:rsidR="00B1397B">
        <w:t>its</w:t>
      </w:r>
      <w:r w:rsidR="006970E9" w:rsidRPr="002E3647">
        <w:t xml:space="preserve"> 30-year average of </w:t>
      </w:r>
      <w:r w:rsidRPr="002E3647">
        <w:t>87.</w:t>
      </w:r>
      <w:r w:rsidR="00BF72BA">
        <w:t>5</w:t>
      </w:r>
      <w:r w:rsidR="00291FFB" w:rsidRPr="002E3647">
        <w:t>.</w:t>
      </w:r>
    </w:p>
    <w:p w14:paraId="182CF22B" w14:textId="5CFB675F" w:rsidR="000D5719" w:rsidRDefault="0007056A" w:rsidP="002E3647">
      <w:pPr>
        <w:jc w:val="center"/>
      </w:pPr>
      <w:r>
        <w:rPr>
          <w:noProof/>
        </w:rPr>
        <w:drawing>
          <wp:inline distT="0" distB="0" distL="0" distR="0" wp14:anchorId="0216E76A" wp14:editId="3B58E950">
            <wp:extent cx="4090670" cy="27432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149D5F56" w14:textId="77777777" w:rsidR="0091664E" w:rsidRDefault="0091664E" w:rsidP="0091664E">
      <w:pPr>
        <w:pStyle w:val="Heading1"/>
      </w:pPr>
      <w:r>
        <w:t>Capital Markets</w:t>
      </w:r>
    </w:p>
    <w:p w14:paraId="79C54A89" w14:textId="3D9A5D24" w:rsidR="002E3647" w:rsidRDefault="009D3151" w:rsidP="00B875CA">
      <w:r>
        <w:t>T</w:t>
      </w:r>
      <w:r w:rsidR="00842094">
        <w:t xml:space="preserve">he </w:t>
      </w:r>
      <w:r w:rsidR="00FB7EF9">
        <w:t>U</w:t>
      </w:r>
      <w:r w:rsidR="00BC00A7">
        <w:t>.</w:t>
      </w:r>
      <w:r w:rsidR="00FB7EF9">
        <w:t>S</w:t>
      </w:r>
      <w:r w:rsidR="00BC00A7">
        <w:t>.</w:t>
      </w:r>
      <w:r w:rsidR="00FB7EF9">
        <w:t xml:space="preserve"> </w:t>
      </w:r>
      <w:r w:rsidR="008B3E4E">
        <w:t xml:space="preserve">stock </w:t>
      </w:r>
      <w:r w:rsidR="00842094">
        <w:t xml:space="preserve">market </w:t>
      </w:r>
      <w:r w:rsidR="00FB745B">
        <w:t>sustained its ongoing boom through the 4</w:t>
      </w:r>
      <w:r w:rsidR="00FB745B" w:rsidRPr="00FB745B">
        <w:rPr>
          <w:vertAlign w:val="superscript"/>
        </w:rPr>
        <w:t>th</w:t>
      </w:r>
      <w:r w:rsidR="00FB745B">
        <w:t xml:space="preserve"> quarter of 2020, reacting to enthusiasm over the arrival of COVID-19 vaccines</w:t>
      </w:r>
      <w:r w:rsidR="00F27237">
        <w:t xml:space="preserve">. </w:t>
      </w:r>
      <w:r w:rsidR="00FD6064">
        <w:t>Stocks</w:t>
      </w:r>
      <w:r w:rsidR="00FB745B">
        <w:t xml:space="preserve"> continued to push quickly higher </w:t>
      </w:r>
      <w:r w:rsidR="00FB745B">
        <w:lastRenderedPageBreak/>
        <w:t xml:space="preserve">despite a bumpy and incomplete recovery in the broader economy, leading experts to </w:t>
      </w:r>
      <w:r w:rsidR="00FD6064">
        <w:t>surmise widespread overvaluation</w:t>
      </w:r>
      <w:r w:rsidR="00D8538D">
        <w:t xml:space="preserve">. </w:t>
      </w:r>
      <w:r w:rsidR="002A14C5">
        <w:t xml:space="preserve">The </w:t>
      </w:r>
      <w:r w:rsidR="00D8538D">
        <w:t>NASDAQ Composite</w:t>
      </w:r>
      <w:r w:rsidR="002A14C5">
        <w:t xml:space="preserve"> </w:t>
      </w:r>
      <w:r w:rsidR="00E342CC">
        <w:t>advanced 1</w:t>
      </w:r>
      <w:r w:rsidR="00673A89">
        <w:t>5</w:t>
      </w:r>
      <w:r w:rsidR="00E342CC">
        <w:t>.</w:t>
      </w:r>
      <w:r w:rsidR="00673A89">
        <w:t>4</w:t>
      </w:r>
      <w:r w:rsidR="002A14C5">
        <w:t xml:space="preserve">% in the </w:t>
      </w:r>
      <w:r w:rsidR="00673A89">
        <w:t>4</w:t>
      </w:r>
      <w:r w:rsidR="00673A89" w:rsidRPr="00673A89">
        <w:rPr>
          <w:vertAlign w:val="superscript"/>
        </w:rPr>
        <w:t>th</w:t>
      </w:r>
      <w:r w:rsidR="00673A89">
        <w:t xml:space="preserve"> </w:t>
      </w:r>
      <w:r w:rsidR="002A14C5">
        <w:t xml:space="preserve">quarter and </w:t>
      </w:r>
      <w:r w:rsidR="00673A89">
        <w:t>43</w:t>
      </w:r>
      <w:r w:rsidR="00E342CC">
        <w:t>.6%</w:t>
      </w:r>
      <w:r w:rsidR="00CB3DAF">
        <w:t xml:space="preserve"> </w:t>
      </w:r>
      <w:r w:rsidR="00673A89">
        <w:t>from the end of the previous year</w:t>
      </w:r>
      <w:r w:rsidR="00E342CC">
        <w:t xml:space="preserve">. </w:t>
      </w:r>
      <w:r w:rsidR="00673A89">
        <w:t>The Wilshire 5000 climbed 14.0% during the 4</w:t>
      </w:r>
      <w:r w:rsidR="00673A89" w:rsidRPr="00673A89">
        <w:rPr>
          <w:vertAlign w:val="superscript"/>
        </w:rPr>
        <w:t>th</w:t>
      </w:r>
      <w:r w:rsidR="00673A89">
        <w:t xml:space="preserve"> quarter and 18.6% since the end of 2019. </w:t>
      </w:r>
      <w:r w:rsidR="00E342CC">
        <w:t>T</w:t>
      </w:r>
      <w:r w:rsidR="00822897">
        <w:t xml:space="preserve">he </w:t>
      </w:r>
      <w:r w:rsidR="00180CA9">
        <w:t xml:space="preserve">S&amp;P </w:t>
      </w:r>
      <w:r w:rsidR="00CB3DAF">
        <w:t xml:space="preserve">500 </w:t>
      </w:r>
      <w:r w:rsidR="00673A89">
        <w:t>rose</w:t>
      </w:r>
      <w:r w:rsidR="00180CA9">
        <w:t xml:space="preserve"> </w:t>
      </w:r>
      <w:r w:rsidR="00673A89">
        <w:t>11.7%</w:t>
      </w:r>
      <w:r w:rsidR="004B3923">
        <w:t xml:space="preserve"> </w:t>
      </w:r>
      <w:r w:rsidR="00673A89">
        <w:t>in</w:t>
      </w:r>
      <w:r w:rsidR="00CB3DAF">
        <w:t xml:space="preserve"> </w:t>
      </w:r>
      <w:r w:rsidR="002F3ADD">
        <w:t xml:space="preserve">the </w:t>
      </w:r>
      <w:r w:rsidR="00673A89">
        <w:t>4</w:t>
      </w:r>
      <w:r w:rsidR="00673A89" w:rsidRPr="00673A89">
        <w:rPr>
          <w:vertAlign w:val="superscript"/>
        </w:rPr>
        <w:t>th</w:t>
      </w:r>
      <w:r w:rsidR="00673A89">
        <w:t xml:space="preserve"> </w:t>
      </w:r>
      <w:r w:rsidR="002F3ADD">
        <w:t>quarter</w:t>
      </w:r>
      <w:r w:rsidR="00E342CC">
        <w:t xml:space="preserve"> and </w:t>
      </w:r>
      <w:r w:rsidR="00673A89">
        <w:t>16.3</w:t>
      </w:r>
      <w:r w:rsidR="005D6316">
        <w:t>%</w:t>
      </w:r>
      <w:r w:rsidR="002F3ADD">
        <w:t xml:space="preserve"> over the</w:t>
      </w:r>
      <w:r w:rsidR="005D6316">
        <w:t xml:space="preserve"> last 12 months</w:t>
      </w:r>
      <w:r w:rsidR="002F3ADD">
        <w:t>.</w:t>
      </w:r>
    </w:p>
    <w:p w14:paraId="3C77E48B" w14:textId="4EBF13E8" w:rsidR="002E3647" w:rsidRDefault="00166778" w:rsidP="002308A9">
      <w:pPr>
        <w:jc w:val="center"/>
      </w:pPr>
      <w:r w:rsidRPr="00166778">
        <w:drawing>
          <wp:inline distT="0" distB="0" distL="0" distR="0" wp14:anchorId="04517FA2" wp14:editId="6F8EA78F">
            <wp:extent cx="5343525" cy="1533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3525" cy="1533525"/>
                    </a:xfrm>
                    <a:prstGeom prst="rect">
                      <a:avLst/>
                    </a:prstGeom>
                    <a:noFill/>
                    <a:ln>
                      <a:noFill/>
                    </a:ln>
                  </pic:spPr>
                </pic:pic>
              </a:graphicData>
            </a:graphic>
          </wp:inline>
        </w:drawing>
      </w:r>
    </w:p>
    <w:p w14:paraId="3743084E" w14:textId="410622E0" w:rsidR="00857079" w:rsidRDefault="00166778" w:rsidP="00BB3B04">
      <w:pPr>
        <w:jc w:val="center"/>
        <w:rPr>
          <w:color w:val="FF0000"/>
        </w:rPr>
      </w:pPr>
      <w:r>
        <w:rPr>
          <w:noProof/>
          <w:color w:val="FF0000"/>
        </w:rPr>
        <w:drawing>
          <wp:inline distT="0" distB="0" distL="0" distR="0" wp14:anchorId="421CAD0F" wp14:editId="4A6C8A65">
            <wp:extent cx="4097020" cy="2749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3E9D1768" w14:textId="0FDB1E45" w:rsidR="0007515A" w:rsidRDefault="00100DF8" w:rsidP="00354195">
      <w:r>
        <w:t>Stock market v</w:t>
      </w:r>
      <w:r w:rsidR="0007515A">
        <w:t>olatility</w:t>
      </w:r>
      <w:r w:rsidR="0007515A">
        <w:rPr>
          <w:rStyle w:val="FootnoteReference"/>
        </w:rPr>
        <w:footnoteReference w:id="23"/>
      </w:r>
      <w:r>
        <w:t xml:space="preserve"> ended the </w:t>
      </w:r>
      <w:r w:rsidR="00FD6064">
        <w:t>4</w:t>
      </w:r>
      <w:r w:rsidR="00FD6064" w:rsidRPr="00FD6064">
        <w:rPr>
          <w:vertAlign w:val="superscript"/>
        </w:rPr>
        <w:t>th</w:t>
      </w:r>
      <w:r w:rsidR="00FD6064">
        <w:t xml:space="preserve"> </w:t>
      </w:r>
      <w:r>
        <w:t xml:space="preserve">quarter </w:t>
      </w:r>
      <w:r w:rsidR="0036641E">
        <w:t xml:space="preserve">of 2020 </w:t>
      </w:r>
      <w:r>
        <w:t xml:space="preserve">at </w:t>
      </w:r>
      <w:r w:rsidR="00FD6064">
        <w:t>22.8</w:t>
      </w:r>
      <w:r>
        <w:t xml:space="preserve">, </w:t>
      </w:r>
      <w:r w:rsidR="00180CA9">
        <w:t xml:space="preserve">down </w:t>
      </w:r>
      <w:r w:rsidR="00FD6064">
        <w:t>59.9</w:t>
      </w:r>
      <w:r w:rsidR="005D6316">
        <w:t xml:space="preserve"> points</w:t>
      </w:r>
      <w:r>
        <w:t xml:space="preserve"> </w:t>
      </w:r>
      <w:r w:rsidR="005D6316">
        <w:t>from</w:t>
      </w:r>
      <w:r>
        <w:t xml:space="preserve"> </w:t>
      </w:r>
      <w:r w:rsidR="007E7320">
        <w:t xml:space="preserve">its mid-March peak and </w:t>
      </w:r>
      <w:r w:rsidR="00FD6064">
        <w:t>3.6</w:t>
      </w:r>
      <w:r w:rsidR="007E7320">
        <w:t xml:space="preserve"> points since the end of the </w:t>
      </w:r>
      <w:r w:rsidR="00FD6064">
        <w:t>3</w:t>
      </w:r>
      <w:r w:rsidR="00FD6064" w:rsidRPr="00FD6064">
        <w:rPr>
          <w:vertAlign w:val="superscript"/>
        </w:rPr>
        <w:t>rd</w:t>
      </w:r>
      <w:r w:rsidR="00FD6064">
        <w:t xml:space="preserve"> </w:t>
      </w:r>
      <w:r w:rsidR="007E7320">
        <w:t>quarter. Still, the volatility index remained</w:t>
      </w:r>
      <w:r w:rsidR="00FC4EEE">
        <w:t xml:space="preserve"> above</w:t>
      </w:r>
      <w:r>
        <w:t xml:space="preserve"> </w:t>
      </w:r>
      <w:r w:rsidR="007E7320">
        <w:t>its</w:t>
      </w:r>
      <w:r>
        <w:t xml:space="preserve"> 10-year average of </w:t>
      </w:r>
      <w:r w:rsidR="004B3923">
        <w:t>1</w:t>
      </w:r>
      <w:r w:rsidR="00FD6064">
        <w:t>9</w:t>
      </w:r>
      <w:r w:rsidR="007E7320">
        <w:t>.</w:t>
      </w:r>
      <w:r w:rsidR="0036641E">
        <w:t>4</w:t>
      </w:r>
      <w:r>
        <w:t xml:space="preserve">. </w:t>
      </w:r>
      <w:r w:rsidR="00D44971">
        <w:t>T</w:t>
      </w:r>
      <w:r>
        <w:t>he volatility index, a proxy for investor anxiety derived from tracking options prices on S&amp;P 500 stocks</w:t>
      </w:r>
      <w:r w:rsidR="00C01B26">
        <w:t xml:space="preserve">, </w:t>
      </w:r>
      <w:r w:rsidR="007E7320">
        <w:t xml:space="preserve">rose in </w:t>
      </w:r>
      <w:r w:rsidR="004F307A">
        <w:t>late October</w:t>
      </w:r>
      <w:r w:rsidR="007E7320">
        <w:t xml:space="preserve"> </w:t>
      </w:r>
      <w:r w:rsidR="004F307A">
        <w:t>but subsided in November after the results of</w:t>
      </w:r>
      <w:r w:rsidR="007E7320">
        <w:t xml:space="preserve"> the 2020 presidential election</w:t>
      </w:r>
      <w:r w:rsidR="004F307A">
        <w:t xml:space="preserve"> became clear</w:t>
      </w:r>
      <w:r w:rsidR="004B6D7A">
        <w:t>.</w:t>
      </w:r>
    </w:p>
    <w:p w14:paraId="0420E509" w14:textId="536FEB1A" w:rsidR="00100DF8" w:rsidRPr="00354195" w:rsidRDefault="0007056A" w:rsidP="00FD0160">
      <w:pPr>
        <w:jc w:val="center"/>
      </w:pPr>
      <w:r>
        <w:rPr>
          <w:noProof/>
        </w:rPr>
        <w:lastRenderedPageBreak/>
        <w:drawing>
          <wp:inline distT="0" distB="0" distL="0" distR="0" wp14:anchorId="0B9A478F" wp14:editId="5BB8966E">
            <wp:extent cx="4097020" cy="2749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F93" w14:textId="77777777" w:rsidR="00E44639" w:rsidRDefault="00E44639" w:rsidP="00E44639">
      <w:pPr>
        <w:pStyle w:val="Heading1"/>
      </w:pPr>
      <w:r>
        <w:t>Outlook</w:t>
      </w:r>
    </w:p>
    <w:p w14:paraId="149D5F95" w14:textId="29D0A726" w:rsidR="0022226D" w:rsidRDefault="003071CD" w:rsidP="00E44639">
      <w:r>
        <w:t xml:space="preserve">In </w:t>
      </w:r>
      <w:r w:rsidR="004F307A">
        <w:t>December</w:t>
      </w:r>
      <w:r>
        <w:t xml:space="preserve"> 20</w:t>
      </w:r>
      <w:r w:rsidR="0049182B">
        <w:t>20</w:t>
      </w:r>
      <w:r>
        <w:t xml:space="preserve">, the FOMC </w:t>
      </w:r>
      <w:r w:rsidR="0049182B">
        <w:t>projected</w:t>
      </w:r>
      <w:r w:rsidR="00F60736" w:rsidRPr="00090DA6">
        <w:t xml:space="preserve"> real GDP</w:t>
      </w:r>
      <w:r w:rsidR="00BF5CE2">
        <w:rPr>
          <w:rStyle w:val="FootnoteReference"/>
        </w:rPr>
        <w:footnoteReference w:id="24"/>
      </w:r>
      <w:r w:rsidR="00F60736" w:rsidRPr="00090DA6">
        <w:t xml:space="preserve"> </w:t>
      </w:r>
      <w:r w:rsidR="0039421C">
        <w:t>to recover to</w:t>
      </w:r>
      <w:r w:rsidR="00F60736" w:rsidRPr="00090DA6">
        <w:t xml:space="preserve"> </w:t>
      </w:r>
      <w:r w:rsidR="006C2DAB">
        <w:t>4.</w:t>
      </w:r>
      <w:r w:rsidR="004F307A">
        <w:t>3</w:t>
      </w:r>
      <w:r w:rsidR="006C2DAB">
        <w:t>5</w:t>
      </w:r>
      <w:r w:rsidR="00F60736" w:rsidRPr="00090DA6">
        <w:t>%</w:t>
      </w:r>
      <w:r w:rsidR="0049182B">
        <w:t xml:space="preserve"> growth in</w:t>
      </w:r>
      <w:r w:rsidR="00F60736" w:rsidRPr="00090DA6">
        <w:t xml:space="preserve"> 20</w:t>
      </w:r>
      <w:r w:rsidR="00090DA6" w:rsidRPr="00090DA6">
        <w:t>2</w:t>
      </w:r>
      <w:r w:rsidR="000D646D">
        <w:t>1</w:t>
      </w:r>
      <w:r w:rsidR="0049182B">
        <w:t xml:space="preserve">, slowing to </w:t>
      </w:r>
      <w:r w:rsidR="004F307A">
        <w:t>2.45</w:t>
      </w:r>
      <w:r w:rsidR="0049182B">
        <w:t xml:space="preserve">% </w:t>
      </w:r>
      <w:r w:rsidR="004F307A">
        <w:t>by</w:t>
      </w:r>
      <w:r w:rsidR="000D646D">
        <w:t xml:space="preserve"> 202</w:t>
      </w:r>
      <w:r w:rsidR="004F307A">
        <w:t>3</w:t>
      </w:r>
      <w:r w:rsidR="00F60736" w:rsidRPr="00090DA6">
        <w:t>. They expect</w:t>
      </w:r>
      <w:r>
        <w:t>ed</w:t>
      </w:r>
      <w:r w:rsidR="00F60736" w:rsidRPr="00090DA6">
        <w:t xml:space="preserve"> Personal Consumption Expendit</w:t>
      </w:r>
      <w:r w:rsidR="00090DA6" w:rsidRPr="00090DA6">
        <w:t>ures (PCE)</w:t>
      </w:r>
      <w:r w:rsidR="005D3CEF">
        <w:rPr>
          <w:rStyle w:val="FootnoteReference"/>
        </w:rPr>
        <w:footnoteReference w:id="25"/>
      </w:r>
      <w:r w:rsidR="00090DA6" w:rsidRPr="00090DA6">
        <w:t xml:space="preserve"> to </w:t>
      </w:r>
      <w:r w:rsidR="006C2DAB">
        <w:t>grow 1.</w:t>
      </w:r>
      <w:r w:rsidR="0039421C">
        <w:t>8</w:t>
      </w:r>
      <w:r w:rsidR="006C2DAB">
        <w:t>0</w:t>
      </w:r>
      <w:r w:rsidR="0049182B">
        <w:t>% in 202</w:t>
      </w:r>
      <w:r w:rsidR="0039421C">
        <w:t>1</w:t>
      </w:r>
      <w:r w:rsidR="0049182B">
        <w:t xml:space="preserve">, </w:t>
      </w:r>
      <w:r w:rsidR="0039421C">
        <w:t>gently accelerating</w:t>
      </w:r>
      <w:r w:rsidR="0049182B">
        <w:t xml:space="preserve"> to </w:t>
      </w:r>
      <w:r w:rsidR="004F307A">
        <w:t>2.00</w:t>
      </w:r>
      <w:r w:rsidR="00090DA6" w:rsidRPr="00090DA6">
        <w:t xml:space="preserve">% by </w:t>
      </w:r>
      <w:r w:rsidR="00AB6F46">
        <w:t>202</w:t>
      </w:r>
      <w:r w:rsidR="004F307A">
        <w:t>3</w:t>
      </w:r>
      <w:r w:rsidR="00F60736" w:rsidRPr="00090DA6">
        <w:t>. The</w:t>
      </w:r>
      <w:r w:rsidR="004907DA">
        <w:t>y</w:t>
      </w:r>
      <w:r w:rsidR="00F60736" w:rsidRPr="00090DA6">
        <w:t xml:space="preserve"> forecast th</w:t>
      </w:r>
      <w:r w:rsidR="004907DA">
        <w:t>at th</w:t>
      </w:r>
      <w:r w:rsidR="00F60736" w:rsidRPr="00090DA6">
        <w:t>e unemployment rate</w:t>
      </w:r>
      <w:r w:rsidR="00E72196">
        <w:rPr>
          <w:rStyle w:val="FootnoteReference"/>
        </w:rPr>
        <w:footnoteReference w:id="26"/>
      </w:r>
      <w:r w:rsidR="00F60736" w:rsidRPr="00090DA6">
        <w:t xml:space="preserve"> </w:t>
      </w:r>
      <w:r w:rsidR="004907DA">
        <w:t>will</w:t>
      </w:r>
      <w:r w:rsidR="00F60736" w:rsidRPr="00090DA6">
        <w:t xml:space="preserve"> </w:t>
      </w:r>
      <w:r w:rsidR="0039421C">
        <w:t>ease to 5.05</w:t>
      </w:r>
      <w:r w:rsidR="00F60736" w:rsidRPr="00090DA6">
        <w:t>%</w:t>
      </w:r>
      <w:r w:rsidR="0039421C">
        <w:t xml:space="preserve"> in 2021 </w:t>
      </w:r>
      <w:r w:rsidR="0062444A">
        <w:t xml:space="preserve">and </w:t>
      </w:r>
      <w:r w:rsidR="004F307A">
        <w:t>3.90</w:t>
      </w:r>
      <w:r w:rsidR="0049182B">
        <w:t xml:space="preserve">% </w:t>
      </w:r>
      <w:r w:rsidR="00F11B2B">
        <w:t>by</w:t>
      </w:r>
      <w:r w:rsidR="00F60736" w:rsidRPr="00090DA6">
        <w:t xml:space="preserve"> 20</w:t>
      </w:r>
      <w:r w:rsidR="00090DA6" w:rsidRPr="00090DA6">
        <w:t>2</w:t>
      </w:r>
      <w:r w:rsidR="004F307A">
        <w:t>3</w:t>
      </w:r>
      <w:r>
        <w:t>.</w:t>
      </w:r>
    </w:p>
    <w:p w14:paraId="4D630423" w14:textId="7224571E" w:rsidR="00FD0160" w:rsidRDefault="00166778" w:rsidP="002308A9">
      <w:pPr>
        <w:jc w:val="center"/>
      </w:pPr>
      <w:r w:rsidRPr="00166778">
        <w:drawing>
          <wp:inline distT="0" distB="0" distL="0" distR="0" wp14:anchorId="11A31CC8" wp14:editId="2E399560">
            <wp:extent cx="3762375" cy="115252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14:paraId="3DA5A3C9" w14:textId="77777777" w:rsidR="002308A9" w:rsidRDefault="002308A9">
      <w:pPr>
        <w:rPr>
          <w:rFonts w:asciiTheme="majorHAnsi" w:eastAsiaTheme="majorEastAsia" w:hAnsiTheme="majorHAnsi" w:cstheme="majorBidi"/>
          <w:color w:val="008FD5"/>
          <w:sz w:val="36"/>
          <w:szCs w:val="32"/>
        </w:rPr>
      </w:pPr>
      <w:r>
        <w:br w:type="page"/>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149D5FB5" w14:textId="77777777" w:rsidR="001475FF" w:rsidRDefault="001475FF" w:rsidP="001475FF">
      <w:pPr>
        <w:pStyle w:val="Heading1"/>
      </w:pPr>
      <w:bookmarkStart w:id="0" w:name="_Hlk31896782"/>
      <w:r>
        <w:t xml:space="preserve">About </w:t>
      </w:r>
      <w:proofErr w:type="spellStart"/>
      <w:r>
        <w:t>TagniFi</w:t>
      </w:r>
      <w:proofErr w:type="spellEnd"/>
    </w:p>
    <w:bookmarkEnd w:id="0"/>
    <w:p w14:paraId="48B0785A" w14:textId="605E137B" w:rsidR="00964DD4" w:rsidRDefault="00964DD4" w:rsidP="00964DD4">
      <w:r>
        <w:t xml:space="preserve">In July 2015 we released our first dataset, </w:t>
      </w:r>
      <w:proofErr w:type="spellStart"/>
      <w:r>
        <w:t>TagniFi</w:t>
      </w:r>
      <w:proofErr w:type="spellEnd"/>
      <w:r>
        <w:t xml:space="preserve"> Fundamentals, because we thought investors and finance professionals needed a better solution for financial data. Since then our mission has remained the same: to serve our clients with the best financial data available at a reasonable price. We do this by developing innovative solutions to leverage tagged financial statements which allow us to deliver better, faster and more detailed data at a fraction of the cost.</w:t>
      </w:r>
    </w:p>
    <w:p w14:paraId="0F1887EF" w14:textId="4F6BA8A7" w:rsidR="00964DD4" w:rsidRDefault="00964DD4" w:rsidP="00230D29">
      <w:r>
        <w:t xml:space="preserve">Today </w:t>
      </w:r>
      <w:proofErr w:type="spellStart"/>
      <w:r>
        <w:t>TagniFi</w:t>
      </w:r>
      <w:proofErr w:type="spellEnd"/>
      <w:r>
        <w:t xml:space="preserve"> is a platform of financial data aimed at making our clients more productive and prosperous. We're helping clients in all corners of finance make better decisions with better data. We relentlessly focus on quality and the trust we've earned from our clients is our greatest asset. Our growth is centered around our clients' needs as we look to expand our platform with new data. Referrals from our existing clients is the ultimate compliment so we choose to invest in our product, not flashy marketing </w:t>
      </w:r>
      <w:proofErr w:type="spellStart"/>
      <w:r>
        <w:t>campaigns.</w:t>
      </w:r>
      <w:r w:rsidR="00C36857" w:rsidRPr="0017465F">
        <w:t>For</w:t>
      </w:r>
      <w:proofErr w:type="spellEnd"/>
      <w:r w:rsidR="00C36857" w:rsidRPr="0017465F">
        <w:t xml:space="preserve"> more information on </w:t>
      </w:r>
      <w:proofErr w:type="spellStart"/>
      <w:r w:rsidR="00C36857" w:rsidRPr="0017465F">
        <w:t>TagniFi</w:t>
      </w:r>
      <w:proofErr w:type="spellEnd"/>
      <w:r w:rsidR="00C36857" w:rsidRPr="0017465F">
        <w:t>, please visit</w:t>
      </w:r>
      <w:r w:rsidR="00230D29" w:rsidRPr="0017465F">
        <w:t xml:space="preserve"> </w:t>
      </w:r>
      <w:hyperlink r:id="rId35"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proofErr w:type="spellStart"/>
      <w:r w:rsidRPr="00964DD4">
        <w:t>TagniFi’s</w:t>
      </w:r>
      <w:proofErr w:type="spellEnd"/>
      <w:r w:rsidRPr="00964DD4">
        <w:t xml:space="preserve">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 xml:space="preserve">Search for public companies with </w:t>
      </w:r>
      <w:proofErr w:type="spellStart"/>
      <w:r w:rsidR="004C20AB" w:rsidRPr="004C20AB">
        <w:t>TagniFi</w:t>
      </w:r>
      <w:proofErr w:type="spellEnd"/>
      <w:r w:rsidR="004C20AB" w:rsidRPr="004C20AB">
        <w:t xml:space="preserve">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 xml:space="preserve">Search for closed-end mutual funds by keyword, category, subcategory, and more with the </w:t>
      </w:r>
      <w:proofErr w:type="spellStart"/>
      <w:r>
        <w:t>TagniFi</w:t>
      </w:r>
      <w:proofErr w:type="spellEnd"/>
      <w:r>
        <w:t xml:space="preserve"> Console. Use the </w:t>
      </w:r>
      <w:proofErr w:type="spellStart"/>
      <w:r>
        <w:t>TagniFi</w:t>
      </w:r>
      <w:proofErr w:type="spellEnd"/>
      <w:r>
        <w:t xml:space="preserve">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w:t>
      </w:r>
      <w:proofErr w:type="spellStart"/>
      <w:r w:rsidRPr="004C20AB">
        <w:t>TagniFi</w:t>
      </w:r>
      <w:proofErr w:type="spellEnd"/>
      <w:r w:rsidRPr="004C20AB">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1"/>
      <w:footerReference w:type="default" r:id="rId42"/>
      <w:footerReference w:type="first" r:id="rId4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B5816" w14:textId="77777777" w:rsidR="00E742A9" w:rsidRDefault="00E742A9" w:rsidP="00171C8E">
      <w:pPr>
        <w:spacing w:after="0" w:line="240" w:lineRule="auto"/>
      </w:pPr>
      <w:r>
        <w:separator/>
      </w:r>
    </w:p>
  </w:endnote>
  <w:endnote w:type="continuationSeparator" w:id="0">
    <w:p w14:paraId="60B7895B" w14:textId="77777777" w:rsidR="00E742A9" w:rsidRDefault="00E742A9"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5FE8" w14:textId="024D4D48" w:rsidR="006C7B04" w:rsidRDefault="006C7B04">
    <w:pPr>
      <w:pStyle w:val="Footer"/>
    </w:pPr>
    <w:r>
      <w:t>© 202</w:t>
    </w:r>
    <w:r w:rsidR="00203609">
      <w:t>1</w:t>
    </w:r>
    <w:r>
      <w:t xml:space="preserve">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AF58" w14:textId="5EAC5F17" w:rsidR="006C7B04" w:rsidRDefault="006C7B04">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D8CFF" w14:textId="77777777" w:rsidR="00E742A9" w:rsidRDefault="00E742A9" w:rsidP="00171C8E">
      <w:pPr>
        <w:spacing w:after="0" w:line="240" w:lineRule="auto"/>
      </w:pPr>
      <w:r>
        <w:separator/>
      </w:r>
    </w:p>
  </w:footnote>
  <w:footnote w:type="continuationSeparator" w:id="0">
    <w:p w14:paraId="3634A006" w14:textId="77777777" w:rsidR="00E742A9" w:rsidRDefault="00E742A9" w:rsidP="00171C8E">
      <w:pPr>
        <w:spacing w:after="0" w:line="240" w:lineRule="auto"/>
      </w:pPr>
      <w:r>
        <w:continuationSeparator/>
      </w:r>
    </w:p>
  </w:footnote>
  <w:footnote w:id="1">
    <w:p w14:paraId="0E9249D4" w14:textId="0492ADCC" w:rsidR="006C7B04" w:rsidRDefault="006C7B04">
      <w:pPr>
        <w:pStyle w:val="FootnoteText"/>
      </w:pPr>
      <w:r>
        <w:rPr>
          <w:rStyle w:val="FootnoteReference"/>
        </w:rPr>
        <w:footnoteRef/>
      </w:r>
      <w:r>
        <w:t xml:space="preserve"> </w:t>
      </w:r>
      <w:r w:rsidRPr="00111911">
        <w:rPr>
          <w:i/>
          <w:iCs/>
          <w:sz w:val="16"/>
          <w:szCs w:val="16"/>
        </w:rPr>
        <w:t xml:space="preserve">US Business Cycle Expansions and Contractions, retrieved from the National Bureau of Economic Research (NBER), </w:t>
      </w:r>
      <w:hyperlink r:id="rId1" w:history="1">
        <w:r w:rsidRPr="00111911">
          <w:rPr>
            <w:rStyle w:val="Hyperlink"/>
            <w:i/>
            <w:iCs/>
            <w:sz w:val="16"/>
            <w:szCs w:val="16"/>
          </w:rPr>
          <w:t>https://www.nber.org/research/data/us-business-cycle-expansions-and-contractions</w:t>
        </w:r>
      </w:hyperlink>
      <w:r w:rsidRPr="00111911">
        <w:rPr>
          <w:i/>
          <w:iCs/>
          <w:sz w:val="16"/>
          <w:szCs w:val="16"/>
        </w:rPr>
        <w:t xml:space="preserve">, </w:t>
      </w:r>
      <w:r>
        <w:rPr>
          <w:i/>
          <w:iCs/>
          <w:sz w:val="16"/>
          <w:szCs w:val="16"/>
        </w:rPr>
        <w:t>Jan 30, 2</w:t>
      </w:r>
      <w:r w:rsidRPr="00111911">
        <w:rPr>
          <w:i/>
          <w:iCs/>
          <w:sz w:val="16"/>
          <w:szCs w:val="16"/>
        </w:rPr>
        <w:t>02</w:t>
      </w:r>
      <w:r>
        <w:rPr>
          <w:i/>
          <w:iCs/>
          <w:sz w:val="16"/>
          <w:szCs w:val="16"/>
        </w:rPr>
        <w:t>1</w:t>
      </w:r>
      <w:r w:rsidRPr="00111911">
        <w:rPr>
          <w:i/>
          <w:iCs/>
          <w:sz w:val="16"/>
          <w:szCs w:val="16"/>
        </w:rPr>
        <w:t>.</w:t>
      </w:r>
    </w:p>
  </w:footnote>
  <w:footnote w:id="2">
    <w:p w14:paraId="73C5D80B" w14:textId="42F39C99" w:rsidR="006C7B04" w:rsidRPr="00952AF7" w:rsidRDefault="006C7B04" w:rsidP="001E26E8">
      <w:pPr>
        <w:pStyle w:val="FootnoteText"/>
        <w:rPr>
          <w:rFonts w:cstheme="minorHAnsi"/>
          <w:i/>
          <w:iCs/>
          <w:color w:val="222222"/>
          <w:sz w:val="16"/>
          <w:szCs w:val="16"/>
          <w:shd w:val="clear" w:color="auto" w:fill="FFFFFF"/>
        </w:rPr>
      </w:pPr>
      <w:r>
        <w:rPr>
          <w:rStyle w:val="FootnoteReference"/>
        </w:rPr>
        <w:footnoteRef/>
      </w:r>
      <w:r>
        <w:t xml:space="preserve"> </w:t>
      </w:r>
      <w:r w:rsidRPr="001C0418">
        <w:rPr>
          <w:rFonts w:cstheme="minorHAnsi"/>
          <w:i/>
          <w:iCs/>
          <w:color w:val="222222"/>
          <w:sz w:val="16"/>
          <w:szCs w:val="16"/>
          <w:shd w:val="clear" w:color="auto" w:fill="FFFFFF"/>
        </w:rPr>
        <w:t>Trends in Number of COVID-19 Cases and Deaths in the US Reported to CDC, by State/Territory</w:t>
      </w:r>
      <w:r w:rsidRPr="00952AF7">
        <w:rPr>
          <w:rFonts w:cstheme="minorHAnsi"/>
          <w:i/>
          <w:iCs/>
          <w:color w:val="222222"/>
          <w:sz w:val="16"/>
          <w:szCs w:val="16"/>
          <w:shd w:val="clear" w:color="auto" w:fill="FFFFFF"/>
        </w:rPr>
        <w:t xml:space="preserve">, retrieved from </w:t>
      </w:r>
      <w:r>
        <w:rPr>
          <w:rFonts w:cstheme="minorHAnsi"/>
          <w:i/>
          <w:iCs/>
          <w:color w:val="222222"/>
          <w:sz w:val="16"/>
          <w:szCs w:val="16"/>
          <w:shd w:val="clear" w:color="auto" w:fill="FFFFFF"/>
        </w:rPr>
        <w:t>the Centers for Disease Control and Prevention (CDC)</w:t>
      </w:r>
      <w:r w:rsidRPr="00952AF7">
        <w:rPr>
          <w:rFonts w:cstheme="minorHAnsi"/>
          <w:i/>
          <w:iCs/>
          <w:color w:val="222222"/>
          <w:sz w:val="16"/>
          <w:szCs w:val="16"/>
          <w:shd w:val="clear" w:color="auto" w:fill="FFFFFF"/>
        </w:rPr>
        <w:t>,</w:t>
      </w:r>
      <w:r>
        <w:t xml:space="preserve"> </w:t>
      </w:r>
      <w:hyperlink r:id="rId2" w:anchor="trends_totalandratecases" w:history="1">
        <w:r>
          <w:rPr>
            <w:rStyle w:val="Hyperlink"/>
            <w:rFonts w:cstheme="minorHAnsi"/>
            <w:i/>
            <w:iCs/>
            <w:sz w:val="16"/>
            <w:szCs w:val="16"/>
            <w:shd w:val="clear" w:color="auto" w:fill="FFFFFF"/>
          </w:rPr>
          <w:t xml:space="preserve">https://covid.cdc.gov/covid-data-tracker/ - </w:t>
        </w:r>
        <w:proofErr w:type="spellStart"/>
        <w:r>
          <w:rPr>
            <w:rStyle w:val="Hyperlink"/>
            <w:rFonts w:cstheme="minorHAnsi"/>
            <w:i/>
            <w:iCs/>
            <w:sz w:val="16"/>
            <w:szCs w:val="16"/>
            <w:shd w:val="clear" w:color="auto" w:fill="FFFFFF"/>
          </w:rPr>
          <w:t>trends_totalandratecases</w:t>
        </w:r>
        <w:proofErr w:type="spellEnd"/>
      </w:hyperlink>
      <w:r w:rsidRPr="00952AF7">
        <w:rPr>
          <w:i/>
          <w:iCs/>
          <w:sz w:val="16"/>
          <w:szCs w:val="16"/>
        </w:rPr>
        <w:t>,</w:t>
      </w:r>
      <w:r w:rsidRPr="00952AF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p>
  </w:footnote>
  <w:footnote w:id="3">
    <w:p w14:paraId="07CD6D47" w14:textId="5741C417" w:rsidR="006C7B04" w:rsidRDefault="006C7B04">
      <w:pPr>
        <w:pStyle w:val="FootnoteText"/>
      </w:pPr>
      <w:r>
        <w:rPr>
          <w:rStyle w:val="FootnoteReference"/>
        </w:rPr>
        <w:footnoteRef/>
      </w:r>
      <w:r>
        <w:t xml:space="preserve"> </w:t>
      </w:r>
      <w:r w:rsidRPr="00714B74">
        <w:rPr>
          <w:i/>
          <w:iCs/>
          <w:sz w:val="16"/>
          <w:szCs w:val="16"/>
        </w:rPr>
        <w:t>State Coincident Indexes, retrieved from the Federal Reserve Bank of Philad</w:t>
      </w:r>
      <w:r>
        <w:rPr>
          <w:i/>
          <w:iCs/>
          <w:sz w:val="16"/>
          <w:szCs w:val="16"/>
        </w:rPr>
        <w:t>el</w:t>
      </w:r>
      <w:r w:rsidRPr="00714B74">
        <w:rPr>
          <w:i/>
          <w:iCs/>
          <w:sz w:val="16"/>
          <w:szCs w:val="16"/>
        </w:rPr>
        <w:t xml:space="preserve">phia, </w:t>
      </w:r>
      <w:hyperlink r:id="rId3" w:history="1">
        <w:r>
          <w:rPr>
            <w:rStyle w:val="Hyperlink"/>
            <w:i/>
            <w:iCs/>
            <w:sz w:val="16"/>
            <w:szCs w:val="16"/>
          </w:rPr>
          <w:t>https://www.philadelphiafed.org/-/media/research-and-data/regional-economy/indexes/coincident/2020/coincidentindexes0920.pdf</w:t>
        </w:r>
      </w:hyperlink>
      <w:r w:rsidRPr="00714B74">
        <w:rPr>
          <w:i/>
          <w:iCs/>
          <w:sz w:val="16"/>
          <w:szCs w:val="16"/>
        </w:rPr>
        <w:t xml:space="preserve">, </w:t>
      </w:r>
      <w:r>
        <w:rPr>
          <w:i/>
          <w:iCs/>
          <w:sz w:val="16"/>
          <w:szCs w:val="16"/>
        </w:rPr>
        <w:t>Jan 30, 2021.</w:t>
      </w:r>
    </w:p>
  </w:footnote>
  <w:footnote w:id="4">
    <w:p w14:paraId="04EBBD96" w14:textId="33A617BE" w:rsidR="006C7B04" w:rsidRPr="000322F4" w:rsidRDefault="006C7B04">
      <w:pPr>
        <w:pStyle w:val="FootnoteText"/>
        <w:rPr>
          <w:sz w:val="16"/>
          <w:szCs w:val="16"/>
          <w:lang w:val="en-PH"/>
        </w:rPr>
      </w:pPr>
      <w:r w:rsidRPr="000322F4">
        <w:rPr>
          <w:rStyle w:val="FootnoteReference"/>
          <w:sz w:val="16"/>
          <w:szCs w:val="16"/>
        </w:rPr>
        <w:footnoteRef/>
      </w:r>
      <w:r w:rsidRPr="000322F4">
        <w:rPr>
          <w:sz w:val="16"/>
          <w:szCs w:val="16"/>
        </w:rPr>
        <w:t xml:space="preserve"> </w:t>
      </w:r>
      <w:r w:rsidRPr="00DA3959">
        <w:rPr>
          <w:rFonts w:cstheme="minorHAnsi"/>
          <w:i/>
          <w:iCs/>
          <w:color w:val="222222"/>
          <w:sz w:val="16"/>
          <w:szCs w:val="16"/>
          <w:shd w:val="clear" w:color="auto" w:fill="FFFFFF"/>
        </w:rPr>
        <w:t xml:space="preserve">Board of Governors of the Federal Reserve System (US), Trade Weighted U.S. Dollar Index: Broad, Goods and Services [DTWEXBGS], retrieved from FRED, Federal Reserve Bank of St. Louis; </w:t>
      </w:r>
      <w:hyperlink r:id="rId4"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sidR="002218BC">
        <w:rPr>
          <w:rFonts w:cstheme="minorHAnsi"/>
          <w:i/>
          <w:iCs/>
          <w:color w:val="222222"/>
          <w:sz w:val="16"/>
          <w:szCs w:val="16"/>
          <w:shd w:val="clear" w:color="auto" w:fill="FFFFFF"/>
        </w:rPr>
        <w:t>Jan 30, 2021</w:t>
      </w:r>
      <w:r w:rsidRPr="00DA3959">
        <w:rPr>
          <w:rFonts w:cstheme="minorHAnsi"/>
          <w:i/>
          <w:iCs/>
          <w:color w:val="222222"/>
          <w:sz w:val="16"/>
          <w:szCs w:val="16"/>
          <w:shd w:val="clear" w:color="auto" w:fill="FFFFFF"/>
        </w:rPr>
        <w:t>.</w:t>
      </w:r>
    </w:p>
  </w:footnote>
  <w:footnote w:id="5">
    <w:p w14:paraId="517776FA" w14:textId="00F5AD94"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5"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6">
    <w:p w14:paraId="502F649B" w14:textId="1FFEDA0F" w:rsidR="006C7B04" w:rsidRPr="006A114D"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6"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7">
    <w:p w14:paraId="11F01E93" w14:textId="1BF250AF" w:rsidR="006C7B04" w:rsidRPr="00B65667" w:rsidRDefault="006C7B04">
      <w:pPr>
        <w:pStyle w:val="FootnoteText"/>
        <w:rPr>
          <w:i/>
          <w:iCs/>
          <w:sz w:val="16"/>
          <w:szCs w:val="16"/>
          <w:lang w:val="en-PH"/>
        </w:rPr>
      </w:pPr>
      <w:r>
        <w:rPr>
          <w:rStyle w:val="FootnoteReference"/>
        </w:rPr>
        <w:footnoteRef/>
      </w:r>
      <w:r>
        <w:t xml:space="preserve"> </w:t>
      </w:r>
      <w:r w:rsidRPr="00B65667">
        <w:rPr>
          <w:i/>
          <w:iCs/>
          <w:sz w:val="16"/>
          <w:szCs w:val="16"/>
          <w:lang w:val="en-PH"/>
        </w:rPr>
        <w:t xml:space="preserve">Selected Interest Rates Instruments, Yields in percent per annum, retrieved from FRED, Federal Reserve Bank of St. Louis; </w:t>
      </w:r>
      <w:hyperlink r:id="rId7" w:history="1">
        <w:r>
          <w:rPr>
            <w:rStyle w:val="Hyperlink"/>
            <w:i/>
            <w:iCs/>
            <w:sz w:val="16"/>
            <w:szCs w:val="16"/>
            <w:lang w:val="en-PH"/>
          </w:rPr>
          <w:t>https://fred.stlouisfed.org/release/tables?rid=18&amp;eid=289&amp;od=2020-09-30#</w:t>
        </w:r>
      </w:hyperlink>
      <w:r w:rsidRPr="00B65667">
        <w:rPr>
          <w:i/>
          <w:iCs/>
          <w:sz w:val="16"/>
          <w:szCs w:val="16"/>
          <w:lang w:val="en-PH"/>
        </w:rPr>
        <w:t xml:space="preserve">, </w:t>
      </w:r>
      <w:r>
        <w:rPr>
          <w:i/>
          <w:iCs/>
          <w:sz w:val="16"/>
          <w:szCs w:val="16"/>
          <w:lang w:val="en-PH"/>
        </w:rPr>
        <w:t>Jan 30, 2021</w:t>
      </w:r>
      <w:r w:rsidRPr="00B65667">
        <w:rPr>
          <w:i/>
          <w:iCs/>
          <w:sz w:val="16"/>
          <w:szCs w:val="16"/>
          <w:lang w:val="en-PH"/>
        </w:rPr>
        <w:t>.</w:t>
      </w:r>
    </w:p>
  </w:footnote>
  <w:footnote w:id="8">
    <w:p w14:paraId="35FA6FE7" w14:textId="5569A6FB"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65667">
        <w:rPr>
          <w:i/>
          <w:iCs/>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9">
    <w:p w14:paraId="5D92A033" w14:textId="231AC385" w:rsidR="006C7B04" w:rsidRPr="004759DB"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0">
    <w:p w14:paraId="29E4EDD1" w14:textId="5C25966E"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Moody’s, Moody’s Seasoned Baa Corporate Bond Yield [BAAS],</w:t>
      </w:r>
      <w:r w:rsidRPr="00BF5CE2">
        <w:rPr>
          <w:rFonts w:cstheme="minorHAnsi"/>
          <w:i/>
          <w:iCs/>
          <w:color w:val="222222"/>
          <w:sz w:val="16"/>
          <w:szCs w:val="16"/>
          <w:shd w:val="clear" w:color="auto" w:fill="FFFFFF"/>
        </w:rPr>
        <w:t xml:space="preserve"> retrieved from FRED, Federal Reserve Bank of St. Louis; </w:t>
      </w:r>
      <w:hyperlink r:id="rId10" w:history="1">
        <w:r w:rsidRPr="00BF5CE2">
          <w:rPr>
            <w:rStyle w:val="Hyperlink"/>
            <w:rFonts w:cstheme="minorHAnsi"/>
            <w:i/>
            <w:iCs/>
            <w:sz w:val="16"/>
            <w:szCs w:val="16"/>
            <w:shd w:val="clear" w:color="auto" w:fill="FFFFFF"/>
          </w:rPr>
          <w:t>https://fred.stlouisfed.org/series/BAA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1">
    <w:p w14:paraId="4C9DB6C9" w14:textId="4210B1AE" w:rsidR="006C7B04" w:rsidRPr="0052077C"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retrieved from FRED, Federal Reserve Bank of St. Louis; </w:t>
      </w:r>
      <w:hyperlink r:id="rId11" w:history="1">
        <w:r w:rsidRPr="00BF5CE2">
          <w:rPr>
            <w:rStyle w:val="Hyperlink"/>
            <w:rFonts w:cstheme="minorHAnsi"/>
            <w:i/>
            <w:iCs/>
            <w:sz w:val="16"/>
            <w:szCs w:val="16"/>
            <w:shd w:val="clear" w:color="auto" w:fill="FFFFFF"/>
          </w:rPr>
          <w:t>https://fred.stlouisfed.org/series/PAYEMS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2">
    <w:p w14:paraId="7DEAA574" w14:textId="0D24D443"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12"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3">
    <w:p w14:paraId="4135366E" w14:textId="698BAF6D"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13"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4">
    <w:p w14:paraId="1430DADA" w14:textId="7BCE0337" w:rsidR="006C7B04" w:rsidRDefault="006C7B04">
      <w:pPr>
        <w:pStyle w:val="FootnoteText"/>
      </w:pPr>
      <w:r>
        <w:rPr>
          <w:rStyle w:val="FootnoteReference"/>
        </w:rPr>
        <w:footnoteRef/>
      </w:r>
      <w:r>
        <w:t xml:space="preserve"> </w:t>
      </w:r>
      <w:r w:rsidRPr="008155BA">
        <w:rPr>
          <w:i/>
          <w:iCs/>
          <w:sz w:val="16"/>
          <w:szCs w:val="16"/>
        </w:rPr>
        <w:t xml:space="preserve">Survey of Consumer Expectations, retrieved from Federal Reserve Bank of New York, </w:t>
      </w:r>
      <w:hyperlink r:id="rId14" w:anchor="indicators/inflation-expectations/g1" w:history="1">
        <w:r>
          <w:rPr>
            <w:rStyle w:val="Hyperlink"/>
            <w:i/>
            <w:iCs/>
            <w:sz w:val="16"/>
            <w:szCs w:val="16"/>
          </w:rPr>
          <w:t>https://www.newyorkfed.org/microeconomics/sce - indicators/inflation-expectations/g1</w:t>
        </w:r>
      </w:hyperlink>
      <w:r w:rsidRPr="008155BA">
        <w:rPr>
          <w:i/>
          <w:iCs/>
          <w:sz w:val="16"/>
          <w:szCs w:val="16"/>
        </w:rPr>
        <w:t xml:space="preserve">, </w:t>
      </w:r>
      <w:r>
        <w:rPr>
          <w:i/>
          <w:iCs/>
          <w:sz w:val="16"/>
          <w:szCs w:val="16"/>
        </w:rPr>
        <w:t>Jan 30, 2021</w:t>
      </w:r>
    </w:p>
  </w:footnote>
  <w:footnote w:id="15">
    <w:p w14:paraId="2CF101DC" w14:textId="6AB0DFD0" w:rsidR="006C7B04" w:rsidRPr="00CB1375"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15"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6">
    <w:p w14:paraId="1C900108" w14:textId="69695733" w:rsidR="006C7B04" w:rsidRPr="000322F4" w:rsidRDefault="006C7B04"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Pr="000322F4">
        <w:rPr>
          <w:rFonts w:cstheme="minorHAnsi"/>
          <w:i/>
          <w:iCs/>
          <w:color w:val="222222"/>
          <w:sz w:val="16"/>
          <w:szCs w:val="16"/>
          <w:shd w:val="clear" w:color="auto" w:fill="FFFFFF"/>
        </w:rPr>
        <w:t>U.S. Energy Information Administration, Crude Oil Prices: West Texas Intermediate (WTI) – Cushing, Oklahoma [MCOILWTICO], retrieved from FRED, Federal Reserve Bank of St. Louis; </w:t>
      </w:r>
      <w:hyperlink r:id="rId16" w:history="1">
        <w:r w:rsidRPr="000322F4">
          <w:rPr>
            <w:rStyle w:val="Hyperlink"/>
            <w:rFonts w:cstheme="minorHAnsi"/>
            <w:i/>
            <w:iCs/>
            <w:sz w:val="16"/>
            <w:szCs w:val="16"/>
            <w:shd w:val="clear" w:color="auto" w:fill="FFFFFF"/>
          </w:rPr>
          <w:t>https://fred.stlouisfed.org/series/MCOILWTICO</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0322F4">
        <w:rPr>
          <w:rFonts w:cstheme="minorHAnsi"/>
          <w:i/>
          <w:iCs/>
          <w:color w:val="222222"/>
          <w:sz w:val="16"/>
          <w:szCs w:val="16"/>
          <w:shd w:val="clear" w:color="auto" w:fill="FFFFFF"/>
        </w:rPr>
        <w:t>.</w:t>
      </w:r>
    </w:p>
  </w:footnote>
  <w:footnote w:id="17">
    <w:p w14:paraId="11221A52" w14:textId="29E7EBF7"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17"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8">
    <w:p w14:paraId="6A794CBD" w14:textId="37A66572" w:rsidR="006C7B04" w:rsidRPr="00250313"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18"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19">
    <w:p w14:paraId="48E5411D" w14:textId="55B1684E"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Down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19"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20">
    <w:p w14:paraId="3C84FE4A" w14:textId="73B082FB" w:rsidR="006C7B04" w:rsidRPr="00BF5CE2" w:rsidRDefault="006C7B04">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20"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21">
    <w:p w14:paraId="08E11874" w14:textId="43898434" w:rsidR="006C7B04" w:rsidRPr="00933E80" w:rsidRDefault="006C7B0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r w:rsidRPr="00BF5CE2">
        <w:rPr>
          <w:rFonts w:cstheme="minorHAnsi"/>
          <w:i/>
          <w:iCs/>
          <w:color w:val="222222"/>
          <w:sz w:val="16"/>
          <w:szCs w:val="16"/>
          <w:shd w:val="clear" w:color="auto" w:fill="FFFFFF"/>
        </w:rPr>
        <w:t xml:space="preserve"> retrieved from FRED, Federal Reserve Bank of St. Louis; </w:t>
      </w:r>
      <w:hyperlink r:id="rId21" w:history="1">
        <w:r w:rsidRPr="00BF5CE2">
          <w:rPr>
            <w:rStyle w:val="Hyperlink"/>
            <w:rFonts w:cstheme="minorHAnsi"/>
            <w:i/>
            <w:iCs/>
            <w:sz w:val="16"/>
            <w:szCs w:val="16"/>
            <w:shd w:val="clear" w:color="auto" w:fill="FFFFFF"/>
          </w:rPr>
          <w:t>https://fred.stlouisfed.org/series/ALTSALES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BF5CE2">
        <w:rPr>
          <w:rFonts w:cstheme="minorHAnsi"/>
          <w:i/>
          <w:iCs/>
          <w:color w:val="222222"/>
          <w:sz w:val="16"/>
          <w:szCs w:val="16"/>
          <w:shd w:val="clear" w:color="auto" w:fill="FFFFFF"/>
        </w:rPr>
        <w:t>.</w:t>
      </w:r>
    </w:p>
  </w:footnote>
  <w:footnote w:id="22">
    <w:p w14:paraId="01357EF0" w14:textId="7460D774" w:rsidR="006C7B04" w:rsidRPr="00364347" w:rsidRDefault="006C7B04"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22" w:history="1">
        <w:r w:rsidRPr="00364347">
          <w:rPr>
            <w:rStyle w:val="Hyperlink"/>
            <w:i/>
            <w:iCs/>
            <w:sz w:val="16"/>
            <w:szCs w:val="16"/>
            <w:lang w:val="en-PH"/>
          </w:rPr>
          <w:t>https://fred.stlouisfed.org/series/UMCSENT</w:t>
        </w:r>
      </w:hyperlink>
      <w:r w:rsidRPr="00364347">
        <w:rPr>
          <w:i/>
          <w:iCs/>
          <w:sz w:val="16"/>
          <w:szCs w:val="16"/>
          <w:lang w:val="en-PH"/>
        </w:rPr>
        <w:t xml:space="preserve">, </w:t>
      </w:r>
      <w:r>
        <w:rPr>
          <w:i/>
          <w:iCs/>
          <w:sz w:val="16"/>
          <w:szCs w:val="16"/>
          <w:lang w:val="en-PH"/>
        </w:rPr>
        <w:t>Jan 30, 2021</w:t>
      </w:r>
      <w:r w:rsidRPr="00364347">
        <w:rPr>
          <w:i/>
          <w:iCs/>
          <w:sz w:val="16"/>
          <w:szCs w:val="16"/>
          <w:lang w:val="en-PH"/>
        </w:rPr>
        <w:t>.</w:t>
      </w:r>
    </w:p>
    <w:p w14:paraId="10C86738" w14:textId="29101548" w:rsidR="006C7B04" w:rsidRDefault="006C7B04">
      <w:pPr>
        <w:pStyle w:val="FootnoteText"/>
      </w:pPr>
    </w:p>
  </w:footnote>
  <w:footnote w:id="23">
    <w:p w14:paraId="3E58D959" w14:textId="3D7EAB49" w:rsidR="006C7B04" w:rsidRPr="00364347" w:rsidRDefault="006C7B04">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23" w:history="1">
        <w:r w:rsidRPr="00364347">
          <w:rPr>
            <w:rStyle w:val="Hyperlink"/>
            <w:i/>
            <w:iCs/>
            <w:sz w:val="16"/>
            <w:szCs w:val="16"/>
          </w:rPr>
          <w:t>https://fred.stlouisfed.org/series/VIXCLS</w:t>
        </w:r>
      </w:hyperlink>
      <w:r w:rsidRPr="00364347">
        <w:rPr>
          <w:i/>
          <w:iCs/>
          <w:sz w:val="16"/>
          <w:szCs w:val="16"/>
        </w:rPr>
        <w:t xml:space="preserve">, </w:t>
      </w:r>
      <w:r>
        <w:rPr>
          <w:i/>
          <w:iCs/>
          <w:sz w:val="16"/>
          <w:szCs w:val="16"/>
        </w:rPr>
        <w:t>Jan 30, 2021</w:t>
      </w:r>
      <w:r w:rsidRPr="00364347">
        <w:rPr>
          <w:i/>
          <w:iCs/>
          <w:sz w:val="16"/>
          <w:szCs w:val="16"/>
        </w:rPr>
        <w:t>.</w:t>
      </w:r>
    </w:p>
  </w:footnote>
  <w:footnote w:id="24">
    <w:p w14:paraId="1CF53D3A" w14:textId="6E91CAAC" w:rsidR="006C7B04" w:rsidRPr="00BF5CE2" w:rsidRDefault="006C7B04">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24"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Jan 30, 2021</w:t>
      </w:r>
      <w:r w:rsidRPr="002B29C7">
        <w:rPr>
          <w:rFonts w:cstheme="minorHAnsi"/>
          <w:i/>
          <w:iCs/>
          <w:color w:val="222222"/>
          <w:sz w:val="16"/>
          <w:szCs w:val="16"/>
          <w:shd w:val="clear" w:color="auto" w:fill="FFFFFF"/>
        </w:rPr>
        <w:t>.</w:t>
      </w:r>
    </w:p>
  </w:footnote>
  <w:footnote w:id="25">
    <w:p w14:paraId="054982F6" w14:textId="2726403B" w:rsidR="006C7B04" w:rsidRPr="005D3CEF" w:rsidRDefault="006C7B04">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25"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364347">
        <w:rPr>
          <w:rFonts w:cstheme="minorHAnsi"/>
          <w:i/>
          <w:iCs/>
          <w:color w:val="222222"/>
          <w:sz w:val="16"/>
          <w:szCs w:val="16"/>
          <w:shd w:val="clear" w:color="auto" w:fill="FFFFFF"/>
        </w:rPr>
        <w:t>.</w:t>
      </w:r>
    </w:p>
  </w:footnote>
  <w:footnote w:id="26">
    <w:p w14:paraId="4A7DBD07" w14:textId="5FCCB28C" w:rsidR="006C7B04" w:rsidRPr="00E72196" w:rsidRDefault="006C7B04"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26"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Jan 30, 2021</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5FE7" w14:textId="77777777" w:rsidR="006C7B04" w:rsidRPr="00460436" w:rsidRDefault="006C7B04"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111"/>
    <w:rsid w:val="0000055B"/>
    <w:rsid w:val="000017CB"/>
    <w:rsid w:val="000048BB"/>
    <w:rsid w:val="00005111"/>
    <w:rsid w:val="00014CBA"/>
    <w:rsid w:val="00021EA4"/>
    <w:rsid w:val="00022BB4"/>
    <w:rsid w:val="00023FB9"/>
    <w:rsid w:val="000248D0"/>
    <w:rsid w:val="00024E64"/>
    <w:rsid w:val="0002602B"/>
    <w:rsid w:val="0002760A"/>
    <w:rsid w:val="00027E1E"/>
    <w:rsid w:val="00030ECA"/>
    <w:rsid w:val="0003136B"/>
    <w:rsid w:val="000322F4"/>
    <w:rsid w:val="00033B75"/>
    <w:rsid w:val="00035810"/>
    <w:rsid w:val="00035F0C"/>
    <w:rsid w:val="0003611B"/>
    <w:rsid w:val="0004025D"/>
    <w:rsid w:val="0004306B"/>
    <w:rsid w:val="00046A04"/>
    <w:rsid w:val="00047034"/>
    <w:rsid w:val="00047E74"/>
    <w:rsid w:val="0005198D"/>
    <w:rsid w:val="00052F94"/>
    <w:rsid w:val="00053E46"/>
    <w:rsid w:val="0005726F"/>
    <w:rsid w:val="00057711"/>
    <w:rsid w:val="00060AA5"/>
    <w:rsid w:val="00061DAA"/>
    <w:rsid w:val="000644DB"/>
    <w:rsid w:val="000650B3"/>
    <w:rsid w:val="00065E14"/>
    <w:rsid w:val="0007056A"/>
    <w:rsid w:val="00071875"/>
    <w:rsid w:val="00072C36"/>
    <w:rsid w:val="000738AD"/>
    <w:rsid w:val="00074123"/>
    <w:rsid w:val="000742F7"/>
    <w:rsid w:val="0007515A"/>
    <w:rsid w:val="00076850"/>
    <w:rsid w:val="000807FF"/>
    <w:rsid w:val="00084604"/>
    <w:rsid w:val="00084608"/>
    <w:rsid w:val="00084C45"/>
    <w:rsid w:val="00086DBA"/>
    <w:rsid w:val="000874E3"/>
    <w:rsid w:val="00090DA6"/>
    <w:rsid w:val="00093D9A"/>
    <w:rsid w:val="00093EF4"/>
    <w:rsid w:val="0009699C"/>
    <w:rsid w:val="000A0001"/>
    <w:rsid w:val="000A0FCA"/>
    <w:rsid w:val="000A1224"/>
    <w:rsid w:val="000A239B"/>
    <w:rsid w:val="000A2C4B"/>
    <w:rsid w:val="000A3240"/>
    <w:rsid w:val="000A79DC"/>
    <w:rsid w:val="000B0583"/>
    <w:rsid w:val="000B0B86"/>
    <w:rsid w:val="000B42F9"/>
    <w:rsid w:val="000B4F85"/>
    <w:rsid w:val="000B5DA2"/>
    <w:rsid w:val="000B6EBB"/>
    <w:rsid w:val="000C1495"/>
    <w:rsid w:val="000C19DD"/>
    <w:rsid w:val="000C2E7D"/>
    <w:rsid w:val="000C6EEB"/>
    <w:rsid w:val="000C71C7"/>
    <w:rsid w:val="000D3995"/>
    <w:rsid w:val="000D47AB"/>
    <w:rsid w:val="000D4973"/>
    <w:rsid w:val="000D5719"/>
    <w:rsid w:val="000D646D"/>
    <w:rsid w:val="000D7BDC"/>
    <w:rsid w:val="000E1BAA"/>
    <w:rsid w:val="000E3192"/>
    <w:rsid w:val="000E5860"/>
    <w:rsid w:val="000E6060"/>
    <w:rsid w:val="000E6A61"/>
    <w:rsid w:val="000F1648"/>
    <w:rsid w:val="000F4AC6"/>
    <w:rsid w:val="000F59FF"/>
    <w:rsid w:val="001009B9"/>
    <w:rsid w:val="00100DF8"/>
    <w:rsid w:val="00102080"/>
    <w:rsid w:val="0010260B"/>
    <w:rsid w:val="00105413"/>
    <w:rsid w:val="00105A55"/>
    <w:rsid w:val="00107AB4"/>
    <w:rsid w:val="001116CA"/>
    <w:rsid w:val="00111911"/>
    <w:rsid w:val="00111974"/>
    <w:rsid w:val="00113C90"/>
    <w:rsid w:val="001149CD"/>
    <w:rsid w:val="00115717"/>
    <w:rsid w:val="00116B91"/>
    <w:rsid w:val="00117BB0"/>
    <w:rsid w:val="00121E2F"/>
    <w:rsid w:val="00122842"/>
    <w:rsid w:val="001235D8"/>
    <w:rsid w:val="001277B9"/>
    <w:rsid w:val="00130055"/>
    <w:rsid w:val="00131885"/>
    <w:rsid w:val="00134A21"/>
    <w:rsid w:val="00140712"/>
    <w:rsid w:val="00140763"/>
    <w:rsid w:val="00140FEE"/>
    <w:rsid w:val="001451F8"/>
    <w:rsid w:val="001460CC"/>
    <w:rsid w:val="001475FF"/>
    <w:rsid w:val="0015037B"/>
    <w:rsid w:val="001511FF"/>
    <w:rsid w:val="00153FBB"/>
    <w:rsid w:val="001545F2"/>
    <w:rsid w:val="00155E88"/>
    <w:rsid w:val="00156FE4"/>
    <w:rsid w:val="0016088B"/>
    <w:rsid w:val="00162E77"/>
    <w:rsid w:val="00163F37"/>
    <w:rsid w:val="00164566"/>
    <w:rsid w:val="00166778"/>
    <w:rsid w:val="0016688A"/>
    <w:rsid w:val="00166C08"/>
    <w:rsid w:val="00166F90"/>
    <w:rsid w:val="00171C8E"/>
    <w:rsid w:val="00172307"/>
    <w:rsid w:val="001737B6"/>
    <w:rsid w:val="001744C6"/>
    <w:rsid w:val="0017465F"/>
    <w:rsid w:val="00174B44"/>
    <w:rsid w:val="00174BCD"/>
    <w:rsid w:val="00174CC3"/>
    <w:rsid w:val="001756EC"/>
    <w:rsid w:val="0017576B"/>
    <w:rsid w:val="00176C00"/>
    <w:rsid w:val="001773AA"/>
    <w:rsid w:val="0018096F"/>
    <w:rsid w:val="00180CA9"/>
    <w:rsid w:val="001819E6"/>
    <w:rsid w:val="00183B61"/>
    <w:rsid w:val="00186318"/>
    <w:rsid w:val="00186873"/>
    <w:rsid w:val="001868CB"/>
    <w:rsid w:val="00187669"/>
    <w:rsid w:val="00193436"/>
    <w:rsid w:val="00195B12"/>
    <w:rsid w:val="001A3FBA"/>
    <w:rsid w:val="001A4F9E"/>
    <w:rsid w:val="001A5EDF"/>
    <w:rsid w:val="001A6C86"/>
    <w:rsid w:val="001B1490"/>
    <w:rsid w:val="001B4B76"/>
    <w:rsid w:val="001C0418"/>
    <w:rsid w:val="001C0F2A"/>
    <w:rsid w:val="001C1070"/>
    <w:rsid w:val="001C14A1"/>
    <w:rsid w:val="001C2541"/>
    <w:rsid w:val="001C38B9"/>
    <w:rsid w:val="001C7617"/>
    <w:rsid w:val="001D7D8D"/>
    <w:rsid w:val="001E04F8"/>
    <w:rsid w:val="001E15B0"/>
    <w:rsid w:val="001E26E8"/>
    <w:rsid w:val="001E42A6"/>
    <w:rsid w:val="001E6FCC"/>
    <w:rsid w:val="001E7445"/>
    <w:rsid w:val="001F4E3D"/>
    <w:rsid w:val="001F7970"/>
    <w:rsid w:val="0020145F"/>
    <w:rsid w:val="00203609"/>
    <w:rsid w:val="00204D9D"/>
    <w:rsid w:val="0021377C"/>
    <w:rsid w:val="00217AD5"/>
    <w:rsid w:val="00220B63"/>
    <w:rsid w:val="002218BC"/>
    <w:rsid w:val="002219B5"/>
    <w:rsid w:val="0022226D"/>
    <w:rsid w:val="002308A9"/>
    <w:rsid w:val="00230D29"/>
    <w:rsid w:val="00231FA3"/>
    <w:rsid w:val="00232336"/>
    <w:rsid w:val="00234F94"/>
    <w:rsid w:val="002361FB"/>
    <w:rsid w:val="00236B68"/>
    <w:rsid w:val="00237901"/>
    <w:rsid w:val="00237E71"/>
    <w:rsid w:val="002406D9"/>
    <w:rsid w:val="002435D7"/>
    <w:rsid w:val="00244C4D"/>
    <w:rsid w:val="00245903"/>
    <w:rsid w:val="002502D5"/>
    <w:rsid w:val="00250313"/>
    <w:rsid w:val="002516C6"/>
    <w:rsid w:val="002521FF"/>
    <w:rsid w:val="0025222E"/>
    <w:rsid w:val="00252A9B"/>
    <w:rsid w:val="00254176"/>
    <w:rsid w:val="0025469C"/>
    <w:rsid w:val="00255530"/>
    <w:rsid w:val="00255C32"/>
    <w:rsid w:val="0025666D"/>
    <w:rsid w:val="00257944"/>
    <w:rsid w:val="002608F3"/>
    <w:rsid w:val="0026329B"/>
    <w:rsid w:val="00265131"/>
    <w:rsid w:val="0026599C"/>
    <w:rsid w:val="002731EF"/>
    <w:rsid w:val="0027585A"/>
    <w:rsid w:val="002775DB"/>
    <w:rsid w:val="002817E1"/>
    <w:rsid w:val="0028237E"/>
    <w:rsid w:val="00283D6F"/>
    <w:rsid w:val="00285F67"/>
    <w:rsid w:val="00291763"/>
    <w:rsid w:val="00291FFB"/>
    <w:rsid w:val="00292B24"/>
    <w:rsid w:val="00296BEB"/>
    <w:rsid w:val="002972D2"/>
    <w:rsid w:val="002978F9"/>
    <w:rsid w:val="002A0B80"/>
    <w:rsid w:val="002A14C5"/>
    <w:rsid w:val="002A375D"/>
    <w:rsid w:val="002A3CB2"/>
    <w:rsid w:val="002A45E8"/>
    <w:rsid w:val="002A764F"/>
    <w:rsid w:val="002B16D0"/>
    <w:rsid w:val="002B29C7"/>
    <w:rsid w:val="002B2BBA"/>
    <w:rsid w:val="002C0EC8"/>
    <w:rsid w:val="002C240B"/>
    <w:rsid w:val="002C3C67"/>
    <w:rsid w:val="002C429F"/>
    <w:rsid w:val="002C5E52"/>
    <w:rsid w:val="002C601A"/>
    <w:rsid w:val="002C69A4"/>
    <w:rsid w:val="002D4C10"/>
    <w:rsid w:val="002D5CC3"/>
    <w:rsid w:val="002D660A"/>
    <w:rsid w:val="002E0DC9"/>
    <w:rsid w:val="002E2644"/>
    <w:rsid w:val="002E3213"/>
    <w:rsid w:val="002E3647"/>
    <w:rsid w:val="002E4494"/>
    <w:rsid w:val="002E58CF"/>
    <w:rsid w:val="002E6FDE"/>
    <w:rsid w:val="002E7ACF"/>
    <w:rsid w:val="002F0CDA"/>
    <w:rsid w:val="002F1660"/>
    <w:rsid w:val="002F1B2A"/>
    <w:rsid w:val="002F1B4B"/>
    <w:rsid w:val="002F1C7B"/>
    <w:rsid w:val="002F3682"/>
    <w:rsid w:val="002F3ADD"/>
    <w:rsid w:val="002F3CE6"/>
    <w:rsid w:val="002F6282"/>
    <w:rsid w:val="002F63F8"/>
    <w:rsid w:val="002F7417"/>
    <w:rsid w:val="003028B3"/>
    <w:rsid w:val="00304B4E"/>
    <w:rsid w:val="00306B1D"/>
    <w:rsid w:val="003071CD"/>
    <w:rsid w:val="00307A87"/>
    <w:rsid w:val="0031179D"/>
    <w:rsid w:val="00311E77"/>
    <w:rsid w:val="00314985"/>
    <w:rsid w:val="003167AC"/>
    <w:rsid w:val="00316CBD"/>
    <w:rsid w:val="00316E8F"/>
    <w:rsid w:val="00317448"/>
    <w:rsid w:val="003175DC"/>
    <w:rsid w:val="00321AA2"/>
    <w:rsid w:val="00322C58"/>
    <w:rsid w:val="00323C75"/>
    <w:rsid w:val="00327700"/>
    <w:rsid w:val="0033052C"/>
    <w:rsid w:val="003316E9"/>
    <w:rsid w:val="00331CF3"/>
    <w:rsid w:val="00332197"/>
    <w:rsid w:val="00334DE4"/>
    <w:rsid w:val="00336F2C"/>
    <w:rsid w:val="003376CD"/>
    <w:rsid w:val="00337BD8"/>
    <w:rsid w:val="00340B8A"/>
    <w:rsid w:val="003414E7"/>
    <w:rsid w:val="00346350"/>
    <w:rsid w:val="003477B7"/>
    <w:rsid w:val="003479C3"/>
    <w:rsid w:val="00353F0A"/>
    <w:rsid w:val="00354195"/>
    <w:rsid w:val="00354414"/>
    <w:rsid w:val="0035542E"/>
    <w:rsid w:val="00360100"/>
    <w:rsid w:val="00361E70"/>
    <w:rsid w:val="00362202"/>
    <w:rsid w:val="00363E78"/>
    <w:rsid w:val="00364347"/>
    <w:rsid w:val="003643F8"/>
    <w:rsid w:val="0036641E"/>
    <w:rsid w:val="003711BF"/>
    <w:rsid w:val="00371414"/>
    <w:rsid w:val="00372F3C"/>
    <w:rsid w:val="003802E7"/>
    <w:rsid w:val="003812D0"/>
    <w:rsid w:val="0038144F"/>
    <w:rsid w:val="00382C86"/>
    <w:rsid w:val="00385105"/>
    <w:rsid w:val="00386023"/>
    <w:rsid w:val="00387C82"/>
    <w:rsid w:val="0039196F"/>
    <w:rsid w:val="00392D01"/>
    <w:rsid w:val="00393B78"/>
    <w:rsid w:val="0039421C"/>
    <w:rsid w:val="00394236"/>
    <w:rsid w:val="00395B3E"/>
    <w:rsid w:val="00396E51"/>
    <w:rsid w:val="0039736B"/>
    <w:rsid w:val="00397F57"/>
    <w:rsid w:val="003A0447"/>
    <w:rsid w:val="003A390C"/>
    <w:rsid w:val="003A3D8A"/>
    <w:rsid w:val="003A4BCC"/>
    <w:rsid w:val="003A679B"/>
    <w:rsid w:val="003B0615"/>
    <w:rsid w:val="003B0B22"/>
    <w:rsid w:val="003B2BFB"/>
    <w:rsid w:val="003B4D22"/>
    <w:rsid w:val="003C1A72"/>
    <w:rsid w:val="003C1F24"/>
    <w:rsid w:val="003C4CAF"/>
    <w:rsid w:val="003D112A"/>
    <w:rsid w:val="003D3C51"/>
    <w:rsid w:val="003D4159"/>
    <w:rsid w:val="003E18DF"/>
    <w:rsid w:val="003E282E"/>
    <w:rsid w:val="003E3E2D"/>
    <w:rsid w:val="003E4ACB"/>
    <w:rsid w:val="003E5CFB"/>
    <w:rsid w:val="003F2FE7"/>
    <w:rsid w:val="003F5061"/>
    <w:rsid w:val="00401A65"/>
    <w:rsid w:val="0040211C"/>
    <w:rsid w:val="00403355"/>
    <w:rsid w:val="0040653A"/>
    <w:rsid w:val="0041138E"/>
    <w:rsid w:val="00411404"/>
    <w:rsid w:val="00411A4C"/>
    <w:rsid w:val="004134F4"/>
    <w:rsid w:val="00413EE3"/>
    <w:rsid w:val="00421F60"/>
    <w:rsid w:val="0042476E"/>
    <w:rsid w:val="00424E74"/>
    <w:rsid w:val="00427110"/>
    <w:rsid w:val="0042719D"/>
    <w:rsid w:val="0043016A"/>
    <w:rsid w:val="00440FEB"/>
    <w:rsid w:val="00442163"/>
    <w:rsid w:val="00442565"/>
    <w:rsid w:val="00442A7A"/>
    <w:rsid w:val="00442BF6"/>
    <w:rsid w:val="00443A15"/>
    <w:rsid w:val="00445A11"/>
    <w:rsid w:val="00446C08"/>
    <w:rsid w:val="004476DE"/>
    <w:rsid w:val="00447E7F"/>
    <w:rsid w:val="004506CC"/>
    <w:rsid w:val="0045095D"/>
    <w:rsid w:val="0045097E"/>
    <w:rsid w:val="004513EB"/>
    <w:rsid w:val="00451755"/>
    <w:rsid w:val="00453708"/>
    <w:rsid w:val="00454F4B"/>
    <w:rsid w:val="0045550A"/>
    <w:rsid w:val="00457E1D"/>
    <w:rsid w:val="00460436"/>
    <w:rsid w:val="00460DE2"/>
    <w:rsid w:val="00460E43"/>
    <w:rsid w:val="00463560"/>
    <w:rsid w:val="00466612"/>
    <w:rsid w:val="00466861"/>
    <w:rsid w:val="00467AB1"/>
    <w:rsid w:val="004709B0"/>
    <w:rsid w:val="004759DB"/>
    <w:rsid w:val="004778D8"/>
    <w:rsid w:val="004907DA"/>
    <w:rsid w:val="00490AFD"/>
    <w:rsid w:val="0049182B"/>
    <w:rsid w:val="00491B4B"/>
    <w:rsid w:val="00493CF1"/>
    <w:rsid w:val="00494933"/>
    <w:rsid w:val="004965CE"/>
    <w:rsid w:val="00496E13"/>
    <w:rsid w:val="004A0649"/>
    <w:rsid w:val="004A0947"/>
    <w:rsid w:val="004A0ABB"/>
    <w:rsid w:val="004A4BD1"/>
    <w:rsid w:val="004B047B"/>
    <w:rsid w:val="004B2BFB"/>
    <w:rsid w:val="004B2DF4"/>
    <w:rsid w:val="004B3923"/>
    <w:rsid w:val="004B3B5E"/>
    <w:rsid w:val="004B6D7A"/>
    <w:rsid w:val="004B7D92"/>
    <w:rsid w:val="004C20AB"/>
    <w:rsid w:val="004C587A"/>
    <w:rsid w:val="004C6B76"/>
    <w:rsid w:val="004D0515"/>
    <w:rsid w:val="004D099A"/>
    <w:rsid w:val="004D1C9D"/>
    <w:rsid w:val="004D1DA4"/>
    <w:rsid w:val="004E1574"/>
    <w:rsid w:val="004E2AB3"/>
    <w:rsid w:val="004E2C09"/>
    <w:rsid w:val="004E3393"/>
    <w:rsid w:val="004E4A45"/>
    <w:rsid w:val="004E4B6F"/>
    <w:rsid w:val="004E5EC0"/>
    <w:rsid w:val="004E7265"/>
    <w:rsid w:val="004F1527"/>
    <w:rsid w:val="004F307A"/>
    <w:rsid w:val="004F330B"/>
    <w:rsid w:val="004F3ADA"/>
    <w:rsid w:val="004F55C9"/>
    <w:rsid w:val="004F67A9"/>
    <w:rsid w:val="004F73C7"/>
    <w:rsid w:val="00502B32"/>
    <w:rsid w:val="00504F45"/>
    <w:rsid w:val="005117CA"/>
    <w:rsid w:val="005127D3"/>
    <w:rsid w:val="00515DB3"/>
    <w:rsid w:val="00515E9D"/>
    <w:rsid w:val="00516EDD"/>
    <w:rsid w:val="005200CA"/>
    <w:rsid w:val="0052077C"/>
    <w:rsid w:val="00521F1D"/>
    <w:rsid w:val="00525C1B"/>
    <w:rsid w:val="005261C1"/>
    <w:rsid w:val="00532A06"/>
    <w:rsid w:val="005356B5"/>
    <w:rsid w:val="00536754"/>
    <w:rsid w:val="00536B00"/>
    <w:rsid w:val="005378C5"/>
    <w:rsid w:val="00541D29"/>
    <w:rsid w:val="005425D7"/>
    <w:rsid w:val="00542F5A"/>
    <w:rsid w:val="00544623"/>
    <w:rsid w:val="005475F2"/>
    <w:rsid w:val="005505E5"/>
    <w:rsid w:val="00550C7C"/>
    <w:rsid w:val="00551864"/>
    <w:rsid w:val="00554121"/>
    <w:rsid w:val="005554F5"/>
    <w:rsid w:val="0055555A"/>
    <w:rsid w:val="005563D4"/>
    <w:rsid w:val="00556EAD"/>
    <w:rsid w:val="00557239"/>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BEE"/>
    <w:rsid w:val="00584B8E"/>
    <w:rsid w:val="00587C5A"/>
    <w:rsid w:val="00590322"/>
    <w:rsid w:val="005917C1"/>
    <w:rsid w:val="00594B4A"/>
    <w:rsid w:val="005954B1"/>
    <w:rsid w:val="005A693F"/>
    <w:rsid w:val="005B1168"/>
    <w:rsid w:val="005B1ACA"/>
    <w:rsid w:val="005B40E5"/>
    <w:rsid w:val="005C021F"/>
    <w:rsid w:val="005C0423"/>
    <w:rsid w:val="005C0A6E"/>
    <w:rsid w:val="005C0D2D"/>
    <w:rsid w:val="005C2215"/>
    <w:rsid w:val="005C2F47"/>
    <w:rsid w:val="005C493F"/>
    <w:rsid w:val="005C532B"/>
    <w:rsid w:val="005C6CD5"/>
    <w:rsid w:val="005C771E"/>
    <w:rsid w:val="005D06C9"/>
    <w:rsid w:val="005D1E0A"/>
    <w:rsid w:val="005D1E7F"/>
    <w:rsid w:val="005D3CEF"/>
    <w:rsid w:val="005D43B8"/>
    <w:rsid w:val="005D5553"/>
    <w:rsid w:val="005D6316"/>
    <w:rsid w:val="005E19C2"/>
    <w:rsid w:val="005E306A"/>
    <w:rsid w:val="005E3622"/>
    <w:rsid w:val="005E56AE"/>
    <w:rsid w:val="005E67EF"/>
    <w:rsid w:val="005E797B"/>
    <w:rsid w:val="005E7A94"/>
    <w:rsid w:val="005F07E9"/>
    <w:rsid w:val="005F1D7F"/>
    <w:rsid w:val="005F5744"/>
    <w:rsid w:val="006055F4"/>
    <w:rsid w:val="006068F7"/>
    <w:rsid w:val="00610140"/>
    <w:rsid w:val="0061080D"/>
    <w:rsid w:val="00610894"/>
    <w:rsid w:val="0061200D"/>
    <w:rsid w:val="006130EE"/>
    <w:rsid w:val="00615B70"/>
    <w:rsid w:val="006167DB"/>
    <w:rsid w:val="00617DFF"/>
    <w:rsid w:val="00617E5C"/>
    <w:rsid w:val="00620094"/>
    <w:rsid w:val="00621173"/>
    <w:rsid w:val="0062162D"/>
    <w:rsid w:val="00623672"/>
    <w:rsid w:val="0062444A"/>
    <w:rsid w:val="00624AEF"/>
    <w:rsid w:val="0062659E"/>
    <w:rsid w:val="00626DAC"/>
    <w:rsid w:val="00627C19"/>
    <w:rsid w:val="00627DE7"/>
    <w:rsid w:val="006314B9"/>
    <w:rsid w:val="00631555"/>
    <w:rsid w:val="00632F4E"/>
    <w:rsid w:val="006331A2"/>
    <w:rsid w:val="006342D9"/>
    <w:rsid w:val="00634658"/>
    <w:rsid w:val="00634787"/>
    <w:rsid w:val="00640C9C"/>
    <w:rsid w:val="00640DD5"/>
    <w:rsid w:val="00643797"/>
    <w:rsid w:val="006439EA"/>
    <w:rsid w:val="00643FBF"/>
    <w:rsid w:val="006451FA"/>
    <w:rsid w:val="0064538F"/>
    <w:rsid w:val="00650430"/>
    <w:rsid w:val="00650582"/>
    <w:rsid w:val="00651AC2"/>
    <w:rsid w:val="00654B02"/>
    <w:rsid w:val="006553D1"/>
    <w:rsid w:val="006575D2"/>
    <w:rsid w:val="00657642"/>
    <w:rsid w:val="00660A13"/>
    <w:rsid w:val="00660C7A"/>
    <w:rsid w:val="00660C8A"/>
    <w:rsid w:val="006619DC"/>
    <w:rsid w:val="006646E8"/>
    <w:rsid w:val="006663D0"/>
    <w:rsid w:val="00670FB1"/>
    <w:rsid w:val="0067215A"/>
    <w:rsid w:val="00673A89"/>
    <w:rsid w:val="0067456E"/>
    <w:rsid w:val="006748EE"/>
    <w:rsid w:val="00675F26"/>
    <w:rsid w:val="00682B7E"/>
    <w:rsid w:val="00690C93"/>
    <w:rsid w:val="0069122E"/>
    <w:rsid w:val="00691D14"/>
    <w:rsid w:val="00694624"/>
    <w:rsid w:val="00695441"/>
    <w:rsid w:val="00695980"/>
    <w:rsid w:val="00696388"/>
    <w:rsid w:val="006970E9"/>
    <w:rsid w:val="006A01A0"/>
    <w:rsid w:val="006A0819"/>
    <w:rsid w:val="006A114D"/>
    <w:rsid w:val="006A5321"/>
    <w:rsid w:val="006A62EE"/>
    <w:rsid w:val="006A687C"/>
    <w:rsid w:val="006A6BFF"/>
    <w:rsid w:val="006B394A"/>
    <w:rsid w:val="006B3D25"/>
    <w:rsid w:val="006B792C"/>
    <w:rsid w:val="006C08FA"/>
    <w:rsid w:val="006C28D8"/>
    <w:rsid w:val="006C2DAB"/>
    <w:rsid w:val="006C6752"/>
    <w:rsid w:val="006C7116"/>
    <w:rsid w:val="006C7B04"/>
    <w:rsid w:val="006D2660"/>
    <w:rsid w:val="006D3877"/>
    <w:rsid w:val="006D4E8F"/>
    <w:rsid w:val="006D518C"/>
    <w:rsid w:val="006D579F"/>
    <w:rsid w:val="006E0830"/>
    <w:rsid w:val="006E4B4F"/>
    <w:rsid w:val="006E5760"/>
    <w:rsid w:val="006E608A"/>
    <w:rsid w:val="006E621A"/>
    <w:rsid w:val="006E69A7"/>
    <w:rsid w:val="006E6EAA"/>
    <w:rsid w:val="006F060A"/>
    <w:rsid w:val="006F0678"/>
    <w:rsid w:val="006F1B14"/>
    <w:rsid w:val="006F3E36"/>
    <w:rsid w:val="006F49C7"/>
    <w:rsid w:val="006F4DB7"/>
    <w:rsid w:val="006F6733"/>
    <w:rsid w:val="006F7FB2"/>
    <w:rsid w:val="00700166"/>
    <w:rsid w:val="00701D95"/>
    <w:rsid w:val="00703D80"/>
    <w:rsid w:val="007062B8"/>
    <w:rsid w:val="00707B5E"/>
    <w:rsid w:val="007102D3"/>
    <w:rsid w:val="007110AF"/>
    <w:rsid w:val="00714B74"/>
    <w:rsid w:val="00724C08"/>
    <w:rsid w:val="0072697B"/>
    <w:rsid w:val="00730BC7"/>
    <w:rsid w:val="00730C3D"/>
    <w:rsid w:val="007329E1"/>
    <w:rsid w:val="0073598E"/>
    <w:rsid w:val="007361CC"/>
    <w:rsid w:val="00737D58"/>
    <w:rsid w:val="00740863"/>
    <w:rsid w:val="0074137C"/>
    <w:rsid w:val="00741DA8"/>
    <w:rsid w:val="00742E84"/>
    <w:rsid w:val="00743683"/>
    <w:rsid w:val="00743A12"/>
    <w:rsid w:val="0075479C"/>
    <w:rsid w:val="00755B70"/>
    <w:rsid w:val="00756248"/>
    <w:rsid w:val="00756A49"/>
    <w:rsid w:val="007602B9"/>
    <w:rsid w:val="00761D36"/>
    <w:rsid w:val="0076272C"/>
    <w:rsid w:val="007635CE"/>
    <w:rsid w:val="0076678E"/>
    <w:rsid w:val="0076717F"/>
    <w:rsid w:val="0077027E"/>
    <w:rsid w:val="00770759"/>
    <w:rsid w:val="007736DF"/>
    <w:rsid w:val="00773AC4"/>
    <w:rsid w:val="00773B5B"/>
    <w:rsid w:val="00773E0E"/>
    <w:rsid w:val="007807DE"/>
    <w:rsid w:val="00782F5F"/>
    <w:rsid w:val="0078488C"/>
    <w:rsid w:val="00791F5C"/>
    <w:rsid w:val="007929DB"/>
    <w:rsid w:val="00792E5D"/>
    <w:rsid w:val="00795569"/>
    <w:rsid w:val="0079609A"/>
    <w:rsid w:val="007A0574"/>
    <w:rsid w:val="007A0E93"/>
    <w:rsid w:val="007A5255"/>
    <w:rsid w:val="007A770A"/>
    <w:rsid w:val="007A7FCF"/>
    <w:rsid w:val="007B0C0E"/>
    <w:rsid w:val="007B0FB5"/>
    <w:rsid w:val="007B178B"/>
    <w:rsid w:val="007B3A9E"/>
    <w:rsid w:val="007B5780"/>
    <w:rsid w:val="007B5CA1"/>
    <w:rsid w:val="007B7D73"/>
    <w:rsid w:val="007C1E79"/>
    <w:rsid w:val="007C4944"/>
    <w:rsid w:val="007C54CB"/>
    <w:rsid w:val="007D4FF9"/>
    <w:rsid w:val="007E3ED3"/>
    <w:rsid w:val="007E5B14"/>
    <w:rsid w:val="007E7320"/>
    <w:rsid w:val="007E76B7"/>
    <w:rsid w:val="007F04AE"/>
    <w:rsid w:val="007F1968"/>
    <w:rsid w:val="007F34A5"/>
    <w:rsid w:val="007F58C3"/>
    <w:rsid w:val="007F590E"/>
    <w:rsid w:val="007F5A38"/>
    <w:rsid w:val="007F5D12"/>
    <w:rsid w:val="007F67C3"/>
    <w:rsid w:val="0080028D"/>
    <w:rsid w:val="0080052B"/>
    <w:rsid w:val="00805C12"/>
    <w:rsid w:val="0080666E"/>
    <w:rsid w:val="00811606"/>
    <w:rsid w:val="00811FA7"/>
    <w:rsid w:val="008129B2"/>
    <w:rsid w:val="00813396"/>
    <w:rsid w:val="008155BA"/>
    <w:rsid w:val="008162B7"/>
    <w:rsid w:val="00816313"/>
    <w:rsid w:val="00816C0F"/>
    <w:rsid w:val="00822038"/>
    <w:rsid w:val="00822897"/>
    <w:rsid w:val="00823A4E"/>
    <w:rsid w:val="00823E2B"/>
    <w:rsid w:val="00826AE7"/>
    <w:rsid w:val="00826F0B"/>
    <w:rsid w:val="008339F4"/>
    <w:rsid w:val="00833A07"/>
    <w:rsid w:val="00835434"/>
    <w:rsid w:val="00836176"/>
    <w:rsid w:val="00837DF2"/>
    <w:rsid w:val="00842094"/>
    <w:rsid w:val="0084463F"/>
    <w:rsid w:val="0084528D"/>
    <w:rsid w:val="00850A64"/>
    <w:rsid w:val="00855A46"/>
    <w:rsid w:val="008564EA"/>
    <w:rsid w:val="00857079"/>
    <w:rsid w:val="00860631"/>
    <w:rsid w:val="008636F9"/>
    <w:rsid w:val="00865CE8"/>
    <w:rsid w:val="008664EB"/>
    <w:rsid w:val="00870469"/>
    <w:rsid w:val="00873466"/>
    <w:rsid w:val="00874DE9"/>
    <w:rsid w:val="00875F25"/>
    <w:rsid w:val="0087715C"/>
    <w:rsid w:val="00877D3C"/>
    <w:rsid w:val="00882E60"/>
    <w:rsid w:val="008845A9"/>
    <w:rsid w:val="008860FC"/>
    <w:rsid w:val="00886D3A"/>
    <w:rsid w:val="008874C1"/>
    <w:rsid w:val="00890513"/>
    <w:rsid w:val="0089070C"/>
    <w:rsid w:val="00890B68"/>
    <w:rsid w:val="0089260E"/>
    <w:rsid w:val="00892D49"/>
    <w:rsid w:val="008932A3"/>
    <w:rsid w:val="00893CB8"/>
    <w:rsid w:val="00894FB2"/>
    <w:rsid w:val="00895BD8"/>
    <w:rsid w:val="0089655B"/>
    <w:rsid w:val="00896D03"/>
    <w:rsid w:val="008972D1"/>
    <w:rsid w:val="00897BC8"/>
    <w:rsid w:val="008A0838"/>
    <w:rsid w:val="008A13E7"/>
    <w:rsid w:val="008A3F35"/>
    <w:rsid w:val="008A581A"/>
    <w:rsid w:val="008A5F7F"/>
    <w:rsid w:val="008A63E2"/>
    <w:rsid w:val="008A6630"/>
    <w:rsid w:val="008A6DB9"/>
    <w:rsid w:val="008A7D83"/>
    <w:rsid w:val="008B0154"/>
    <w:rsid w:val="008B1963"/>
    <w:rsid w:val="008B20D0"/>
    <w:rsid w:val="008B24F2"/>
    <w:rsid w:val="008B2769"/>
    <w:rsid w:val="008B37F0"/>
    <w:rsid w:val="008B3E4E"/>
    <w:rsid w:val="008B41BC"/>
    <w:rsid w:val="008B4702"/>
    <w:rsid w:val="008B65B4"/>
    <w:rsid w:val="008C0F54"/>
    <w:rsid w:val="008C1C56"/>
    <w:rsid w:val="008C5503"/>
    <w:rsid w:val="008C5726"/>
    <w:rsid w:val="008C798A"/>
    <w:rsid w:val="008D1C86"/>
    <w:rsid w:val="008D6371"/>
    <w:rsid w:val="008E1296"/>
    <w:rsid w:val="008E270A"/>
    <w:rsid w:val="008E72E3"/>
    <w:rsid w:val="008F4B7D"/>
    <w:rsid w:val="008F4B82"/>
    <w:rsid w:val="009130AF"/>
    <w:rsid w:val="00913825"/>
    <w:rsid w:val="009141C1"/>
    <w:rsid w:val="009148CA"/>
    <w:rsid w:val="00914EA8"/>
    <w:rsid w:val="0091664E"/>
    <w:rsid w:val="009169A4"/>
    <w:rsid w:val="009170B7"/>
    <w:rsid w:val="00920236"/>
    <w:rsid w:val="009219D9"/>
    <w:rsid w:val="0092287E"/>
    <w:rsid w:val="0092347C"/>
    <w:rsid w:val="0092472D"/>
    <w:rsid w:val="00925F58"/>
    <w:rsid w:val="009262AA"/>
    <w:rsid w:val="00926438"/>
    <w:rsid w:val="009323CA"/>
    <w:rsid w:val="0093291C"/>
    <w:rsid w:val="00932DD8"/>
    <w:rsid w:val="00933213"/>
    <w:rsid w:val="00933E80"/>
    <w:rsid w:val="009343D3"/>
    <w:rsid w:val="00937D2C"/>
    <w:rsid w:val="009411C1"/>
    <w:rsid w:val="00942366"/>
    <w:rsid w:val="00943329"/>
    <w:rsid w:val="00943ED3"/>
    <w:rsid w:val="009445E7"/>
    <w:rsid w:val="0094654A"/>
    <w:rsid w:val="0094736B"/>
    <w:rsid w:val="0095004D"/>
    <w:rsid w:val="009515AA"/>
    <w:rsid w:val="00951DAA"/>
    <w:rsid w:val="009524D9"/>
    <w:rsid w:val="00952AF7"/>
    <w:rsid w:val="00953DDB"/>
    <w:rsid w:val="00955094"/>
    <w:rsid w:val="00960B49"/>
    <w:rsid w:val="009648C3"/>
    <w:rsid w:val="00964DD4"/>
    <w:rsid w:val="009669F1"/>
    <w:rsid w:val="00966BA6"/>
    <w:rsid w:val="0096732C"/>
    <w:rsid w:val="009675A9"/>
    <w:rsid w:val="009714E6"/>
    <w:rsid w:val="00971553"/>
    <w:rsid w:val="009717A1"/>
    <w:rsid w:val="009774D1"/>
    <w:rsid w:val="00977737"/>
    <w:rsid w:val="00981C70"/>
    <w:rsid w:val="00982654"/>
    <w:rsid w:val="00982B60"/>
    <w:rsid w:val="009878F0"/>
    <w:rsid w:val="00987AB7"/>
    <w:rsid w:val="00987FB6"/>
    <w:rsid w:val="00990761"/>
    <w:rsid w:val="00992467"/>
    <w:rsid w:val="009972A2"/>
    <w:rsid w:val="0099783F"/>
    <w:rsid w:val="009A0B29"/>
    <w:rsid w:val="009A106A"/>
    <w:rsid w:val="009A13D9"/>
    <w:rsid w:val="009A1711"/>
    <w:rsid w:val="009A181B"/>
    <w:rsid w:val="009A36DD"/>
    <w:rsid w:val="009A4508"/>
    <w:rsid w:val="009A6A40"/>
    <w:rsid w:val="009B1B6B"/>
    <w:rsid w:val="009B2A0E"/>
    <w:rsid w:val="009B5606"/>
    <w:rsid w:val="009B603A"/>
    <w:rsid w:val="009B7956"/>
    <w:rsid w:val="009C057C"/>
    <w:rsid w:val="009C0945"/>
    <w:rsid w:val="009C0F33"/>
    <w:rsid w:val="009C1E6B"/>
    <w:rsid w:val="009C4651"/>
    <w:rsid w:val="009C5CDE"/>
    <w:rsid w:val="009C74AB"/>
    <w:rsid w:val="009D26B5"/>
    <w:rsid w:val="009D3151"/>
    <w:rsid w:val="009D5A7B"/>
    <w:rsid w:val="009E013E"/>
    <w:rsid w:val="009E44F2"/>
    <w:rsid w:val="009E4A2E"/>
    <w:rsid w:val="009E4D8D"/>
    <w:rsid w:val="009E6453"/>
    <w:rsid w:val="009F1C9C"/>
    <w:rsid w:val="009F272A"/>
    <w:rsid w:val="009F2830"/>
    <w:rsid w:val="009F3181"/>
    <w:rsid w:val="009F6EB6"/>
    <w:rsid w:val="009F790B"/>
    <w:rsid w:val="009F7EB5"/>
    <w:rsid w:val="00A01E81"/>
    <w:rsid w:val="00A04AD3"/>
    <w:rsid w:val="00A073CB"/>
    <w:rsid w:val="00A07D5A"/>
    <w:rsid w:val="00A11CAC"/>
    <w:rsid w:val="00A14CD4"/>
    <w:rsid w:val="00A223EC"/>
    <w:rsid w:val="00A262DF"/>
    <w:rsid w:val="00A2684A"/>
    <w:rsid w:val="00A27EB6"/>
    <w:rsid w:val="00A30440"/>
    <w:rsid w:val="00A325AB"/>
    <w:rsid w:val="00A41316"/>
    <w:rsid w:val="00A45F59"/>
    <w:rsid w:val="00A5218C"/>
    <w:rsid w:val="00A52469"/>
    <w:rsid w:val="00A52E02"/>
    <w:rsid w:val="00A57EA4"/>
    <w:rsid w:val="00A60213"/>
    <w:rsid w:val="00A6114B"/>
    <w:rsid w:val="00A615E8"/>
    <w:rsid w:val="00A61C0E"/>
    <w:rsid w:val="00A645D8"/>
    <w:rsid w:val="00A670FB"/>
    <w:rsid w:val="00A72343"/>
    <w:rsid w:val="00A730DC"/>
    <w:rsid w:val="00A75687"/>
    <w:rsid w:val="00A76F02"/>
    <w:rsid w:val="00A77399"/>
    <w:rsid w:val="00A77981"/>
    <w:rsid w:val="00A82B9E"/>
    <w:rsid w:val="00A841DE"/>
    <w:rsid w:val="00A8559D"/>
    <w:rsid w:val="00A931A3"/>
    <w:rsid w:val="00A9408A"/>
    <w:rsid w:val="00A96795"/>
    <w:rsid w:val="00A96A6A"/>
    <w:rsid w:val="00A96E27"/>
    <w:rsid w:val="00A97343"/>
    <w:rsid w:val="00AA1DAF"/>
    <w:rsid w:val="00AA236F"/>
    <w:rsid w:val="00AA2E90"/>
    <w:rsid w:val="00AA37BC"/>
    <w:rsid w:val="00AA651C"/>
    <w:rsid w:val="00AA7A1B"/>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4E03"/>
    <w:rsid w:val="00AE53C0"/>
    <w:rsid w:val="00AE64EF"/>
    <w:rsid w:val="00AE7215"/>
    <w:rsid w:val="00AF2763"/>
    <w:rsid w:val="00AF2BA7"/>
    <w:rsid w:val="00AF306C"/>
    <w:rsid w:val="00AF420E"/>
    <w:rsid w:val="00AF6040"/>
    <w:rsid w:val="00AF653C"/>
    <w:rsid w:val="00AF7938"/>
    <w:rsid w:val="00B0030B"/>
    <w:rsid w:val="00B00681"/>
    <w:rsid w:val="00B00A5E"/>
    <w:rsid w:val="00B00E83"/>
    <w:rsid w:val="00B0395F"/>
    <w:rsid w:val="00B064A0"/>
    <w:rsid w:val="00B071DB"/>
    <w:rsid w:val="00B135D7"/>
    <w:rsid w:val="00B1388C"/>
    <w:rsid w:val="00B1397B"/>
    <w:rsid w:val="00B13FE9"/>
    <w:rsid w:val="00B14691"/>
    <w:rsid w:val="00B162CD"/>
    <w:rsid w:val="00B23279"/>
    <w:rsid w:val="00B2531F"/>
    <w:rsid w:val="00B2585A"/>
    <w:rsid w:val="00B25898"/>
    <w:rsid w:val="00B25B77"/>
    <w:rsid w:val="00B2629D"/>
    <w:rsid w:val="00B31011"/>
    <w:rsid w:val="00B316F7"/>
    <w:rsid w:val="00B34926"/>
    <w:rsid w:val="00B370B2"/>
    <w:rsid w:val="00B401C1"/>
    <w:rsid w:val="00B40456"/>
    <w:rsid w:val="00B40AF8"/>
    <w:rsid w:val="00B426C6"/>
    <w:rsid w:val="00B432FD"/>
    <w:rsid w:val="00B44219"/>
    <w:rsid w:val="00B45F40"/>
    <w:rsid w:val="00B524BD"/>
    <w:rsid w:val="00B53037"/>
    <w:rsid w:val="00B5315D"/>
    <w:rsid w:val="00B55FC5"/>
    <w:rsid w:val="00B60178"/>
    <w:rsid w:val="00B60EC4"/>
    <w:rsid w:val="00B61DE8"/>
    <w:rsid w:val="00B634D4"/>
    <w:rsid w:val="00B650A2"/>
    <w:rsid w:val="00B65667"/>
    <w:rsid w:val="00B66CC0"/>
    <w:rsid w:val="00B7053E"/>
    <w:rsid w:val="00B71FC4"/>
    <w:rsid w:val="00B748E1"/>
    <w:rsid w:val="00B767AE"/>
    <w:rsid w:val="00B76BDF"/>
    <w:rsid w:val="00B76D6D"/>
    <w:rsid w:val="00B80D2B"/>
    <w:rsid w:val="00B82B8B"/>
    <w:rsid w:val="00B84330"/>
    <w:rsid w:val="00B875CA"/>
    <w:rsid w:val="00B87F2A"/>
    <w:rsid w:val="00B94E68"/>
    <w:rsid w:val="00B97C78"/>
    <w:rsid w:val="00BA05F4"/>
    <w:rsid w:val="00BA13A5"/>
    <w:rsid w:val="00BA1CC0"/>
    <w:rsid w:val="00BA5F96"/>
    <w:rsid w:val="00BA7A2C"/>
    <w:rsid w:val="00BB096A"/>
    <w:rsid w:val="00BB142E"/>
    <w:rsid w:val="00BB226D"/>
    <w:rsid w:val="00BB24FD"/>
    <w:rsid w:val="00BB34CA"/>
    <w:rsid w:val="00BB3B00"/>
    <w:rsid w:val="00BB3B04"/>
    <w:rsid w:val="00BB5FF4"/>
    <w:rsid w:val="00BC00A7"/>
    <w:rsid w:val="00BC04D5"/>
    <w:rsid w:val="00BC4BE2"/>
    <w:rsid w:val="00BC6211"/>
    <w:rsid w:val="00BC7E45"/>
    <w:rsid w:val="00BD0BA8"/>
    <w:rsid w:val="00BD1AF4"/>
    <w:rsid w:val="00BD32FB"/>
    <w:rsid w:val="00BD3693"/>
    <w:rsid w:val="00BD3FA1"/>
    <w:rsid w:val="00BD7CA7"/>
    <w:rsid w:val="00BE1260"/>
    <w:rsid w:val="00BE3AB7"/>
    <w:rsid w:val="00BE41AA"/>
    <w:rsid w:val="00BE4FA9"/>
    <w:rsid w:val="00BE7F85"/>
    <w:rsid w:val="00BF0B27"/>
    <w:rsid w:val="00BF33EF"/>
    <w:rsid w:val="00BF363C"/>
    <w:rsid w:val="00BF5CE2"/>
    <w:rsid w:val="00BF72BA"/>
    <w:rsid w:val="00C01B26"/>
    <w:rsid w:val="00C01B39"/>
    <w:rsid w:val="00C01ECD"/>
    <w:rsid w:val="00C02783"/>
    <w:rsid w:val="00C04D0B"/>
    <w:rsid w:val="00C05052"/>
    <w:rsid w:val="00C07579"/>
    <w:rsid w:val="00C10F0A"/>
    <w:rsid w:val="00C12EFE"/>
    <w:rsid w:val="00C14310"/>
    <w:rsid w:val="00C1528C"/>
    <w:rsid w:val="00C17C3A"/>
    <w:rsid w:val="00C228CA"/>
    <w:rsid w:val="00C22EE7"/>
    <w:rsid w:val="00C253A1"/>
    <w:rsid w:val="00C27776"/>
    <w:rsid w:val="00C27961"/>
    <w:rsid w:val="00C27E06"/>
    <w:rsid w:val="00C35B2B"/>
    <w:rsid w:val="00C36857"/>
    <w:rsid w:val="00C40E95"/>
    <w:rsid w:val="00C41006"/>
    <w:rsid w:val="00C45B53"/>
    <w:rsid w:val="00C4790A"/>
    <w:rsid w:val="00C47DFF"/>
    <w:rsid w:val="00C50538"/>
    <w:rsid w:val="00C50E71"/>
    <w:rsid w:val="00C54129"/>
    <w:rsid w:val="00C56AE3"/>
    <w:rsid w:val="00C610B0"/>
    <w:rsid w:val="00C6227C"/>
    <w:rsid w:val="00C66CC9"/>
    <w:rsid w:val="00C675E2"/>
    <w:rsid w:val="00C70F5B"/>
    <w:rsid w:val="00C737DC"/>
    <w:rsid w:val="00C742C8"/>
    <w:rsid w:val="00C82545"/>
    <w:rsid w:val="00C828B0"/>
    <w:rsid w:val="00C83561"/>
    <w:rsid w:val="00C84709"/>
    <w:rsid w:val="00C879D3"/>
    <w:rsid w:val="00C90043"/>
    <w:rsid w:val="00C90C6F"/>
    <w:rsid w:val="00C91D90"/>
    <w:rsid w:val="00C91F35"/>
    <w:rsid w:val="00C9379B"/>
    <w:rsid w:val="00C937ED"/>
    <w:rsid w:val="00C94CE9"/>
    <w:rsid w:val="00C9694F"/>
    <w:rsid w:val="00C978AB"/>
    <w:rsid w:val="00CA07E7"/>
    <w:rsid w:val="00CA112C"/>
    <w:rsid w:val="00CA2DA3"/>
    <w:rsid w:val="00CA2F0C"/>
    <w:rsid w:val="00CA4851"/>
    <w:rsid w:val="00CA74AC"/>
    <w:rsid w:val="00CB0612"/>
    <w:rsid w:val="00CB10F1"/>
    <w:rsid w:val="00CB1375"/>
    <w:rsid w:val="00CB2772"/>
    <w:rsid w:val="00CB3DAF"/>
    <w:rsid w:val="00CB60B6"/>
    <w:rsid w:val="00CB629F"/>
    <w:rsid w:val="00CB6A6E"/>
    <w:rsid w:val="00CB6EF4"/>
    <w:rsid w:val="00CC118C"/>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6CB2"/>
    <w:rsid w:val="00CF06AE"/>
    <w:rsid w:val="00CF10AF"/>
    <w:rsid w:val="00CF3496"/>
    <w:rsid w:val="00CF4274"/>
    <w:rsid w:val="00CF5A27"/>
    <w:rsid w:val="00CF5CE8"/>
    <w:rsid w:val="00CF6B8A"/>
    <w:rsid w:val="00D01E9D"/>
    <w:rsid w:val="00D02679"/>
    <w:rsid w:val="00D0278F"/>
    <w:rsid w:val="00D038EC"/>
    <w:rsid w:val="00D03F0F"/>
    <w:rsid w:val="00D20BA9"/>
    <w:rsid w:val="00D22BFC"/>
    <w:rsid w:val="00D22D6A"/>
    <w:rsid w:val="00D24C85"/>
    <w:rsid w:val="00D30343"/>
    <w:rsid w:val="00D31166"/>
    <w:rsid w:val="00D325EC"/>
    <w:rsid w:val="00D36137"/>
    <w:rsid w:val="00D3650D"/>
    <w:rsid w:val="00D36CBD"/>
    <w:rsid w:val="00D377A4"/>
    <w:rsid w:val="00D42A9D"/>
    <w:rsid w:val="00D44971"/>
    <w:rsid w:val="00D465D5"/>
    <w:rsid w:val="00D501BC"/>
    <w:rsid w:val="00D5240C"/>
    <w:rsid w:val="00D54945"/>
    <w:rsid w:val="00D55969"/>
    <w:rsid w:val="00D567AB"/>
    <w:rsid w:val="00D571C6"/>
    <w:rsid w:val="00D5786C"/>
    <w:rsid w:val="00D57C94"/>
    <w:rsid w:val="00D57F60"/>
    <w:rsid w:val="00D6175A"/>
    <w:rsid w:val="00D644B7"/>
    <w:rsid w:val="00D647F2"/>
    <w:rsid w:val="00D651FB"/>
    <w:rsid w:val="00D67485"/>
    <w:rsid w:val="00D7058E"/>
    <w:rsid w:val="00D708F8"/>
    <w:rsid w:val="00D70F48"/>
    <w:rsid w:val="00D74F6D"/>
    <w:rsid w:val="00D75AA6"/>
    <w:rsid w:val="00D76538"/>
    <w:rsid w:val="00D76D32"/>
    <w:rsid w:val="00D80300"/>
    <w:rsid w:val="00D839AA"/>
    <w:rsid w:val="00D848EE"/>
    <w:rsid w:val="00D851AB"/>
    <w:rsid w:val="00D8538D"/>
    <w:rsid w:val="00D92313"/>
    <w:rsid w:val="00D928C8"/>
    <w:rsid w:val="00D93550"/>
    <w:rsid w:val="00D9587F"/>
    <w:rsid w:val="00DA23B0"/>
    <w:rsid w:val="00DA394E"/>
    <w:rsid w:val="00DA3959"/>
    <w:rsid w:val="00DA5A96"/>
    <w:rsid w:val="00DB12EF"/>
    <w:rsid w:val="00DB663A"/>
    <w:rsid w:val="00DC072B"/>
    <w:rsid w:val="00DC1920"/>
    <w:rsid w:val="00DC79F9"/>
    <w:rsid w:val="00DD1D52"/>
    <w:rsid w:val="00DD257B"/>
    <w:rsid w:val="00DE2554"/>
    <w:rsid w:val="00DE61F3"/>
    <w:rsid w:val="00DE7623"/>
    <w:rsid w:val="00DF482B"/>
    <w:rsid w:val="00DF67C7"/>
    <w:rsid w:val="00DF7314"/>
    <w:rsid w:val="00E04D6B"/>
    <w:rsid w:val="00E13679"/>
    <w:rsid w:val="00E14E12"/>
    <w:rsid w:val="00E171BC"/>
    <w:rsid w:val="00E2212C"/>
    <w:rsid w:val="00E2306A"/>
    <w:rsid w:val="00E23CA2"/>
    <w:rsid w:val="00E24F81"/>
    <w:rsid w:val="00E2557A"/>
    <w:rsid w:val="00E2559D"/>
    <w:rsid w:val="00E27261"/>
    <w:rsid w:val="00E274D8"/>
    <w:rsid w:val="00E342CC"/>
    <w:rsid w:val="00E36C66"/>
    <w:rsid w:val="00E37950"/>
    <w:rsid w:val="00E37A8F"/>
    <w:rsid w:val="00E40C93"/>
    <w:rsid w:val="00E4247E"/>
    <w:rsid w:val="00E42B68"/>
    <w:rsid w:val="00E43703"/>
    <w:rsid w:val="00E43C26"/>
    <w:rsid w:val="00E43FA8"/>
    <w:rsid w:val="00E44639"/>
    <w:rsid w:val="00E46AEC"/>
    <w:rsid w:val="00E46CEA"/>
    <w:rsid w:val="00E4702E"/>
    <w:rsid w:val="00E474F0"/>
    <w:rsid w:val="00E47A9A"/>
    <w:rsid w:val="00E50993"/>
    <w:rsid w:val="00E516F3"/>
    <w:rsid w:val="00E528F7"/>
    <w:rsid w:val="00E528F9"/>
    <w:rsid w:val="00E536DC"/>
    <w:rsid w:val="00E55684"/>
    <w:rsid w:val="00E602D0"/>
    <w:rsid w:val="00E603C8"/>
    <w:rsid w:val="00E64DB8"/>
    <w:rsid w:val="00E64EB9"/>
    <w:rsid w:val="00E64F4D"/>
    <w:rsid w:val="00E6613F"/>
    <w:rsid w:val="00E6770F"/>
    <w:rsid w:val="00E71440"/>
    <w:rsid w:val="00E72196"/>
    <w:rsid w:val="00E72615"/>
    <w:rsid w:val="00E736EF"/>
    <w:rsid w:val="00E742A9"/>
    <w:rsid w:val="00E742C0"/>
    <w:rsid w:val="00E753C8"/>
    <w:rsid w:val="00E75858"/>
    <w:rsid w:val="00E75ECD"/>
    <w:rsid w:val="00E76F05"/>
    <w:rsid w:val="00E848E3"/>
    <w:rsid w:val="00E86A90"/>
    <w:rsid w:val="00E9112A"/>
    <w:rsid w:val="00E94C91"/>
    <w:rsid w:val="00E95F9A"/>
    <w:rsid w:val="00E976A2"/>
    <w:rsid w:val="00E97CBF"/>
    <w:rsid w:val="00EA58FE"/>
    <w:rsid w:val="00EA6897"/>
    <w:rsid w:val="00EA6EF0"/>
    <w:rsid w:val="00EB0855"/>
    <w:rsid w:val="00EB0FF8"/>
    <w:rsid w:val="00EB1C37"/>
    <w:rsid w:val="00EB3490"/>
    <w:rsid w:val="00EB4F0F"/>
    <w:rsid w:val="00EC41C3"/>
    <w:rsid w:val="00EC7DBC"/>
    <w:rsid w:val="00EC7F7D"/>
    <w:rsid w:val="00ED2780"/>
    <w:rsid w:val="00ED3258"/>
    <w:rsid w:val="00ED3491"/>
    <w:rsid w:val="00ED6446"/>
    <w:rsid w:val="00ED688E"/>
    <w:rsid w:val="00EE17DC"/>
    <w:rsid w:val="00EE18B8"/>
    <w:rsid w:val="00EE2870"/>
    <w:rsid w:val="00EE48CC"/>
    <w:rsid w:val="00EE617F"/>
    <w:rsid w:val="00EF008E"/>
    <w:rsid w:val="00EF1834"/>
    <w:rsid w:val="00EF1A73"/>
    <w:rsid w:val="00EF589B"/>
    <w:rsid w:val="00EF66C8"/>
    <w:rsid w:val="00EF6CF6"/>
    <w:rsid w:val="00EF7D2D"/>
    <w:rsid w:val="00F02B3A"/>
    <w:rsid w:val="00F03302"/>
    <w:rsid w:val="00F03716"/>
    <w:rsid w:val="00F048C4"/>
    <w:rsid w:val="00F04BC9"/>
    <w:rsid w:val="00F11B2B"/>
    <w:rsid w:val="00F14BBD"/>
    <w:rsid w:val="00F205E9"/>
    <w:rsid w:val="00F20F1B"/>
    <w:rsid w:val="00F24605"/>
    <w:rsid w:val="00F253B2"/>
    <w:rsid w:val="00F25470"/>
    <w:rsid w:val="00F27237"/>
    <w:rsid w:val="00F277D7"/>
    <w:rsid w:val="00F2792C"/>
    <w:rsid w:val="00F27E28"/>
    <w:rsid w:val="00F307A2"/>
    <w:rsid w:val="00F3248D"/>
    <w:rsid w:val="00F32C8E"/>
    <w:rsid w:val="00F333DD"/>
    <w:rsid w:val="00F34226"/>
    <w:rsid w:val="00F3628D"/>
    <w:rsid w:val="00F363E0"/>
    <w:rsid w:val="00F36E82"/>
    <w:rsid w:val="00F404DF"/>
    <w:rsid w:val="00F417FC"/>
    <w:rsid w:val="00F424B0"/>
    <w:rsid w:val="00F43F3B"/>
    <w:rsid w:val="00F44A8F"/>
    <w:rsid w:val="00F546BC"/>
    <w:rsid w:val="00F60507"/>
    <w:rsid w:val="00F60736"/>
    <w:rsid w:val="00F61C69"/>
    <w:rsid w:val="00F63839"/>
    <w:rsid w:val="00F6459B"/>
    <w:rsid w:val="00F66FF2"/>
    <w:rsid w:val="00F67FB8"/>
    <w:rsid w:val="00F70A8F"/>
    <w:rsid w:val="00F7139A"/>
    <w:rsid w:val="00F71D53"/>
    <w:rsid w:val="00F72052"/>
    <w:rsid w:val="00F74174"/>
    <w:rsid w:val="00F75079"/>
    <w:rsid w:val="00F76A99"/>
    <w:rsid w:val="00F77FAF"/>
    <w:rsid w:val="00F80395"/>
    <w:rsid w:val="00F81F49"/>
    <w:rsid w:val="00F8456D"/>
    <w:rsid w:val="00F8763E"/>
    <w:rsid w:val="00F90D02"/>
    <w:rsid w:val="00F92FD1"/>
    <w:rsid w:val="00F93467"/>
    <w:rsid w:val="00F94484"/>
    <w:rsid w:val="00F96716"/>
    <w:rsid w:val="00F97AF0"/>
    <w:rsid w:val="00F97E01"/>
    <w:rsid w:val="00FA1D86"/>
    <w:rsid w:val="00FA283E"/>
    <w:rsid w:val="00FA62A0"/>
    <w:rsid w:val="00FA71AC"/>
    <w:rsid w:val="00FB02AC"/>
    <w:rsid w:val="00FB0F9F"/>
    <w:rsid w:val="00FB4C93"/>
    <w:rsid w:val="00FB745B"/>
    <w:rsid w:val="00FB7EF9"/>
    <w:rsid w:val="00FC013E"/>
    <w:rsid w:val="00FC2844"/>
    <w:rsid w:val="00FC293A"/>
    <w:rsid w:val="00FC3BE2"/>
    <w:rsid w:val="00FC4EEE"/>
    <w:rsid w:val="00FD0160"/>
    <w:rsid w:val="00FD0B0D"/>
    <w:rsid w:val="00FD23DE"/>
    <w:rsid w:val="00FD2C77"/>
    <w:rsid w:val="00FD35EB"/>
    <w:rsid w:val="00FD3700"/>
    <w:rsid w:val="00FD4516"/>
    <w:rsid w:val="00FD4C3E"/>
    <w:rsid w:val="00FD6064"/>
    <w:rsid w:val="00FD6E1A"/>
    <w:rsid w:val="00FE0A5A"/>
    <w:rsid w:val="00FE184D"/>
    <w:rsid w:val="00FE3845"/>
    <w:rsid w:val="00FE4D42"/>
    <w:rsid w:val="00FE5113"/>
    <w:rsid w:val="00FE5B60"/>
    <w:rsid w:val="00FE67AA"/>
    <w:rsid w:val="00FF3086"/>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semiHidden/>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basedOn w:val="Normal"/>
    <w:link w:val="FootnoteTextChar"/>
    <w:uiPriority w:val="99"/>
    <w:semiHidden/>
    <w:unhideWhenUsed/>
    <w:rsid w:val="00D64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semiHidden/>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styleId="UnresolvedMention">
    <w:name w:val="Unresolved Mention"/>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semiHidden/>
    <w:rsid w:val="0011191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agnifi.com" TargetMode="External"/><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fred.stlouisfed.org/series/FEDFUNDS" TargetMode="External"/><Relationship Id="rId13" Type="http://schemas.openxmlformats.org/officeDocument/2006/relationships/hyperlink" Target="https://fred.stlouisfed.org/series/CPIAUCSL" TargetMode="External"/><Relationship Id="rId18" Type="http://schemas.openxmlformats.org/officeDocument/2006/relationships/hyperlink" Target="https://fred.stlouisfed.org/series/MORTGAGE30US" TargetMode="External"/><Relationship Id="rId26" Type="http://schemas.openxmlformats.org/officeDocument/2006/relationships/hyperlink" Target="https://fred.stlouisfed.org/series/UNRATECTM" TargetMode="External"/><Relationship Id="rId3" Type="http://schemas.openxmlformats.org/officeDocument/2006/relationships/hyperlink" Target="https://www.philadelphiafed.org/-/media/research-and-data/regional-economy/indexes/coincident/2020/coincidentindexes0920.pdf" TargetMode="External"/><Relationship Id="rId21" Type="http://schemas.openxmlformats.org/officeDocument/2006/relationships/hyperlink" Target="https://fred.stlouisfed.org/series/ALTSALES" TargetMode="External"/><Relationship Id="rId7" Type="http://schemas.openxmlformats.org/officeDocument/2006/relationships/hyperlink" Target="https://fred.stlouisfed.org/release/tables?rid=18&amp;eid=289&amp;od=2020-09-30" TargetMode="External"/><Relationship Id="rId12" Type="http://schemas.openxmlformats.org/officeDocument/2006/relationships/hyperlink" Target="https://fred.stlouisfed.org/series/UNRATE" TargetMode="External"/><Relationship Id="rId17" Type="http://schemas.openxmlformats.org/officeDocument/2006/relationships/hyperlink" Target="https://fred.stlouisfed.org/series/HOUST" TargetMode="External"/><Relationship Id="rId25" Type="http://schemas.openxmlformats.org/officeDocument/2006/relationships/hyperlink" Target="https://fred.stlouisfed.org/series/PCECTPICTM" TargetMode="External"/><Relationship Id="rId2" Type="http://schemas.openxmlformats.org/officeDocument/2006/relationships/hyperlink" Target="https://covid.cdc.gov/covid-data-tracker/" TargetMode="External"/><Relationship Id="rId16" Type="http://schemas.openxmlformats.org/officeDocument/2006/relationships/hyperlink" Target="https://fred.stlouisfed.org/series/MCOILWTICO" TargetMode="External"/><Relationship Id="rId20" Type="http://schemas.openxmlformats.org/officeDocument/2006/relationships/hyperlink" Target="https://fred.stlouisfed.org/series/PCE" TargetMode="External"/><Relationship Id="rId1" Type="http://schemas.openxmlformats.org/officeDocument/2006/relationships/hyperlink" Target="https://www.nber.org/research/data/us-business-cycle-expansions-and-contractions" TargetMode="External"/><Relationship Id="rId6" Type="http://schemas.openxmlformats.org/officeDocument/2006/relationships/hyperlink" Target="https://fred.stlouisfed.org/series/INDPRO" TargetMode="External"/><Relationship Id="rId11" Type="http://schemas.openxmlformats.org/officeDocument/2006/relationships/hyperlink" Target="https://fred.stlouisfed.org/series/PAYEMS" TargetMode="External"/><Relationship Id="rId24" Type="http://schemas.openxmlformats.org/officeDocument/2006/relationships/hyperlink" Target="https://fred.stlouisfed.org/series/GDPC1CTM" TargetMode="External"/><Relationship Id="rId5" Type="http://schemas.openxmlformats.org/officeDocument/2006/relationships/hyperlink" Target="https://fred.stlouisfed.org/series/GDPC1" TargetMode="External"/><Relationship Id="rId15" Type="http://schemas.openxmlformats.org/officeDocument/2006/relationships/hyperlink" Target="https://fred.stlouisfed.org/series/PPIACO" TargetMode="External"/><Relationship Id="rId23" Type="http://schemas.openxmlformats.org/officeDocument/2006/relationships/hyperlink" Target="https://fred.stlouisfed.org/series/VIXCLS" TargetMode="External"/><Relationship Id="rId10" Type="http://schemas.openxmlformats.org/officeDocument/2006/relationships/hyperlink" Target="https://fred.stlouisfed.org/series/BAA" TargetMode="External"/><Relationship Id="rId19" Type="http://schemas.openxmlformats.org/officeDocument/2006/relationships/hyperlink" Target="https://fred.stlouisfed.org/series/SPCS20RSA" TargetMode="External"/><Relationship Id="rId4" Type="http://schemas.openxmlformats.org/officeDocument/2006/relationships/hyperlink" Target="https://fred.stlouisfed.org/series/DTWEXBGS" TargetMode="External"/><Relationship Id="rId9" Type="http://schemas.openxmlformats.org/officeDocument/2006/relationships/hyperlink" Target="https://fred.stlouisfed.org/series/DGS10" TargetMode="External"/><Relationship Id="rId14" Type="http://schemas.openxmlformats.org/officeDocument/2006/relationships/hyperlink" Target="https://www.newyorkfed.org/microeconomics/sce" TargetMode="External"/><Relationship Id="rId22" Type="http://schemas.openxmlformats.org/officeDocument/2006/relationships/hyperlink" Target="https://fred.stlouisfed.org/series/UMCS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5D0FE-261B-0D4D-90C2-18A6E4BF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2818</Words>
  <Characters>16066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18847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2</cp:revision>
  <cp:lastPrinted>2021-02-02T11:27:00Z</cp:lastPrinted>
  <dcterms:created xsi:type="dcterms:W3CDTF">2021-02-03T16:24:00Z</dcterms:created>
  <dcterms:modified xsi:type="dcterms:W3CDTF">2021-02-03T16:24:00Z</dcterms:modified>
</cp:coreProperties>
</file>