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77777777" w:rsidR="006663D0" w:rsidRDefault="006663D0" w:rsidP="002E6FDE">
          <w:pPr>
            <w:jc w:val="right"/>
          </w:pPr>
        </w:p>
        <w:p w14:paraId="61E7189B" w14:textId="5A4E226B" w:rsidR="006663D0" w:rsidRDefault="00361E70" w:rsidP="00696388">
          <w:pPr>
            <w:jc w:val="right"/>
          </w:pPr>
          <w:r>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5B5DC189" w:rsidR="006663D0" w:rsidRDefault="006663D0" w:rsidP="002E6FDE">
          <w:pPr>
            <w:jc w:val="right"/>
            <w:rPr>
              <w:sz w:val="36"/>
              <w:szCs w:val="36"/>
            </w:rPr>
          </w:pPr>
          <w:r w:rsidRPr="006663D0">
            <w:rPr>
              <w:sz w:val="36"/>
              <w:szCs w:val="36"/>
            </w:rPr>
            <w:t xml:space="preserve">For the </w:t>
          </w:r>
          <w:r w:rsidR="00F17A53">
            <w:rPr>
              <w:sz w:val="36"/>
              <w:szCs w:val="36"/>
            </w:rPr>
            <w:t>1</w:t>
          </w:r>
          <w:r w:rsidR="00F17A53" w:rsidRPr="00F17A53">
            <w:rPr>
              <w:sz w:val="36"/>
              <w:szCs w:val="36"/>
              <w:vertAlign w:val="superscript"/>
            </w:rPr>
            <w:t>st</w:t>
          </w:r>
          <w:r w:rsidR="00F17A53">
            <w:rPr>
              <w:sz w:val="36"/>
              <w:szCs w:val="36"/>
            </w:rPr>
            <w:t xml:space="preserve"> </w:t>
          </w:r>
          <w:r w:rsidRPr="006663D0">
            <w:rPr>
              <w:sz w:val="36"/>
              <w:szCs w:val="36"/>
            </w:rPr>
            <w:t>Quarter of 202</w:t>
          </w:r>
          <w:r w:rsidR="00F17A53">
            <w:rPr>
              <w:sz w:val="36"/>
              <w:szCs w:val="36"/>
            </w:rPr>
            <w:t>1</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0A38ED1A" w14:textId="169C1B6D" w:rsidR="00454BEB" w:rsidRPr="00EB1C37" w:rsidRDefault="00454BEB" w:rsidP="00A423F8">
      <w:r>
        <w:t xml:space="preserve">The first quarter </w:t>
      </w:r>
      <w:r w:rsidRPr="00EB1C37">
        <w:t>of 202</w:t>
      </w:r>
      <w:r>
        <w:t xml:space="preserve">1 </w:t>
      </w:r>
      <w:r w:rsidR="000D76FA">
        <w:t>experienced</w:t>
      </w:r>
      <w:r>
        <w:t xml:space="preserve"> the peak of U.S. cases in early January and a shaky vaccine rollout before offering a glimmer of hope in late Januar</w:t>
      </w:r>
      <w:r w:rsidR="007147D7">
        <w:t>y</w:t>
      </w:r>
      <w:r>
        <w:t xml:space="preserve">. While U.S. cases peaked in early January, the second stimulus, which started hitting bank accounts in late December, provided some relief, and while vaccine rollouts were less-than-perfect, the rapid expansion in testing, distribution, and vaccinations led to more Americans being vaccinated than infected for the first time. With the rollout of a third vaccine, </w:t>
      </w:r>
      <w:r w:rsidR="007147D7">
        <w:t xml:space="preserve">the </w:t>
      </w:r>
      <w:r>
        <w:t xml:space="preserve">vaccination program beginning to hit its stride, and </w:t>
      </w:r>
      <w:r w:rsidR="007147D7">
        <w:t xml:space="preserve">with </w:t>
      </w:r>
      <w:r>
        <w:t xml:space="preserve">a third round of stimulus checks going out </w:t>
      </w:r>
      <w:r w:rsidR="00996664">
        <w:t>to around 85%</w:t>
      </w:r>
      <w:r w:rsidR="002664F3">
        <w:t xml:space="preserve"> of </w:t>
      </w:r>
      <w:r>
        <w:t xml:space="preserve">Americans, the first quarter of 2021 </w:t>
      </w:r>
      <w:r w:rsidR="007147D7">
        <w:t>was a big step forward in the fight against COVID-19 and getting back to normal.</w:t>
      </w:r>
    </w:p>
    <w:p w14:paraId="44ECB2BF" w14:textId="7C3CCF06" w:rsidR="00454BEB" w:rsidRDefault="00454BEB" w:rsidP="00A423F8">
      <w:r>
        <w:t>T</w:t>
      </w:r>
      <w:r w:rsidRPr="00EB1C37">
        <w:t xml:space="preserve">he </w:t>
      </w:r>
      <w:r>
        <w:t xml:space="preserve">national </w:t>
      </w:r>
      <w:r w:rsidRPr="00EB1C37">
        <w:t>econom</w:t>
      </w:r>
      <w:r>
        <w:t xml:space="preserve">y has been attempting to shake off the </w:t>
      </w:r>
      <w:r w:rsidRPr="00EB1C37">
        <w:t xml:space="preserve">effects </w:t>
      </w:r>
      <w:r>
        <w:t>of COVID-19 since its plunge in</w:t>
      </w:r>
      <w:r w:rsidRPr="00EB1C37">
        <w:t xml:space="preserve"> April</w:t>
      </w:r>
      <w:r w:rsidR="00996664">
        <w:t xml:space="preserve"> 2020</w:t>
      </w:r>
      <w:r w:rsidRPr="00EB1C37">
        <w:t>.</w:t>
      </w:r>
      <w:r>
        <w:t xml:space="preserve"> </w:t>
      </w:r>
      <w:r w:rsidRPr="00EB1C37">
        <w:t xml:space="preserve">Most economic measures </w:t>
      </w:r>
      <w:r>
        <w:t xml:space="preserve">have been </w:t>
      </w:r>
      <w:r w:rsidRPr="00EB1C37">
        <w:t>recuperat</w:t>
      </w:r>
      <w:r>
        <w:t>ing since May or June</w:t>
      </w:r>
      <w:r w:rsidR="00996664">
        <w:t xml:space="preserve"> of 2020</w:t>
      </w:r>
      <w:r>
        <w:t xml:space="preserve">, </w:t>
      </w:r>
      <w:r w:rsidR="007147D7">
        <w:t>and while economic indicators were positive this quarter</w:t>
      </w:r>
      <w:r>
        <w:t xml:space="preserve">, </w:t>
      </w:r>
      <w:r w:rsidRPr="00EB1C37">
        <w:t xml:space="preserve">the U.S. economy </w:t>
      </w:r>
      <w:r w:rsidR="007147D7">
        <w:t>has yet to get back to pre-pandemic levels</w:t>
      </w:r>
      <w:r w:rsidRPr="00EB1C37">
        <w:t>.</w:t>
      </w:r>
      <w:r>
        <w:t xml:space="preserve"> The U.S. remained in a recession</w:t>
      </w:r>
      <w:r>
        <w:rPr>
          <w:rStyle w:val="FootnoteReference"/>
        </w:rPr>
        <w:footnoteReference w:id="1"/>
      </w:r>
      <w:r>
        <w:t xml:space="preserve"> that marked February as the peak of an economic expansion lasting 128 months from its beginning in June 2009.</w:t>
      </w:r>
    </w:p>
    <w:p w14:paraId="47921AFC" w14:textId="43DF1F4D" w:rsidR="00454BEB" w:rsidRDefault="00454BEB" w:rsidP="00A423F8">
      <w:r w:rsidRPr="00445A11">
        <w:t xml:space="preserve">By the end of the </w:t>
      </w:r>
      <w:r>
        <w:t xml:space="preserve">fourth quarter </w:t>
      </w:r>
      <w:r w:rsidRPr="00445A11">
        <w:t>of 202</w:t>
      </w:r>
      <w:r>
        <w:t>0</w:t>
      </w:r>
      <w:r w:rsidRPr="00445A11">
        <w:t xml:space="preserve">, </w:t>
      </w:r>
      <w:r>
        <w:t>19,943,605</w:t>
      </w:r>
      <w:r w:rsidRPr="00445A11">
        <w:t xml:space="preserve"> cases and </w:t>
      </w:r>
      <w:r>
        <w:t>344,497</w:t>
      </w:r>
      <w:r w:rsidRPr="00445A11">
        <w:t xml:space="preserve"> deaths had been reported </w:t>
      </w:r>
      <w:r>
        <w:t xml:space="preserve">in the U.S. </w:t>
      </w:r>
      <w:r w:rsidRPr="00445A11">
        <w:t>from COVID-19</w:t>
      </w:r>
      <w:r w:rsidRPr="00445A11">
        <w:rPr>
          <w:rStyle w:val="FootnoteReference"/>
        </w:rPr>
        <w:footnoteReference w:id="2"/>
      </w:r>
      <w:r w:rsidRPr="00445A11">
        <w:t xml:space="preserve">. </w:t>
      </w:r>
      <w:r w:rsidR="007147D7">
        <w:t>It continued to spread exponentially into January 2021, hitting its peak on January 8</w:t>
      </w:r>
      <w:r w:rsidR="007147D7" w:rsidRPr="007147D7">
        <w:rPr>
          <w:vertAlign w:val="superscript"/>
        </w:rPr>
        <w:t>th</w:t>
      </w:r>
      <w:r w:rsidR="007147D7">
        <w:t>.</w:t>
      </w:r>
      <w:r w:rsidRPr="00445A11">
        <w:t xml:space="preserve"> </w:t>
      </w:r>
      <w:r w:rsidR="007147D7">
        <w:t xml:space="preserve">By </w:t>
      </w:r>
      <w:r>
        <w:t>March 31</w:t>
      </w:r>
      <w:r w:rsidRPr="00445A11">
        <w:t>, 202</w:t>
      </w:r>
      <w:r>
        <w:t>1</w:t>
      </w:r>
      <w:r w:rsidRPr="00445A11">
        <w:t xml:space="preserve"> there were </w:t>
      </w:r>
      <w:r>
        <w:t xml:space="preserve">30,282,764 </w:t>
      </w:r>
      <w:r w:rsidRPr="00445A11">
        <w:t xml:space="preserve">confirmed cases and </w:t>
      </w:r>
      <w:r>
        <w:t xml:space="preserve">551,784 COVID-19 </w:t>
      </w:r>
      <w:r w:rsidRPr="00445A11">
        <w:t xml:space="preserve">related deaths in the U.S. </w:t>
      </w:r>
    </w:p>
    <w:p w14:paraId="4B2207F8" w14:textId="4E26D919" w:rsidR="00454BEB" w:rsidRDefault="00454BEB" w:rsidP="00454BEB">
      <w:r>
        <w:t>Below is a summary timeline of COVID-19 events in the U.S. during the first quarter of 2021:</w:t>
      </w:r>
    </w:p>
    <w:tbl>
      <w:tblPr>
        <w:tblStyle w:val="GridTable3-Accent1"/>
        <w:tblW w:w="0" w:type="auto"/>
        <w:tblLook w:val="0400" w:firstRow="0" w:lastRow="0" w:firstColumn="0" w:lastColumn="0" w:noHBand="0" w:noVBand="1"/>
      </w:tblPr>
      <w:tblGrid>
        <w:gridCol w:w="2335"/>
        <w:gridCol w:w="7015"/>
      </w:tblGrid>
      <w:tr w:rsidR="00454BEB" w:rsidRPr="005D1E7F" w14:paraId="217DAEB7"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14E8364" w14:textId="35F2034D" w:rsidR="00454BEB" w:rsidRPr="005D1E7F" w:rsidRDefault="00454BEB" w:rsidP="00454BEB">
            <w:r>
              <w:t>January 6, 2021</w:t>
            </w:r>
          </w:p>
        </w:tc>
        <w:tc>
          <w:tcPr>
            <w:tcW w:w="7015" w:type="dxa"/>
          </w:tcPr>
          <w:p w14:paraId="4C137509" w14:textId="20756529" w:rsidR="00454BEB" w:rsidRPr="005D1E7F" w:rsidRDefault="00454BEB" w:rsidP="00454BEB">
            <w:r>
              <w:t>HHS announces $22 billion to support expanded testing, vaccine distribution</w:t>
            </w:r>
          </w:p>
        </w:tc>
      </w:tr>
      <w:tr w:rsidR="00454BEB" w:rsidRPr="005D1E7F" w14:paraId="40D67FFE" w14:textId="77777777" w:rsidTr="007B5CA1">
        <w:tc>
          <w:tcPr>
            <w:tcW w:w="2335" w:type="dxa"/>
          </w:tcPr>
          <w:p w14:paraId="0E7ADA36" w14:textId="52B6949C" w:rsidR="00454BEB" w:rsidRDefault="00454BEB" w:rsidP="00454BEB">
            <w:r>
              <w:t>January 8, 2021</w:t>
            </w:r>
          </w:p>
        </w:tc>
        <w:tc>
          <w:tcPr>
            <w:tcW w:w="7015" w:type="dxa"/>
          </w:tcPr>
          <w:p w14:paraId="1A120856" w14:textId="416FFFC9" w:rsidR="00454BEB" w:rsidRDefault="00454BEB" w:rsidP="00454BEB">
            <w:r>
              <w:t>U.S. daily and 7-day moving average of cases peaks</w:t>
            </w:r>
          </w:p>
        </w:tc>
      </w:tr>
      <w:tr w:rsidR="00454BEB" w:rsidRPr="005D1E7F" w14:paraId="07F511A0"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DA47127" w14:textId="00B49711" w:rsidR="00454BEB" w:rsidRPr="005D1E7F" w:rsidRDefault="00454BEB" w:rsidP="00454BEB">
            <w:r>
              <w:t>January 8, 2021</w:t>
            </w:r>
          </w:p>
        </w:tc>
        <w:tc>
          <w:tcPr>
            <w:tcW w:w="7015" w:type="dxa"/>
          </w:tcPr>
          <w:p w14:paraId="5895DABB" w14:textId="2B1420DF" w:rsidR="00454BEB" w:rsidRPr="005D1E7F" w:rsidRDefault="00454BEB" w:rsidP="00454BEB">
            <w:r>
              <w:t>Then President-elect Biden announces plan to reverse President Trump policy by releasing most COVID-19 doses</w:t>
            </w:r>
          </w:p>
        </w:tc>
      </w:tr>
      <w:tr w:rsidR="00454BEB" w:rsidRPr="005D1E7F" w14:paraId="797FA5A9" w14:textId="77777777" w:rsidTr="007B5CA1">
        <w:tc>
          <w:tcPr>
            <w:tcW w:w="2335" w:type="dxa"/>
          </w:tcPr>
          <w:p w14:paraId="7BAF4D8C" w14:textId="3E3DDF9B" w:rsidR="00454BEB" w:rsidRDefault="00454BEB" w:rsidP="00454BEB">
            <w:r>
              <w:t>January 11, 2021</w:t>
            </w:r>
          </w:p>
        </w:tc>
        <w:tc>
          <w:tcPr>
            <w:tcW w:w="7015" w:type="dxa"/>
          </w:tcPr>
          <w:p w14:paraId="0F3EDBB7" w14:textId="66B8256B" w:rsidR="00454BEB" w:rsidRPr="00023FB9" w:rsidRDefault="00454BEB" w:rsidP="00454BEB">
            <w:r>
              <w:t>Then President-elect Biden receives 2</w:t>
            </w:r>
            <w:r w:rsidRPr="00F2210F">
              <w:rPr>
                <w:vertAlign w:val="superscript"/>
              </w:rPr>
              <w:t>nd</w:t>
            </w:r>
            <w:r>
              <w:t xml:space="preserve"> dose of vaccine</w:t>
            </w:r>
          </w:p>
        </w:tc>
      </w:tr>
      <w:tr w:rsidR="00454BEB" w:rsidRPr="005D1E7F" w14:paraId="5B72A40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FB1EADC" w14:textId="418075CD" w:rsidR="00454BEB" w:rsidRPr="005D1E7F" w:rsidRDefault="00454BEB" w:rsidP="00454BEB">
            <w:r>
              <w:t>February 1, 2021</w:t>
            </w:r>
          </w:p>
        </w:tc>
        <w:tc>
          <w:tcPr>
            <w:tcW w:w="7015" w:type="dxa"/>
          </w:tcPr>
          <w:p w14:paraId="478BDB8E" w14:textId="783423F1" w:rsidR="00454BEB" w:rsidRPr="005D1E7F" w:rsidRDefault="00454BEB" w:rsidP="00454BEB">
            <w:r>
              <w:t>More Americans are vaccinated than infected for the first time</w:t>
            </w:r>
          </w:p>
        </w:tc>
      </w:tr>
      <w:tr w:rsidR="00454BEB" w:rsidRPr="005D1E7F" w14:paraId="1EE72446" w14:textId="77777777" w:rsidTr="007B5CA1">
        <w:tc>
          <w:tcPr>
            <w:tcW w:w="2335" w:type="dxa"/>
          </w:tcPr>
          <w:p w14:paraId="580CCC9B" w14:textId="0353D907" w:rsidR="00454BEB" w:rsidRPr="005D1E7F" w:rsidRDefault="00454BEB" w:rsidP="00454BEB">
            <w:r>
              <w:t>February 3, 2021</w:t>
            </w:r>
          </w:p>
        </w:tc>
        <w:tc>
          <w:tcPr>
            <w:tcW w:w="7015" w:type="dxa"/>
          </w:tcPr>
          <w:p w14:paraId="7E124B7E" w14:textId="42B99A6A" w:rsidR="00454BEB" w:rsidRPr="005D1E7F" w:rsidRDefault="00454BEB" w:rsidP="00454BEB">
            <w:r>
              <w:t>Global vaccinations eclipse number of active cases for first time</w:t>
            </w:r>
          </w:p>
        </w:tc>
      </w:tr>
      <w:tr w:rsidR="00454BEB" w:rsidRPr="005D1E7F" w14:paraId="67E6634B"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46762E1" w14:textId="6565A92D" w:rsidR="00454BEB" w:rsidRPr="005D1E7F" w:rsidRDefault="00454BEB" w:rsidP="00454BEB">
            <w:r>
              <w:t>February 5, 2021</w:t>
            </w:r>
          </w:p>
        </w:tc>
        <w:tc>
          <w:tcPr>
            <w:tcW w:w="7015" w:type="dxa"/>
          </w:tcPr>
          <w:p w14:paraId="2D491639" w14:textId="08181DEF" w:rsidR="00454BEB" w:rsidRPr="005D1E7F" w:rsidRDefault="00454BEB" w:rsidP="00454BEB">
            <w:r>
              <w:t>Johnson &amp; Johnson submits its COVID-19 vaccine for emergency use authorization</w:t>
            </w:r>
          </w:p>
        </w:tc>
      </w:tr>
      <w:tr w:rsidR="00454BEB" w:rsidRPr="005D1E7F" w14:paraId="1A26C7B6" w14:textId="77777777" w:rsidTr="007B5CA1">
        <w:tc>
          <w:tcPr>
            <w:tcW w:w="2335" w:type="dxa"/>
          </w:tcPr>
          <w:p w14:paraId="59025615" w14:textId="20411399" w:rsidR="00454BEB" w:rsidRDefault="00454BEB" w:rsidP="00454BEB">
            <w:r>
              <w:t>February 12, 2021</w:t>
            </w:r>
          </w:p>
        </w:tc>
        <w:tc>
          <w:tcPr>
            <w:tcW w:w="7015" w:type="dxa"/>
          </w:tcPr>
          <w:p w14:paraId="49AD5871" w14:textId="7B9989C7" w:rsidR="00454BEB" w:rsidRPr="00023FB9" w:rsidRDefault="00454BEB" w:rsidP="00454BEB">
            <w:r>
              <w:t xml:space="preserve">U.S. makes purchase of 200 million </w:t>
            </w:r>
            <w:proofErr w:type="spellStart"/>
            <w:r>
              <w:t>Moderna</w:t>
            </w:r>
            <w:proofErr w:type="spellEnd"/>
            <w:r>
              <w:t xml:space="preserve"> and Pfizer vaccines</w:t>
            </w:r>
          </w:p>
        </w:tc>
      </w:tr>
      <w:tr w:rsidR="00454BEB" w:rsidRPr="005D1E7F" w14:paraId="43B7B0A0"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6C2FB2D" w14:textId="4C479625" w:rsidR="00454BEB" w:rsidRDefault="00454BEB" w:rsidP="00454BEB">
            <w:r>
              <w:t>February 22, 2021</w:t>
            </w:r>
          </w:p>
        </w:tc>
        <w:tc>
          <w:tcPr>
            <w:tcW w:w="7015" w:type="dxa"/>
          </w:tcPr>
          <w:p w14:paraId="612AD845" w14:textId="7157F735" w:rsidR="00454BEB" w:rsidRDefault="00454BEB" w:rsidP="00454BEB">
            <w:r>
              <w:t>U.S. COVID-19 deaths reaches 500,000</w:t>
            </w:r>
          </w:p>
        </w:tc>
      </w:tr>
      <w:tr w:rsidR="00454BEB" w:rsidRPr="005D1E7F" w14:paraId="73AFB428" w14:textId="77777777" w:rsidTr="007B5CA1">
        <w:tc>
          <w:tcPr>
            <w:tcW w:w="2335" w:type="dxa"/>
          </w:tcPr>
          <w:p w14:paraId="42454341" w14:textId="56B3B06D" w:rsidR="00454BEB" w:rsidRDefault="00454BEB" w:rsidP="00454BEB">
            <w:r>
              <w:t>February 25, 2021</w:t>
            </w:r>
          </w:p>
        </w:tc>
        <w:tc>
          <w:tcPr>
            <w:tcW w:w="7015" w:type="dxa"/>
          </w:tcPr>
          <w:p w14:paraId="7631E874" w14:textId="46842F52" w:rsidR="00454BEB" w:rsidRDefault="00454BEB" w:rsidP="00454BEB">
            <w:r>
              <w:t>Pfizer/BioNTech vaccine independent study is released with live data</w:t>
            </w:r>
          </w:p>
        </w:tc>
      </w:tr>
      <w:tr w:rsidR="00454BEB" w:rsidRPr="005D1E7F" w14:paraId="24874B9B"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7B40DC16" w14:textId="35A69CA2" w:rsidR="00454BEB" w:rsidRDefault="00454BEB" w:rsidP="00454BEB">
            <w:r>
              <w:t>February 26, 2021</w:t>
            </w:r>
          </w:p>
        </w:tc>
        <w:tc>
          <w:tcPr>
            <w:tcW w:w="7015" w:type="dxa"/>
          </w:tcPr>
          <w:p w14:paraId="02482385" w14:textId="7E0A635C" w:rsidR="00454BEB" w:rsidRDefault="00454BEB" w:rsidP="00454BEB">
            <w:r>
              <w:t>50 millionth vaccine is administered</w:t>
            </w:r>
          </w:p>
        </w:tc>
      </w:tr>
      <w:tr w:rsidR="00454BEB" w:rsidRPr="005D1E7F" w14:paraId="61F82CE0" w14:textId="77777777" w:rsidTr="007B5CA1">
        <w:tc>
          <w:tcPr>
            <w:tcW w:w="2335" w:type="dxa"/>
          </w:tcPr>
          <w:p w14:paraId="6247BF12" w14:textId="6AA43B13" w:rsidR="00454BEB" w:rsidRDefault="00454BEB" w:rsidP="00454BEB">
            <w:r>
              <w:t>March 1, 2021</w:t>
            </w:r>
          </w:p>
        </w:tc>
        <w:tc>
          <w:tcPr>
            <w:tcW w:w="7015" w:type="dxa"/>
          </w:tcPr>
          <w:p w14:paraId="7579EFF9" w14:textId="49170AA7" w:rsidR="00454BEB" w:rsidRDefault="00454BEB" w:rsidP="00454BEB">
            <w:r>
              <w:t>Johnson &amp; Johnson vaccine rollout begins</w:t>
            </w:r>
          </w:p>
        </w:tc>
      </w:tr>
      <w:tr w:rsidR="00454BEB" w:rsidRPr="005D1E7F" w14:paraId="162A4275"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35EDD16B" w14:textId="743F3404" w:rsidR="00454BEB" w:rsidRDefault="00454BEB" w:rsidP="00454BEB">
            <w:r>
              <w:lastRenderedPageBreak/>
              <w:t>March 1, 2021</w:t>
            </w:r>
          </w:p>
        </w:tc>
        <w:tc>
          <w:tcPr>
            <w:tcW w:w="7015" w:type="dxa"/>
          </w:tcPr>
          <w:p w14:paraId="7F87C1FF" w14:textId="2AD115D2" w:rsidR="00454BEB" w:rsidRPr="00023FB9" w:rsidRDefault="00454BEB" w:rsidP="00454BEB">
            <w:r>
              <w:t>Trump advisor confirms that Trump received vaccine in January before leaving office</w:t>
            </w:r>
          </w:p>
        </w:tc>
      </w:tr>
      <w:tr w:rsidR="00454BEB" w:rsidRPr="005D1E7F" w14:paraId="609A1F97" w14:textId="77777777" w:rsidTr="007B5CA1">
        <w:tc>
          <w:tcPr>
            <w:tcW w:w="2335" w:type="dxa"/>
          </w:tcPr>
          <w:p w14:paraId="725406A7" w14:textId="2B3C9030" w:rsidR="00454BEB" w:rsidRDefault="00454BEB" w:rsidP="00454BEB">
            <w:r>
              <w:t>March 3, 2021</w:t>
            </w:r>
          </w:p>
        </w:tc>
        <w:tc>
          <w:tcPr>
            <w:tcW w:w="7015" w:type="dxa"/>
          </w:tcPr>
          <w:p w14:paraId="1C9022F7" w14:textId="01913EFB" w:rsidR="00454BEB" w:rsidRDefault="00454BEB" w:rsidP="00454BEB">
            <w:r>
              <w:t>President Biden announces vaccines will be available for all U.S. adults over the age of 18 by May</w:t>
            </w:r>
          </w:p>
        </w:tc>
      </w:tr>
      <w:tr w:rsidR="00454BEB" w:rsidRPr="005D1E7F" w14:paraId="4509AA5D"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0C7C253E" w14:textId="2C2B426C" w:rsidR="00454BEB" w:rsidRPr="005D1E7F" w:rsidRDefault="00454BEB" w:rsidP="00454BEB">
            <w:r>
              <w:t>March 8, 2021</w:t>
            </w:r>
          </w:p>
        </w:tc>
        <w:tc>
          <w:tcPr>
            <w:tcW w:w="7015" w:type="dxa"/>
          </w:tcPr>
          <w:p w14:paraId="11AD6BB5" w14:textId="1E32D221" w:rsidR="00454BEB" w:rsidRPr="005D1E7F" w:rsidRDefault="00454BEB" w:rsidP="00454BEB">
            <w:r>
              <w:t>CDC issues first guidelines for vaccinated individuals</w:t>
            </w:r>
          </w:p>
        </w:tc>
      </w:tr>
      <w:tr w:rsidR="00454BEB" w:rsidRPr="005D1E7F" w14:paraId="618ABF87" w14:textId="77777777" w:rsidTr="007B5CA1">
        <w:tc>
          <w:tcPr>
            <w:tcW w:w="2335" w:type="dxa"/>
          </w:tcPr>
          <w:p w14:paraId="5A2860AA" w14:textId="7C350904" w:rsidR="00454BEB" w:rsidRDefault="00454BEB" w:rsidP="00454BEB">
            <w:r>
              <w:t>March 11, 2021</w:t>
            </w:r>
          </w:p>
        </w:tc>
        <w:tc>
          <w:tcPr>
            <w:tcW w:w="7015" w:type="dxa"/>
          </w:tcPr>
          <w:p w14:paraId="5A11377E" w14:textId="54894DA5" w:rsidR="00454BEB" w:rsidRDefault="00454BEB" w:rsidP="00454BEB">
            <w:r>
              <w:t>President Biden tells states to make vaccines available for all adults by May 1</w:t>
            </w:r>
            <w:r w:rsidRPr="00C87CC8">
              <w:rPr>
                <w:vertAlign w:val="superscript"/>
              </w:rPr>
              <w:t>st</w:t>
            </w:r>
          </w:p>
        </w:tc>
      </w:tr>
      <w:tr w:rsidR="00454BEB" w:rsidRPr="005D1E7F" w14:paraId="39527C4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43F5DB2" w14:textId="3CF33EB3" w:rsidR="00454BEB" w:rsidRDefault="00454BEB" w:rsidP="00454BEB">
            <w:r>
              <w:t>March 11, 2021</w:t>
            </w:r>
          </w:p>
        </w:tc>
        <w:tc>
          <w:tcPr>
            <w:tcW w:w="7015" w:type="dxa"/>
          </w:tcPr>
          <w:p w14:paraId="6DFA606F" w14:textId="0BDEB779" w:rsidR="00454BEB" w:rsidRPr="00327700" w:rsidRDefault="00454BEB" w:rsidP="00454BEB">
            <w:r>
              <w:t>President Biden signs $1.9 trillion covid relief bill, allowing $1,400 stimulus checks to go out</w:t>
            </w:r>
          </w:p>
        </w:tc>
      </w:tr>
      <w:tr w:rsidR="00454BEB" w:rsidRPr="005D1E7F" w14:paraId="12EFE977" w14:textId="77777777" w:rsidTr="007B5CA1">
        <w:tc>
          <w:tcPr>
            <w:tcW w:w="2335" w:type="dxa"/>
          </w:tcPr>
          <w:p w14:paraId="1ED980B0" w14:textId="522695A4" w:rsidR="00454BEB" w:rsidRPr="005D1E7F" w:rsidRDefault="00454BEB" w:rsidP="00454BEB">
            <w:r>
              <w:t>March 13, 2021</w:t>
            </w:r>
          </w:p>
        </w:tc>
        <w:tc>
          <w:tcPr>
            <w:tcW w:w="7015" w:type="dxa"/>
          </w:tcPr>
          <w:p w14:paraId="192A9DAE" w14:textId="2D912C26" w:rsidR="00454BEB" w:rsidRPr="005D1E7F" w:rsidRDefault="00454BEB" w:rsidP="00454BEB">
            <w:r>
              <w:t>Third round of stimulus checks begin to hit bank accounts</w:t>
            </w:r>
          </w:p>
        </w:tc>
      </w:tr>
      <w:tr w:rsidR="00454BEB" w:rsidRPr="005D1E7F" w14:paraId="17332DCA"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92B09B0" w14:textId="762A4295" w:rsidR="00454BEB" w:rsidRDefault="00454BEB" w:rsidP="00454BEB">
            <w:r>
              <w:t>March 19, 2021</w:t>
            </w:r>
          </w:p>
        </w:tc>
        <w:tc>
          <w:tcPr>
            <w:tcW w:w="7015" w:type="dxa"/>
          </w:tcPr>
          <w:p w14:paraId="731F6A05" w14:textId="6A8044F4" w:rsidR="00454BEB" w:rsidRPr="00327700" w:rsidRDefault="00454BEB" w:rsidP="00454BEB">
            <w:r>
              <w:t>100 millionth vaccine is administered</w:t>
            </w:r>
          </w:p>
        </w:tc>
      </w:tr>
      <w:tr w:rsidR="00454BEB" w:rsidRPr="005D1E7F" w14:paraId="485D6A31" w14:textId="77777777" w:rsidTr="007B5CA1">
        <w:tc>
          <w:tcPr>
            <w:tcW w:w="2335" w:type="dxa"/>
          </w:tcPr>
          <w:p w14:paraId="41461CE1" w14:textId="649D4275" w:rsidR="00454BEB" w:rsidRDefault="00454BEB" w:rsidP="00454BEB">
            <w:r>
              <w:t>March 25, 2021</w:t>
            </w:r>
          </w:p>
        </w:tc>
        <w:tc>
          <w:tcPr>
            <w:tcW w:w="7015" w:type="dxa"/>
          </w:tcPr>
          <w:p w14:paraId="39CEAA06" w14:textId="52496674" w:rsidR="00454BEB" w:rsidRPr="00023FB9" w:rsidRDefault="00454BEB" w:rsidP="00454BEB">
            <w:r>
              <w:t>President Biden revises 100 million dose goal to be 200 million doses in his first 100 days in office</w:t>
            </w:r>
          </w:p>
        </w:tc>
      </w:tr>
      <w:tr w:rsidR="00454BEB" w:rsidRPr="005D1E7F" w14:paraId="383600BE"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47CF39C8" w14:textId="5A65C465" w:rsidR="00454BEB" w:rsidRDefault="00454BEB" w:rsidP="00454BEB">
            <w:r>
              <w:t>March 29, 2021</w:t>
            </w:r>
          </w:p>
        </w:tc>
        <w:tc>
          <w:tcPr>
            <w:tcW w:w="7015" w:type="dxa"/>
          </w:tcPr>
          <w:p w14:paraId="73E8774F" w14:textId="72998B39" w:rsidR="00454BEB" w:rsidRPr="009E44F2" w:rsidRDefault="00454BEB" w:rsidP="00454BEB">
            <w:r>
              <w:t>First states open vaccinations for all adults</w:t>
            </w:r>
          </w:p>
        </w:tc>
      </w:tr>
      <w:tr w:rsidR="00454BEB" w:rsidRPr="005D1E7F" w14:paraId="4485BA36" w14:textId="77777777" w:rsidTr="007B5CA1">
        <w:tc>
          <w:tcPr>
            <w:tcW w:w="2335" w:type="dxa"/>
          </w:tcPr>
          <w:p w14:paraId="47A8FEAD" w14:textId="2E44B1A2" w:rsidR="00454BEB" w:rsidRPr="005D1E7F" w:rsidRDefault="00454BEB" w:rsidP="00454BEB">
            <w:r>
              <w:t>March 3, 2021</w:t>
            </w:r>
          </w:p>
        </w:tc>
        <w:tc>
          <w:tcPr>
            <w:tcW w:w="7015" w:type="dxa"/>
          </w:tcPr>
          <w:p w14:paraId="393F17ED" w14:textId="12BB1F97" w:rsidR="00454BEB" w:rsidRPr="00327700" w:rsidRDefault="00454BEB" w:rsidP="00454BEB">
            <w:r>
              <w:t>President Biden announces vaccines will be available for all U.S. adults over the age of 18 by May</w:t>
            </w:r>
          </w:p>
        </w:tc>
      </w:tr>
      <w:tr w:rsidR="00454BEB" w:rsidRPr="005D1E7F" w14:paraId="7B5C4B43"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1F62B131" w14:textId="31F04125" w:rsidR="00454BEB" w:rsidRPr="005D1E7F" w:rsidRDefault="00454BEB" w:rsidP="00454BEB">
            <w:r>
              <w:t>March 8, 2021</w:t>
            </w:r>
          </w:p>
        </w:tc>
        <w:tc>
          <w:tcPr>
            <w:tcW w:w="7015" w:type="dxa"/>
          </w:tcPr>
          <w:p w14:paraId="2834598D" w14:textId="406CF571" w:rsidR="00454BEB" w:rsidRPr="00327700" w:rsidRDefault="00454BEB" w:rsidP="00454BEB">
            <w:r>
              <w:t>CDC issues first guidelines for vaccinated individuals</w:t>
            </w:r>
          </w:p>
        </w:tc>
      </w:tr>
      <w:tr w:rsidR="00454BEB" w:rsidRPr="005D1E7F" w14:paraId="3E1904A0" w14:textId="77777777" w:rsidTr="007B5CA1">
        <w:tc>
          <w:tcPr>
            <w:tcW w:w="2335" w:type="dxa"/>
          </w:tcPr>
          <w:p w14:paraId="7133B4B4" w14:textId="3032779E" w:rsidR="00454BEB" w:rsidRDefault="00454BEB" w:rsidP="00454BEB">
            <w:r>
              <w:t>March 11, 2021</w:t>
            </w:r>
          </w:p>
        </w:tc>
        <w:tc>
          <w:tcPr>
            <w:tcW w:w="7015" w:type="dxa"/>
          </w:tcPr>
          <w:p w14:paraId="67A84983" w14:textId="422DBA61" w:rsidR="00454BEB" w:rsidRPr="009E44F2" w:rsidRDefault="00454BEB" w:rsidP="00454BEB">
            <w:r>
              <w:t>President Biden tells states to make vaccines available for all adults by May 1</w:t>
            </w:r>
            <w:r w:rsidRPr="00C87CC8">
              <w:rPr>
                <w:vertAlign w:val="superscript"/>
              </w:rPr>
              <w:t>st</w:t>
            </w:r>
          </w:p>
        </w:tc>
      </w:tr>
      <w:tr w:rsidR="00454BEB" w:rsidRPr="005D1E7F" w14:paraId="6BB98FC9"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18DC3820" w14:textId="04D39C16" w:rsidR="00454BEB" w:rsidRPr="005D1E7F" w:rsidRDefault="00454BEB" w:rsidP="00454BEB">
            <w:r>
              <w:t>March 11, 2021</w:t>
            </w:r>
          </w:p>
        </w:tc>
        <w:tc>
          <w:tcPr>
            <w:tcW w:w="7015" w:type="dxa"/>
          </w:tcPr>
          <w:p w14:paraId="5361D873" w14:textId="37287721" w:rsidR="00454BEB" w:rsidRPr="005D1E7F" w:rsidRDefault="00454BEB" w:rsidP="00454BEB">
            <w:r>
              <w:t>President Biden signs $1.9 trillion covid relief bill, allowing $1,400 stimulus checks to go out</w:t>
            </w:r>
          </w:p>
        </w:tc>
      </w:tr>
    </w:tbl>
    <w:p w14:paraId="380DE2B2" w14:textId="11629761" w:rsidR="00F03302" w:rsidRDefault="00A615E8" w:rsidP="001E26E8">
      <w:pPr>
        <w:spacing w:before="160"/>
      </w:pPr>
      <w:r>
        <w:t xml:space="preserve">The Philadelphia Fed’s coincident index of economic activity in the U.S. </w:t>
      </w:r>
      <w:r w:rsidR="003A390C">
        <w:t xml:space="preserve">rose </w:t>
      </w:r>
      <w:r w:rsidR="00C10F0A">
        <w:t>0.</w:t>
      </w:r>
      <w:r w:rsidR="00F719B1">
        <w:t>6</w:t>
      </w:r>
      <w:r w:rsidR="003A390C">
        <w:t xml:space="preserve">% in </w:t>
      </w:r>
      <w:r w:rsidR="00F719B1">
        <w:t xml:space="preserve">March 2021 </w:t>
      </w:r>
      <w:r w:rsidR="00C10F0A">
        <w:t xml:space="preserve">and </w:t>
      </w:r>
      <w:r w:rsidR="00E95F9A">
        <w:t>1.</w:t>
      </w:r>
      <w:r w:rsidR="00F719B1">
        <w:t>6</w:t>
      </w:r>
      <w:r w:rsidR="00C10F0A">
        <w:t xml:space="preserve">% </w:t>
      </w:r>
      <w:r w:rsidR="009255E9">
        <w:t>for</w:t>
      </w:r>
      <w:r>
        <w:t xml:space="preserve"> the </w:t>
      </w:r>
      <w:r w:rsidR="00F719B1">
        <w:t>1</w:t>
      </w:r>
      <w:r w:rsidR="00F719B1" w:rsidRPr="00F719B1">
        <w:rPr>
          <w:vertAlign w:val="superscript"/>
        </w:rPr>
        <w:t>st</w:t>
      </w:r>
      <w:r w:rsidR="00F719B1">
        <w:t xml:space="preserve"> </w:t>
      </w:r>
      <w:r>
        <w:t>quarter</w:t>
      </w:r>
      <w:r w:rsidR="00AF420E">
        <w:t xml:space="preserve">. </w:t>
      </w:r>
      <w:r w:rsidR="003A390C" w:rsidRPr="00A615E8">
        <w:t xml:space="preserve">In </w:t>
      </w:r>
      <w:r w:rsidR="00E95F9A">
        <w:t>December</w:t>
      </w:r>
      <w:r w:rsidRPr="00A615E8">
        <w:t xml:space="preserve">, </w:t>
      </w:r>
      <w:r w:rsidR="00714B74">
        <w:t xml:space="preserve">state </w:t>
      </w:r>
      <w:r>
        <w:t>coincident</w:t>
      </w:r>
      <w:r w:rsidRPr="00A615E8">
        <w:t xml:space="preserve"> indexes</w:t>
      </w:r>
      <w:r w:rsidR="00714B74">
        <w:rPr>
          <w:rStyle w:val="FootnoteReference"/>
        </w:rPr>
        <w:footnoteReference w:id="3"/>
      </w:r>
      <w:r w:rsidRPr="00A615E8">
        <w:t xml:space="preserve"> </w:t>
      </w:r>
      <w:r>
        <w:t>showed</w:t>
      </w:r>
      <w:r w:rsidR="003A390C" w:rsidRPr="003A390C">
        <w:t xml:space="preserve"> </w:t>
      </w:r>
      <w:r w:rsidR="003A390C" w:rsidRPr="00A615E8">
        <w:t xml:space="preserve">increased </w:t>
      </w:r>
      <w:r w:rsidR="003A390C">
        <w:t>economic activity</w:t>
      </w:r>
      <w:r w:rsidR="003A390C" w:rsidRPr="00A615E8">
        <w:t xml:space="preserve"> in </w:t>
      </w:r>
      <w:r w:rsidR="00F719B1">
        <w:t>49</w:t>
      </w:r>
      <w:r w:rsidR="003A390C" w:rsidRPr="00A615E8">
        <w:t xml:space="preserve"> states</w:t>
      </w:r>
      <w:r w:rsidR="00F719B1">
        <w:t xml:space="preserve"> and decreased activity in one state. These directional movements held for</w:t>
      </w:r>
      <w:r w:rsidR="003A390C" w:rsidRPr="00A615E8">
        <w:t xml:space="preserve"> the </w:t>
      </w:r>
      <w:r w:rsidR="003A390C">
        <w:t>entire quarter</w:t>
      </w:r>
      <w:r w:rsidR="00F719B1">
        <w:t>.</w:t>
      </w:r>
    </w:p>
    <w:p w14:paraId="7739DC43" w14:textId="0D67EE6B" w:rsidR="00A96A6A" w:rsidRDefault="0027585A" w:rsidP="006D4E8F">
      <w:pPr>
        <w:jc w:val="center"/>
      </w:pPr>
      <w:r w:rsidRPr="0027585A">
        <w:rPr>
          <w:noProof/>
        </w:rPr>
        <w:lastRenderedPageBreak/>
        <w:t xml:space="preserve"> </w:t>
      </w:r>
      <w:r w:rsidR="007568C6" w:rsidRPr="007568C6">
        <w:rPr>
          <w:noProof/>
        </w:rPr>
        <w:drawing>
          <wp:inline distT="0" distB="0" distL="0" distR="0" wp14:anchorId="0C2CFD52" wp14:editId="0B9CEF01">
            <wp:extent cx="5943600" cy="3424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47153D8D" w14:textId="5D56717F" w:rsidR="00996664" w:rsidRDefault="00996664" w:rsidP="008C0F54">
      <w:pPr>
        <w:spacing w:before="160"/>
      </w:pPr>
      <w:r>
        <w:t>Coincident indexes reflect unemployment, payroll employment, manufacturing hours, and wages and salaries. Unemployment strongly influences these indices. Despite falling in March 2021, the U.S. unemployment rate was still up 2.5 percentage points from February 2020, with an additional 4 million unemployed people. Payroll employment remained 8.4 million jobs below its pre-pandemic level in February 2020.</w:t>
      </w:r>
    </w:p>
    <w:p w14:paraId="584D09F3" w14:textId="77777777" w:rsidR="00996664" w:rsidRDefault="00996664">
      <w:r>
        <w:br w:type="page"/>
      </w:r>
    </w:p>
    <w:p w14:paraId="7F9DA1D5" w14:textId="77777777" w:rsidR="00996664" w:rsidRDefault="00996664" w:rsidP="008C0F54">
      <w:pPr>
        <w:spacing w:before="160"/>
      </w:pPr>
    </w:p>
    <w:p w14:paraId="022CFF26" w14:textId="6559F4E7"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4"/>
      </w:r>
      <w:r w:rsidR="009E4D8D" w:rsidRPr="00CA74AC">
        <w:t xml:space="preserve"> </w:t>
      </w:r>
      <w:r w:rsidR="00EB6A2E">
        <w:t xml:space="preserve">increased 2.68% </w:t>
      </w:r>
      <w:r w:rsidR="00442565">
        <w:t>during</w:t>
      </w:r>
      <w:r w:rsidR="00DA3959">
        <w:t xml:space="preserve"> the </w:t>
      </w:r>
      <w:r w:rsidR="00EB6A2E">
        <w:t>1</w:t>
      </w:r>
      <w:r w:rsidR="00EB6A2E" w:rsidRPr="00EB6A2E">
        <w:rPr>
          <w:vertAlign w:val="superscript"/>
        </w:rPr>
        <w:t>st</w:t>
      </w:r>
      <w:r w:rsidR="00EB0FF8">
        <w:t xml:space="preserve"> </w:t>
      </w:r>
      <w:r w:rsidR="00DA3959">
        <w:t>quarter of 202</w:t>
      </w:r>
      <w:r w:rsidR="00EB6A2E">
        <w:t xml:space="preserve">1 </w:t>
      </w:r>
      <w:r w:rsidR="00442565">
        <w:t xml:space="preserve">and </w:t>
      </w:r>
      <w:r w:rsidR="00EB6A2E">
        <w:t xml:space="preserve">decreased 0.14% </w:t>
      </w:r>
      <w:r w:rsidR="00442565">
        <w:t xml:space="preserve">since the </w:t>
      </w:r>
      <w:r w:rsidR="00EB0FF8">
        <w:t>4</w:t>
      </w:r>
      <w:r w:rsidR="00EB0FF8" w:rsidRPr="00EB0FF8">
        <w:rPr>
          <w:vertAlign w:val="superscript"/>
        </w:rPr>
        <w:t>th</w:t>
      </w:r>
      <w:r w:rsidR="00EB0FF8">
        <w:t xml:space="preserve"> </w:t>
      </w:r>
      <w:r w:rsidR="00D01E9D">
        <w:t>quarter</w:t>
      </w:r>
      <w:r w:rsidR="00DA3959">
        <w:t xml:space="preserve"> </w:t>
      </w:r>
      <w:r w:rsidR="00CF6B8A">
        <w:t>of 2019</w:t>
      </w:r>
      <w:r w:rsidR="009E4D8D" w:rsidRPr="00CA74AC">
        <w:t>.</w:t>
      </w:r>
      <w:r w:rsidR="00E24F81" w:rsidRPr="00CA74AC">
        <w:t xml:space="preserve"> </w:t>
      </w:r>
      <w:r w:rsidR="00E90A2C">
        <w:t>Factors such as uncertainty around the presidential transition, record daily cases in the U.S. in early January, a more positive global outlook dragged down the index to its lowest levels since 2018 before stabilizing.</w:t>
      </w:r>
    </w:p>
    <w:p w14:paraId="5FD9C9E3" w14:textId="0B9D489C" w:rsidR="004D1C9D" w:rsidRDefault="007568C6" w:rsidP="006D4E8F">
      <w:pPr>
        <w:jc w:val="center"/>
      </w:pPr>
      <w:r>
        <w:rPr>
          <w:noProof/>
        </w:rPr>
        <w:drawing>
          <wp:inline distT="0" distB="0" distL="0" distR="0" wp14:anchorId="675487A2" wp14:editId="74737004">
            <wp:extent cx="4097020" cy="274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49B8DBA3" w14:textId="77777777" w:rsidR="00996664" w:rsidRDefault="00996664">
      <w:pPr>
        <w:rPr>
          <w:rFonts w:asciiTheme="majorHAnsi" w:eastAsiaTheme="majorEastAsia" w:hAnsiTheme="majorHAnsi" w:cstheme="majorBidi"/>
          <w:color w:val="008FD5"/>
          <w:sz w:val="36"/>
          <w:szCs w:val="32"/>
        </w:rPr>
      </w:pPr>
      <w:r>
        <w:br w:type="page"/>
      </w:r>
    </w:p>
    <w:p w14:paraId="149D5EF9" w14:textId="7DBFFF7A" w:rsidR="002731EF" w:rsidRDefault="002731EF" w:rsidP="001475FF">
      <w:pPr>
        <w:pStyle w:val="Heading1"/>
      </w:pPr>
      <w:r>
        <w:lastRenderedPageBreak/>
        <w:t>Economic Highlights</w:t>
      </w:r>
    </w:p>
    <w:p w14:paraId="149D5EFA" w14:textId="3835A9CD" w:rsidR="002608F3" w:rsidRPr="00D571C6" w:rsidRDefault="006C2DAB" w:rsidP="00E528F7">
      <w:pPr>
        <w:pStyle w:val="ListParagraph"/>
        <w:numPr>
          <w:ilvl w:val="0"/>
          <w:numId w:val="3"/>
        </w:numPr>
      </w:pPr>
      <w:r w:rsidRPr="00D571C6">
        <w:t xml:space="preserve">Real GDP </w:t>
      </w:r>
      <w:r w:rsidR="00D571C6" w:rsidRPr="00D571C6">
        <w:t xml:space="preserve">for the </w:t>
      </w:r>
      <w:r w:rsidR="00E90A2C">
        <w:t>1</w:t>
      </w:r>
      <w:r w:rsidR="00E90A2C" w:rsidRPr="00E90A2C">
        <w:rPr>
          <w:vertAlign w:val="superscript"/>
        </w:rPr>
        <w:t>st</w:t>
      </w:r>
      <w:r w:rsidR="00D571C6" w:rsidRPr="00D571C6">
        <w:t xml:space="preserve"> quarter of 202</w:t>
      </w:r>
      <w:r w:rsidR="00E90A2C">
        <w:t>1</w:t>
      </w:r>
      <w:r w:rsidR="00D571C6" w:rsidRPr="00D571C6">
        <w:t xml:space="preserve"> grew at an annual rate of </w:t>
      </w:r>
      <w:r w:rsidR="00E90A2C">
        <w:t>6.4</w:t>
      </w:r>
      <w:r w:rsidR="00990761" w:rsidRPr="00D571C6">
        <w:t xml:space="preserve">% </w:t>
      </w:r>
      <w:r w:rsidR="00E90A2C">
        <w:t>compared to a</w:t>
      </w:r>
      <w:r w:rsidR="00D571C6" w:rsidRPr="00D571C6">
        <w:t xml:space="preserve"> </w:t>
      </w:r>
      <w:r w:rsidR="00E90A2C">
        <w:t>decline of 4.8</w:t>
      </w:r>
      <w:r w:rsidR="00D571C6" w:rsidRPr="00D571C6">
        <w:t xml:space="preserve">% </w:t>
      </w:r>
      <w:r w:rsidR="00E90A2C">
        <w:t>in the 1</w:t>
      </w:r>
      <w:r w:rsidR="00E90A2C" w:rsidRPr="00E90A2C">
        <w:rPr>
          <w:vertAlign w:val="superscript"/>
        </w:rPr>
        <w:t>st</w:t>
      </w:r>
      <w:r w:rsidR="00E90A2C">
        <w:t xml:space="preserve"> quarter of 202</w:t>
      </w:r>
      <w:r w:rsidR="00996664">
        <w:t>0</w:t>
      </w:r>
      <w:r w:rsidR="00D571C6" w:rsidRPr="00D571C6">
        <w:t>.</w:t>
      </w:r>
    </w:p>
    <w:p w14:paraId="149D5EFC" w14:textId="116BB227" w:rsidR="00E24F81" w:rsidRPr="00D571C6" w:rsidRDefault="00E24F81" w:rsidP="00E528F7">
      <w:pPr>
        <w:pStyle w:val="ListParagraph"/>
        <w:numPr>
          <w:ilvl w:val="0"/>
          <w:numId w:val="3"/>
        </w:numPr>
      </w:pPr>
      <w:r w:rsidRPr="00D571C6">
        <w:t xml:space="preserve">The U.S. dollar index </w:t>
      </w:r>
      <w:r w:rsidR="005516D5">
        <w:t>increased 2.68%</w:t>
      </w:r>
      <w:r w:rsidR="004B2DF4" w:rsidRPr="00D571C6">
        <w:t xml:space="preserve"> during the </w:t>
      </w:r>
      <w:r w:rsidR="005516D5">
        <w:t>1</w:t>
      </w:r>
      <w:r w:rsidR="005516D5" w:rsidRPr="005516D5">
        <w:rPr>
          <w:vertAlign w:val="superscript"/>
        </w:rPr>
        <w:t>st</w:t>
      </w:r>
      <w:r w:rsidR="004B2DF4" w:rsidRPr="00D571C6">
        <w:t xml:space="preserve"> quarter of 202</w:t>
      </w:r>
      <w:r w:rsidR="005516D5">
        <w:t>1</w:t>
      </w:r>
      <w:r w:rsidR="004B2DF4" w:rsidRPr="00D571C6">
        <w:t xml:space="preserve"> and </w:t>
      </w:r>
      <w:r w:rsidR="005516D5">
        <w:t>decreased 0.14% over the past year.</w:t>
      </w:r>
    </w:p>
    <w:p w14:paraId="149D5EFD" w14:textId="5BDBC9E4" w:rsidR="0076717F" w:rsidRPr="00D571C6" w:rsidRDefault="00E23CA2" w:rsidP="00E528F7">
      <w:pPr>
        <w:pStyle w:val="ListParagraph"/>
        <w:numPr>
          <w:ilvl w:val="0"/>
          <w:numId w:val="3"/>
        </w:numPr>
      </w:pPr>
      <w:r w:rsidRPr="00D571C6">
        <w:t>Throughout</w:t>
      </w:r>
      <w:r w:rsidR="00E50993" w:rsidRPr="00D571C6">
        <w:t xml:space="preserve"> </w:t>
      </w:r>
      <w:r w:rsidR="0092347C" w:rsidRPr="00D571C6">
        <w:t xml:space="preserve">the </w:t>
      </w:r>
      <w:r w:rsidR="005516D5">
        <w:t>1</w:t>
      </w:r>
      <w:r w:rsidR="005516D5" w:rsidRPr="005516D5">
        <w:rPr>
          <w:vertAlign w:val="superscript"/>
        </w:rPr>
        <w:t>st</w:t>
      </w:r>
      <w:r w:rsidR="005516D5">
        <w:t xml:space="preserve"> quarter</w:t>
      </w:r>
      <w:r w:rsidR="00E37A8F" w:rsidRPr="00D571C6">
        <w:t>,</w:t>
      </w:r>
      <w:r w:rsidR="00E50993" w:rsidRPr="00D571C6">
        <w:t xml:space="preserve"> the Federal Reserve </w:t>
      </w:r>
      <w:r w:rsidR="0092347C" w:rsidRPr="00D571C6">
        <w:t>held</w:t>
      </w:r>
      <w:r w:rsidR="00E37A8F" w:rsidRPr="00D571C6">
        <w:t xml:space="preserve"> the federal funds target rate </w:t>
      </w:r>
      <w:r w:rsidR="0092347C" w:rsidRPr="00D571C6">
        <w:t>at</w:t>
      </w:r>
      <w:r w:rsidR="00E37A8F" w:rsidRPr="00D571C6">
        <w:t xml:space="preserve"> a range of </w:t>
      </w:r>
      <w:r w:rsidR="001E26E8" w:rsidRPr="00D571C6">
        <w:t>0</w:t>
      </w:r>
      <w:r w:rsidR="005117CA" w:rsidRPr="00D571C6">
        <w:t>.</w:t>
      </w:r>
      <w:r w:rsidR="001E26E8" w:rsidRPr="00D571C6">
        <w:t>0</w:t>
      </w:r>
      <w:r w:rsidR="00FE67AA" w:rsidRPr="00D571C6">
        <w:t>0</w:t>
      </w:r>
      <w:r w:rsidR="00E37A8F" w:rsidRPr="00D571C6">
        <w:t xml:space="preserve"> to </w:t>
      </w:r>
      <w:r w:rsidR="001E26E8" w:rsidRPr="00D571C6">
        <w:t>0</w:t>
      </w:r>
      <w:r w:rsidR="00FE67AA" w:rsidRPr="00D571C6">
        <w:t>.</w:t>
      </w:r>
      <w:r w:rsidR="001E26E8" w:rsidRPr="00D571C6">
        <w:t>2</w:t>
      </w:r>
      <w:r w:rsidR="00FE67AA" w:rsidRPr="00D571C6">
        <w:t>5</w:t>
      </w:r>
      <w:r w:rsidR="00E37A8F" w:rsidRPr="00D571C6">
        <w:t xml:space="preserve"> percent</w:t>
      </w:r>
      <w:r w:rsidR="0035542E" w:rsidRPr="00D571C6">
        <w:t>.</w:t>
      </w:r>
    </w:p>
    <w:p w14:paraId="149D5EFE" w14:textId="7C10C1D7" w:rsidR="003E4ACB" w:rsidRPr="00D571C6" w:rsidRDefault="008741C2" w:rsidP="00E528F7">
      <w:pPr>
        <w:pStyle w:val="ListParagraph"/>
        <w:numPr>
          <w:ilvl w:val="0"/>
          <w:numId w:val="3"/>
        </w:numPr>
      </w:pPr>
      <w:r>
        <w:t>The 10-year U.S. treasury climbed through the 1</w:t>
      </w:r>
      <w:r w:rsidRPr="008741C2">
        <w:rPr>
          <w:vertAlign w:val="superscript"/>
        </w:rPr>
        <w:t>st</w:t>
      </w:r>
      <w:r>
        <w:t xml:space="preserve"> quarter, </w:t>
      </w:r>
      <w:r w:rsidR="00990761">
        <w:t>yield</w:t>
      </w:r>
      <w:r>
        <w:t>ing 1.74</w:t>
      </w:r>
      <w:r w:rsidR="009A6A40" w:rsidRPr="00D571C6">
        <w:t xml:space="preserve">% annually at the end of </w:t>
      </w:r>
      <w:r>
        <w:t>March 2021</w:t>
      </w:r>
      <w:r w:rsidR="00952C1C">
        <w:t xml:space="preserve"> </w:t>
      </w:r>
      <w:r w:rsidR="009A6A40" w:rsidRPr="00D571C6">
        <w:t xml:space="preserve">and the 30-year treasury </w:t>
      </w:r>
      <w:r w:rsidR="00990761">
        <w:t>yielded</w:t>
      </w:r>
      <w:r w:rsidR="009A6A40" w:rsidRPr="00D571C6">
        <w:t xml:space="preserve"> </w:t>
      </w:r>
      <w:r w:rsidR="00952C1C">
        <w:t>2.41</w:t>
      </w:r>
      <w:r w:rsidR="002F1C7B" w:rsidRPr="00D571C6">
        <w:t>%</w:t>
      </w:r>
      <w:r w:rsidR="004D0515" w:rsidRPr="00D571C6">
        <w:t>.</w:t>
      </w:r>
    </w:p>
    <w:p w14:paraId="2A4826B3" w14:textId="475ACAF5" w:rsidR="0069122E" w:rsidRPr="00990761" w:rsidRDefault="0069122E" w:rsidP="0069122E">
      <w:pPr>
        <w:pStyle w:val="ListParagraph"/>
        <w:numPr>
          <w:ilvl w:val="0"/>
          <w:numId w:val="3"/>
        </w:numPr>
      </w:pPr>
      <w:r w:rsidRPr="00990761">
        <w:t xml:space="preserve">Unemployment fell to </w:t>
      </w:r>
      <w:r w:rsidR="00D571C6" w:rsidRPr="00990761">
        <w:t>6.</w:t>
      </w:r>
      <w:r w:rsidR="00952C1C">
        <w:t>0</w:t>
      </w:r>
      <w:r w:rsidR="00D571C6" w:rsidRPr="00990761">
        <w:t>%</w:t>
      </w:r>
      <w:r w:rsidRPr="00990761">
        <w:t xml:space="preserve"> in </w:t>
      </w:r>
      <w:r w:rsidR="00952C1C">
        <w:t>March 2021</w:t>
      </w:r>
      <w:r w:rsidRPr="00990761">
        <w:t xml:space="preserve">, and payroll employment </w:t>
      </w:r>
      <w:r w:rsidRPr="00990761">
        <w:rPr>
          <w:color w:val="000000" w:themeColor="text1"/>
        </w:rPr>
        <w:t xml:space="preserve">regained </w:t>
      </w:r>
      <w:r w:rsidR="00952C1C">
        <w:rPr>
          <w:color w:val="000000" w:themeColor="text1"/>
        </w:rPr>
        <w:t>916,000</w:t>
      </w:r>
      <w:r w:rsidRPr="00990761">
        <w:rPr>
          <w:color w:val="000000" w:themeColor="text1"/>
        </w:rPr>
        <w:t xml:space="preserve"> jobs during the </w:t>
      </w:r>
      <w:r w:rsidR="00952C1C">
        <w:rPr>
          <w:color w:val="000000" w:themeColor="text1"/>
        </w:rPr>
        <w:t>first quarter</w:t>
      </w:r>
      <w:r w:rsidRPr="00990761">
        <w:t>.</w:t>
      </w:r>
    </w:p>
    <w:p w14:paraId="149D5EFF" w14:textId="49B6C0D3" w:rsidR="003E4ACB" w:rsidRPr="00990761" w:rsidRDefault="00CD3F6E" w:rsidP="00E528F7">
      <w:pPr>
        <w:pStyle w:val="ListParagraph"/>
        <w:numPr>
          <w:ilvl w:val="0"/>
          <w:numId w:val="3"/>
        </w:numPr>
      </w:pPr>
      <w:r w:rsidRPr="00990761">
        <w:t>Consumer i</w:t>
      </w:r>
      <w:r w:rsidR="006E4B4F" w:rsidRPr="00990761">
        <w:t xml:space="preserve">nflation </w:t>
      </w:r>
      <w:r w:rsidR="00BE1260" w:rsidRPr="00990761">
        <w:t xml:space="preserve">rose </w:t>
      </w:r>
      <w:r w:rsidR="00952C1C">
        <w:t>2.63</w:t>
      </w:r>
      <w:r w:rsidR="009A6A40" w:rsidRPr="00990761">
        <w:t xml:space="preserve">% since last </w:t>
      </w:r>
      <w:r w:rsidR="00952C1C">
        <w:t>March</w:t>
      </w:r>
      <w:r w:rsidR="003E4ACB" w:rsidRPr="00990761">
        <w:t>.</w:t>
      </w:r>
    </w:p>
    <w:p w14:paraId="02DFF80C" w14:textId="23B6AED4" w:rsidR="0069122E" w:rsidRPr="00990761" w:rsidRDefault="0069122E" w:rsidP="0069122E">
      <w:pPr>
        <w:pStyle w:val="ListParagraph"/>
        <w:numPr>
          <w:ilvl w:val="0"/>
          <w:numId w:val="3"/>
        </w:numPr>
      </w:pPr>
      <w:r w:rsidRPr="00990761">
        <w:t xml:space="preserve">Oil prices </w:t>
      </w:r>
      <w:r w:rsidR="00990761" w:rsidRPr="00990761">
        <w:t xml:space="preserve">rose during the </w:t>
      </w:r>
      <w:r w:rsidR="00E33ACE">
        <w:t>1</w:t>
      </w:r>
      <w:r w:rsidR="00E33ACE" w:rsidRPr="00E33ACE">
        <w:rPr>
          <w:vertAlign w:val="superscript"/>
        </w:rPr>
        <w:t>st</w:t>
      </w:r>
      <w:r w:rsidR="00E33ACE">
        <w:t xml:space="preserve"> </w:t>
      </w:r>
      <w:r w:rsidR="00990761" w:rsidRPr="00990761">
        <w:t>quarter to $</w:t>
      </w:r>
      <w:r w:rsidR="00952C1C">
        <w:t>59.19</w:t>
      </w:r>
      <w:r w:rsidR="00990761" w:rsidRPr="00990761">
        <w:t xml:space="preserve"> per barrel </w:t>
      </w:r>
      <w:r w:rsidR="00952C1C">
        <w:t>on March 31, 2020</w:t>
      </w:r>
      <w:r w:rsidRPr="00990761">
        <w:t>.</w:t>
      </w:r>
    </w:p>
    <w:p w14:paraId="149D5F00" w14:textId="7DD4E9C1" w:rsidR="003E4ACB" w:rsidRPr="00990761" w:rsidRDefault="00E736EF" w:rsidP="00E528F7">
      <w:pPr>
        <w:pStyle w:val="ListParagraph"/>
        <w:numPr>
          <w:ilvl w:val="0"/>
          <w:numId w:val="3"/>
        </w:numPr>
      </w:pPr>
      <w:r w:rsidRPr="00990761">
        <w:t xml:space="preserve">New </w:t>
      </w:r>
      <w:r w:rsidR="00E33ACE">
        <w:t>housing sales were up 66.83%</w:t>
      </w:r>
      <w:r w:rsidR="007B0FB5" w:rsidRPr="00990761">
        <w:t xml:space="preserve"> </w:t>
      </w:r>
      <w:r w:rsidR="00E33ACE">
        <w:t xml:space="preserve">in the first </w:t>
      </w:r>
      <w:r w:rsidR="007B0FB5" w:rsidRPr="00990761">
        <w:t>quarter</w:t>
      </w:r>
      <w:r w:rsidR="00E33ACE">
        <w:t>, making it the</w:t>
      </w:r>
      <w:r w:rsidR="00990761" w:rsidRPr="00990761">
        <w:t xml:space="preserve"> highest level in over </w:t>
      </w:r>
      <w:r w:rsidR="00E33ACE">
        <w:t>20 years.</w:t>
      </w:r>
    </w:p>
    <w:p w14:paraId="149D5F03" w14:textId="07E9D616" w:rsidR="0076717F" w:rsidRPr="00990761" w:rsidRDefault="00FC013E" w:rsidP="00F94484">
      <w:pPr>
        <w:pStyle w:val="ListParagraph"/>
        <w:numPr>
          <w:ilvl w:val="0"/>
          <w:numId w:val="3"/>
        </w:numPr>
      </w:pPr>
      <w:r w:rsidRPr="00990761">
        <w:t>U</w:t>
      </w:r>
      <w:r w:rsidR="00F74174" w:rsidRPr="00990761">
        <w:t>.</w:t>
      </w:r>
      <w:r w:rsidRPr="00990761">
        <w:t>S</w:t>
      </w:r>
      <w:r w:rsidR="00F74174" w:rsidRPr="00990761">
        <w:t>.</w:t>
      </w:r>
      <w:r w:rsidRPr="00990761">
        <w:t xml:space="preserve"> </w:t>
      </w:r>
      <w:r w:rsidR="00E33ACE">
        <w:t xml:space="preserve">equity </w:t>
      </w:r>
      <w:r w:rsidRPr="00990761">
        <w:t>markets</w:t>
      </w:r>
      <w:r w:rsidR="00D928C8" w:rsidRPr="00990761">
        <w:t xml:space="preserve"> </w:t>
      </w:r>
      <w:r w:rsidR="00990761" w:rsidRPr="00990761">
        <w:t>sustained their</w:t>
      </w:r>
      <w:r w:rsidR="00E33ACE">
        <w:t xml:space="preserve"> growth, although they pulled back in March 2021. </w:t>
      </w:r>
      <w:r w:rsidR="00990761" w:rsidRPr="00990761">
        <w:t xml:space="preserve">The NASDAQ Composite advanced </w:t>
      </w:r>
      <w:r w:rsidR="00E33ACE">
        <w:t>2.78%</w:t>
      </w:r>
      <w:r w:rsidR="00990761" w:rsidRPr="00990761">
        <w:t xml:space="preserve"> in the </w:t>
      </w:r>
      <w:r w:rsidR="00E33ACE">
        <w:t>1</w:t>
      </w:r>
      <w:r w:rsidR="00E33ACE" w:rsidRPr="00E33ACE">
        <w:rPr>
          <w:vertAlign w:val="superscript"/>
        </w:rPr>
        <w:t>st</w:t>
      </w:r>
      <w:r w:rsidR="00990761" w:rsidRPr="00990761">
        <w:t xml:space="preserve"> quarter, the Wilshire 5000 climbed </w:t>
      </w:r>
      <w:r w:rsidR="00E33ACE">
        <w:t>6.11</w:t>
      </w:r>
      <w:r w:rsidR="00990761" w:rsidRPr="00990761">
        <w:t xml:space="preserve">% and the S&amp;P 500 rose </w:t>
      </w:r>
      <w:r w:rsidR="00E33ACE">
        <w:t>5.77</w:t>
      </w:r>
      <w:r w:rsidR="00990761" w:rsidRPr="00990761">
        <w:t>%.</w:t>
      </w:r>
      <w:r w:rsidR="0076717F" w:rsidRPr="00990761">
        <w:br w:type="page"/>
      </w:r>
    </w:p>
    <w:p w14:paraId="149D5F04" w14:textId="77777777" w:rsidR="00057711" w:rsidRDefault="00057711" w:rsidP="00057711">
      <w:pPr>
        <w:pStyle w:val="Heading1"/>
      </w:pPr>
      <w:r>
        <w:lastRenderedPageBreak/>
        <w:t>Business Activity</w:t>
      </w:r>
    </w:p>
    <w:p w14:paraId="25413EE4" w14:textId="4E7FB0FF" w:rsidR="00A96A6A" w:rsidRPr="00F27E28" w:rsidRDefault="0080028D" w:rsidP="00057711">
      <w:r w:rsidRPr="00F27E28">
        <w:t>According to the Bureau of Economic Analysis</w:t>
      </w:r>
      <w:r w:rsidR="002608F3" w:rsidRPr="00F27E28">
        <w:t xml:space="preserve"> (BEA)</w:t>
      </w:r>
      <w:r w:rsidRPr="00F27E28">
        <w:t>, real gross domestic product (GDP)</w:t>
      </w:r>
      <w:r w:rsidR="00A8559D" w:rsidRPr="00F27E28">
        <w:rPr>
          <w:rStyle w:val="FootnoteReference"/>
        </w:rPr>
        <w:footnoteReference w:id="5"/>
      </w:r>
      <w:r w:rsidRPr="00F27E28">
        <w:t xml:space="preserve"> </w:t>
      </w:r>
      <w:r w:rsidR="00BD0BA8" w:rsidRPr="00F27E28">
        <w:t xml:space="preserve">for </w:t>
      </w:r>
      <w:r w:rsidR="00E33ACE">
        <w:t xml:space="preserve">Q1 </w:t>
      </w:r>
      <w:r w:rsidR="00813396">
        <w:t>202</w:t>
      </w:r>
      <w:r w:rsidR="00E33ACE">
        <w:t>1</w:t>
      </w:r>
      <w:r w:rsidR="00700166" w:rsidRPr="00F27E28">
        <w:t xml:space="preserve"> </w:t>
      </w:r>
      <w:r w:rsidR="004B2DF4">
        <w:t>grew</w:t>
      </w:r>
      <w:r w:rsidR="00BD0BA8" w:rsidRPr="00F27E28">
        <w:t xml:space="preserve"> </w:t>
      </w:r>
      <w:r w:rsidRPr="00F27E28">
        <w:t xml:space="preserve">at an annual rate of </w:t>
      </w:r>
      <w:r w:rsidR="00E33ACE">
        <w:t xml:space="preserve">6.4% following a 4.0% annual rate in Q4. </w:t>
      </w:r>
      <w:r w:rsidR="00D36137">
        <w:t>Over the last</w:t>
      </w:r>
      <w:r w:rsidR="00B40AF8" w:rsidRPr="00F27E28">
        <w:t xml:space="preserve"> 30</w:t>
      </w:r>
      <w:r w:rsidR="00D36137">
        <w:t xml:space="preserve"> </w:t>
      </w:r>
      <w:r w:rsidR="00B40AF8" w:rsidRPr="00F27E28">
        <w:t>year</w:t>
      </w:r>
      <w:r w:rsidR="00D36137">
        <w:t>s, the</w:t>
      </w:r>
      <w:r w:rsidR="00B40AF8" w:rsidRPr="00F27E28">
        <w:t xml:space="preserve"> average</w:t>
      </w:r>
      <w:r w:rsidR="005650CD" w:rsidRPr="005650CD">
        <w:t xml:space="preserve"> </w:t>
      </w:r>
      <w:r w:rsidR="00D36137">
        <w:t xml:space="preserve">compounded </w:t>
      </w:r>
      <w:r w:rsidR="005650CD" w:rsidRPr="00F27E28">
        <w:t>annual</w:t>
      </w:r>
      <w:r w:rsidR="00B40AF8" w:rsidRPr="00F27E28">
        <w:t xml:space="preserve"> rate of </w:t>
      </w:r>
      <w:r w:rsidR="005650CD">
        <w:t xml:space="preserve">GDP growth </w:t>
      </w:r>
      <w:r w:rsidR="00D36137">
        <w:t>was 2.4</w:t>
      </w:r>
      <w:r w:rsidRPr="004F67A9">
        <w:t>%.</w:t>
      </w:r>
      <w:r w:rsidR="001756EC" w:rsidRPr="00F27E28">
        <w:t xml:space="preserve"> </w:t>
      </w:r>
      <w:r w:rsidR="00D5240C">
        <w:t>The</w:t>
      </w:r>
      <w:r w:rsidR="0067456E">
        <w:t xml:space="preserve"> </w:t>
      </w:r>
      <w:r w:rsidR="00E33ACE">
        <w:t>Q1</w:t>
      </w:r>
      <w:r w:rsidR="0067456E">
        <w:t xml:space="preserve"> </w:t>
      </w:r>
      <w:r w:rsidR="003711BF">
        <w:t>advance estimate</w:t>
      </w:r>
      <w:r w:rsidR="00D5240C">
        <w:t xml:space="preserve"> </w:t>
      </w:r>
      <w:r w:rsidR="00E33ACE">
        <w:t>showed</w:t>
      </w:r>
      <w:r w:rsidR="00D5240C">
        <w:t xml:space="preserve"> continu</w:t>
      </w:r>
      <w:r w:rsidR="00E33ACE">
        <w:t xml:space="preserve">ed </w:t>
      </w:r>
      <w:r w:rsidR="00D5240C">
        <w:t xml:space="preserve">recovery from the </w:t>
      </w:r>
      <w:r w:rsidR="00E33ACE">
        <w:t xml:space="preserve">crippling effects </w:t>
      </w:r>
      <w:r w:rsidR="00D5240C">
        <w:t xml:space="preserve">of the COVID-19 </w:t>
      </w:r>
      <w:r w:rsidR="00E40C93">
        <w:t>pandemic</w:t>
      </w:r>
      <w:r w:rsidR="00E33ACE">
        <w:t>, beating</w:t>
      </w:r>
      <w:r w:rsidR="00594800">
        <w:t xml:space="preserve"> economists’ expectations for the quarter</w:t>
      </w:r>
      <w:r w:rsidR="0067456E">
        <w:t xml:space="preserve">. </w:t>
      </w:r>
      <w:r w:rsidR="00594800">
        <w:t xml:space="preserve">Q1 2021 </w:t>
      </w:r>
      <w:r w:rsidR="00996664">
        <w:t xml:space="preserve">growth </w:t>
      </w:r>
      <w:r w:rsidR="00594800">
        <w:t xml:space="preserve">respresented a </w:t>
      </w:r>
      <w:r w:rsidR="00996664">
        <w:t>reversal</w:t>
      </w:r>
      <w:r w:rsidR="00594800">
        <w:t xml:space="preserve"> over the Q1 2020 rate of -4.8%.</w:t>
      </w:r>
    </w:p>
    <w:p w14:paraId="7810A9C6" w14:textId="1B0DBA95" w:rsidR="00A96A6A" w:rsidRDefault="007568C6" w:rsidP="005117CA">
      <w:pPr>
        <w:jc w:val="center"/>
      </w:pPr>
      <w:r>
        <w:rPr>
          <w:noProof/>
        </w:rPr>
        <w:drawing>
          <wp:inline distT="0" distB="0" distL="0" distR="0" wp14:anchorId="475CF2EF" wp14:editId="385E7726">
            <wp:extent cx="4097020"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6E9155B" w14:textId="3F8FCDC3" w:rsidR="00D55969" w:rsidRDefault="00594800" w:rsidP="00CD643D">
      <w:r>
        <w:t>The uptick in Q1 is largely due to continued government assistance payments, such as a third round of stimulus checks, expanded unemployment benefits, increased spending due to higher household disposable income, a largely successful vaccine rollout, and the reopening of state economies.</w:t>
      </w:r>
    </w:p>
    <w:p w14:paraId="74EC7CAF" w14:textId="4E308609" w:rsidR="004D1C9D" w:rsidRDefault="007568C6" w:rsidP="005117CA">
      <w:pPr>
        <w:jc w:val="center"/>
      </w:pPr>
      <w:r>
        <w:rPr>
          <w:noProof/>
        </w:rPr>
        <w:lastRenderedPageBreak/>
        <w:drawing>
          <wp:inline distT="0" distB="0" distL="0" distR="0" wp14:anchorId="03A3942E" wp14:editId="32825CD8">
            <wp:extent cx="4224655" cy="34874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487420"/>
                    </a:xfrm>
                    <a:prstGeom prst="rect">
                      <a:avLst/>
                    </a:prstGeom>
                    <a:noFill/>
                  </pic:spPr>
                </pic:pic>
              </a:graphicData>
            </a:graphic>
          </wp:inline>
        </w:drawing>
      </w:r>
    </w:p>
    <w:p w14:paraId="31033888" w14:textId="5058C943" w:rsidR="004D1C9D" w:rsidRDefault="006331A2" w:rsidP="00174BCD">
      <w:r w:rsidRPr="006331A2">
        <w:t>T</w:t>
      </w:r>
      <w:r w:rsidR="00EF008E" w:rsidRPr="006331A2">
        <w:t>he Industrial Production Index</w:t>
      </w:r>
      <w:r w:rsidR="006A114D" w:rsidRPr="006331A2">
        <w:rPr>
          <w:rStyle w:val="FootnoteReference"/>
        </w:rPr>
        <w:footnoteReference w:id="6"/>
      </w:r>
      <w:r w:rsidR="00EF008E" w:rsidRPr="006331A2">
        <w:t xml:space="preserve"> </w:t>
      </w:r>
      <w:r w:rsidR="00B00E83" w:rsidRPr="006331A2">
        <w:t>stood</w:t>
      </w:r>
      <w:r w:rsidR="00DA5A96" w:rsidRPr="006331A2">
        <w:t xml:space="preserve"> at</w:t>
      </w:r>
      <w:r w:rsidR="008636F9" w:rsidRPr="006331A2">
        <w:t xml:space="preserve"> </w:t>
      </w:r>
      <w:r w:rsidR="006619DC" w:rsidRPr="006331A2">
        <w:t>10</w:t>
      </w:r>
      <w:r w:rsidR="006A687C">
        <w:t>5</w:t>
      </w:r>
      <w:r w:rsidR="006619DC" w:rsidRPr="006331A2">
        <w:t>.</w:t>
      </w:r>
      <w:r w:rsidR="00996664">
        <w:t>6</w:t>
      </w:r>
      <w:r w:rsidRPr="006331A2">
        <w:t xml:space="preserve"> to </w:t>
      </w:r>
      <w:r w:rsidR="00CF321C">
        <w:t>end Q1</w:t>
      </w:r>
      <w:r w:rsidR="006619DC" w:rsidRPr="006331A2">
        <w:t>,</w:t>
      </w:r>
      <w:r w:rsidR="00AA651C" w:rsidRPr="006331A2">
        <w:t xml:space="preserve"> </w:t>
      </w:r>
      <w:r w:rsidR="00CF321C">
        <w:t>down slightly from</w:t>
      </w:r>
      <w:r w:rsidR="006619DC" w:rsidRPr="006331A2">
        <w:t xml:space="preserve"> </w:t>
      </w:r>
      <w:r w:rsidR="00CF321C">
        <w:t>the Q4 index of 105.</w:t>
      </w:r>
      <w:r w:rsidR="00996664">
        <w:t>9</w:t>
      </w:r>
      <w:r w:rsidR="001C1070" w:rsidRPr="006331A2">
        <w:t>.</w:t>
      </w:r>
      <w:r w:rsidR="008636F9">
        <w:t xml:space="preserve"> </w:t>
      </w:r>
      <w:r w:rsidR="00CF321C">
        <w:t xml:space="preserve">Widespread outages related to severe winter weather in the southern U.S. were largely at fault for the drop in February, before production began to increase and stabilized to close out the quarter. Utilities output also dropped 11.4%, as heating demand </w:t>
      </w:r>
      <w:r w:rsidR="00996664">
        <w:t xml:space="preserve">fell </w:t>
      </w:r>
      <w:r w:rsidR="000D76FA">
        <w:t>due to</w:t>
      </w:r>
      <w:r w:rsidR="00996664">
        <w:t xml:space="preserve"> </w:t>
      </w:r>
      <w:r w:rsidR="000D76FA">
        <w:t>storm-driven utility outages in Texas</w:t>
      </w:r>
      <w:r w:rsidR="000D76FA">
        <w:t xml:space="preserve"> and </w:t>
      </w:r>
      <w:r w:rsidR="00996664">
        <w:t xml:space="preserve">the </w:t>
      </w:r>
      <w:r w:rsidR="00CF321C">
        <w:t>warmer-than-normal Marc</w:t>
      </w:r>
      <w:r w:rsidR="000D76FA">
        <w:t>h</w:t>
      </w:r>
      <w:r w:rsidR="00CF321C">
        <w:t>.</w:t>
      </w:r>
    </w:p>
    <w:p w14:paraId="149D5F1F" w14:textId="1A2B9AD9" w:rsidR="00172307" w:rsidRDefault="007568C6" w:rsidP="00BA7A2C">
      <w:pPr>
        <w:jc w:val="center"/>
      </w:pPr>
      <w:r>
        <w:rPr>
          <w:noProof/>
        </w:rPr>
        <w:drawing>
          <wp:inline distT="0" distB="0" distL="0" distR="0" wp14:anchorId="4A2C973A" wp14:editId="53C726E2">
            <wp:extent cx="3816350" cy="2737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49D5F20" w14:textId="72147876" w:rsidR="00005111" w:rsidRPr="005261C1" w:rsidRDefault="00005111" w:rsidP="005261C1">
      <w:pPr>
        <w:pStyle w:val="Heading1"/>
      </w:pPr>
      <w:r w:rsidRPr="005261C1">
        <w:lastRenderedPageBreak/>
        <w:t>Interest Rates</w:t>
      </w:r>
    </w:p>
    <w:p w14:paraId="472CBB47" w14:textId="43A34622" w:rsidR="00A96A6A" w:rsidRPr="00AE64EF" w:rsidRDefault="0092287E" w:rsidP="00005111">
      <w:pPr>
        <w:rPr>
          <w:color w:val="000000" w:themeColor="text1"/>
        </w:rPr>
      </w:pPr>
      <w:r>
        <w:t>While</w:t>
      </w:r>
      <w:r w:rsidR="008E1296">
        <w:t xml:space="preserve"> l</w:t>
      </w:r>
      <w:r w:rsidR="00022BB4">
        <w:t>ong-term treasury bond yields</w:t>
      </w:r>
      <w:r w:rsidR="00B65667">
        <w:rPr>
          <w:rStyle w:val="FootnoteReference"/>
        </w:rPr>
        <w:footnoteReference w:id="7"/>
      </w:r>
      <w:r w:rsidR="00022BB4">
        <w:t xml:space="preserve"> </w:t>
      </w:r>
      <w:r>
        <w:t xml:space="preserve">began to rise, short-term yields </w:t>
      </w:r>
      <w:r w:rsidR="006E6EAA">
        <w:t>remained near historic lows</w:t>
      </w:r>
      <w:r w:rsidR="008E1296">
        <w:t xml:space="preserve"> </w:t>
      </w:r>
      <w:r w:rsidR="00E528F9">
        <w:t>throughout</w:t>
      </w:r>
      <w:r w:rsidR="008E1296">
        <w:t xml:space="preserve"> the </w:t>
      </w:r>
      <w:r w:rsidR="00996664">
        <w:t>1</w:t>
      </w:r>
      <w:r w:rsidR="00996664" w:rsidRPr="00996664">
        <w:rPr>
          <w:vertAlign w:val="superscript"/>
        </w:rPr>
        <w:t>st</w:t>
      </w:r>
      <w:r w:rsidR="00996664">
        <w:t xml:space="preserve"> quarter of 2021</w:t>
      </w:r>
      <w:r w:rsidR="00022BB4">
        <w:t>.</w:t>
      </w:r>
      <w:r>
        <w:t xml:space="preserve"> The </w:t>
      </w:r>
      <w:r w:rsidR="00644630">
        <w:t>long-term yield increase represented an accelerated recovery from COVID-19, an improved economic outlook, and strong fiscal and monetary support.</w:t>
      </w:r>
      <w:r>
        <w:t xml:space="preserve"> </w:t>
      </w:r>
      <w:r w:rsidR="005E7A94">
        <w:t xml:space="preserve">The 1-year and 2-year annual treasury yields </w:t>
      </w:r>
      <w:r w:rsidR="00B65667">
        <w:t>ended the quarter</w:t>
      </w:r>
      <w:r w:rsidR="005E7A94">
        <w:t xml:space="preserve"> at </w:t>
      </w:r>
      <w:r w:rsidR="00B65667">
        <w:t>0.</w:t>
      </w:r>
      <w:r w:rsidR="00644630">
        <w:t>07</w:t>
      </w:r>
      <w:r w:rsidR="005E7A94">
        <w:t>%</w:t>
      </w:r>
      <w:r w:rsidR="006E6EAA">
        <w:t xml:space="preserve"> and 0.1</w:t>
      </w:r>
      <w:r w:rsidR="00644630">
        <w:t>6</w:t>
      </w:r>
      <w:r w:rsidR="006E6EAA">
        <w:t>%, respectively</w:t>
      </w:r>
      <w:r w:rsidR="005E7A94">
        <w:t>. T</w:t>
      </w:r>
      <w:r w:rsidR="0061080D" w:rsidRPr="0005726F">
        <w:t xml:space="preserve">he </w:t>
      </w:r>
      <w:r w:rsidR="005E7A94">
        <w:t xml:space="preserve">benchmark </w:t>
      </w:r>
      <w:r w:rsidR="00022BB4">
        <w:t>1</w:t>
      </w:r>
      <w:r w:rsidR="0061080D" w:rsidRPr="0005726F">
        <w:t xml:space="preserve">0-year treasury </w:t>
      </w:r>
      <w:r w:rsidR="005E7A94">
        <w:t>yielded</w:t>
      </w:r>
      <w:r w:rsidR="0061080D" w:rsidRPr="0005726F">
        <w:t xml:space="preserve"> </w:t>
      </w:r>
      <w:r w:rsidR="00644630">
        <w:t>1.74</w:t>
      </w:r>
      <w:r w:rsidR="0061080D" w:rsidRPr="0005726F">
        <w:t>%</w:t>
      </w:r>
      <w:r w:rsidR="005E7A94">
        <w:t xml:space="preserve"> annually at the</w:t>
      </w:r>
      <w:r w:rsidR="00B65667">
        <w:t xml:space="preserve"> end of </w:t>
      </w:r>
      <w:r w:rsidR="00644630">
        <w:t>March 2021</w:t>
      </w:r>
      <w:r w:rsidR="005E7A94">
        <w:t xml:space="preserve">, while </w:t>
      </w:r>
      <w:r w:rsidR="00D851AB" w:rsidRPr="0005726F">
        <w:t xml:space="preserve">the </w:t>
      </w:r>
      <w:r w:rsidR="00022BB4">
        <w:t>3</w:t>
      </w:r>
      <w:r w:rsidR="00D851AB" w:rsidRPr="0005726F">
        <w:t xml:space="preserve">0-year treasury </w:t>
      </w:r>
      <w:r w:rsidR="00B65667">
        <w:t>yielded</w:t>
      </w:r>
      <w:r w:rsidR="00D851AB" w:rsidRPr="0005726F">
        <w:t xml:space="preserve"> </w:t>
      </w:r>
      <w:r w:rsidR="00644630">
        <w:t>2.41</w:t>
      </w:r>
      <w:r w:rsidR="00D851AB" w:rsidRPr="0005726F">
        <w:t>%</w:t>
      </w:r>
      <w:r w:rsidR="00AE64EF" w:rsidRPr="007807DE">
        <w:rPr>
          <w:color w:val="000000" w:themeColor="text1"/>
        </w:rPr>
        <w:t>.</w:t>
      </w:r>
    </w:p>
    <w:p w14:paraId="0614E8BB" w14:textId="76058E32" w:rsidR="004D1C9D" w:rsidRDefault="008E1296" w:rsidP="005117CA">
      <w:pPr>
        <w:jc w:val="center"/>
      </w:pPr>
      <w:r>
        <w:rPr>
          <w:noProof/>
        </w:rPr>
        <w:t xml:space="preserve"> </w:t>
      </w:r>
      <w:r w:rsidR="007568C6">
        <w:rPr>
          <w:noProof/>
        </w:rPr>
        <w:drawing>
          <wp:inline distT="0" distB="0" distL="0" distR="0" wp14:anchorId="237989E2" wp14:editId="38DF9FE3">
            <wp:extent cx="3493135" cy="2755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755900"/>
                    </a:xfrm>
                    <a:prstGeom prst="rect">
                      <a:avLst/>
                    </a:prstGeom>
                    <a:noFill/>
                  </pic:spPr>
                </pic:pic>
              </a:graphicData>
            </a:graphic>
          </wp:inline>
        </w:drawing>
      </w:r>
    </w:p>
    <w:p w14:paraId="031CA932" w14:textId="7A02E084" w:rsidR="00B00681" w:rsidRDefault="00171C8E" w:rsidP="00005111">
      <w:r w:rsidRPr="004709B0">
        <w:t xml:space="preserve">In </w:t>
      </w:r>
      <w:r w:rsidR="00B34926">
        <w:t xml:space="preserve">the </w:t>
      </w:r>
      <w:r w:rsidR="00644630">
        <w:t>first quarter of 2021</w:t>
      </w:r>
      <w:r w:rsidR="00FE4D42">
        <w:t>,</w:t>
      </w:r>
      <w:r w:rsidRPr="004709B0">
        <w:t xml:space="preserve"> the Federal Reserve </w:t>
      </w:r>
      <w:r w:rsidR="006B3D25">
        <w:t>continued to keep</w:t>
      </w:r>
      <w:r w:rsidR="003376CD" w:rsidRPr="004709B0">
        <w:t xml:space="preserve"> </w:t>
      </w:r>
      <w:r w:rsidR="00D851AB" w:rsidRPr="004709B0">
        <w:t>the federal funds target rate</w:t>
      </w:r>
      <w:r w:rsidR="00740863">
        <w:t xml:space="preserve"> </w:t>
      </w:r>
      <w:r w:rsidR="00B34926">
        <w:t>steady at</w:t>
      </w:r>
      <w:r w:rsidR="004709B0" w:rsidRPr="004709B0">
        <w:t xml:space="preserve"> </w:t>
      </w:r>
      <w:r w:rsidR="00624AEF">
        <w:t xml:space="preserve">a range of </w:t>
      </w:r>
      <w:r w:rsidR="00B65667">
        <w:t>0.0</w:t>
      </w:r>
      <w:r w:rsidR="005E7A94">
        <w:t>0</w:t>
      </w:r>
      <w:r w:rsidR="00624AEF">
        <w:t xml:space="preserve"> to </w:t>
      </w:r>
      <w:r w:rsidR="00B65667">
        <w:t>0.2</w:t>
      </w:r>
      <w:r w:rsidR="005E7A94">
        <w:t>5</w:t>
      </w:r>
      <w:r w:rsidR="004709B0" w:rsidRPr="004709B0">
        <w:t xml:space="preserve"> percent</w:t>
      </w:r>
      <w:r w:rsidR="00BA1CC0">
        <w:t xml:space="preserve">, pledging to </w:t>
      </w:r>
      <w:r w:rsidR="00E536DC">
        <w:t xml:space="preserve">continue its </w:t>
      </w:r>
      <w:r w:rsidR="00644630">
        <w:t>easy-money policy</w:t>
      </w:r>
      <w:r w:rsidR="00E536DC">
        <w:t xml:space="preserve"> stance</w:t>
      </w:r>
      <w:r w:rsidR="00644630">
        <w:t xml:space="preserve"> until the labor market recovers fully and inflation reaches the 2% target</w:t>
      </w:r>
      <w:r w:rsidR="000B0583">
        <w:t xml:space="preserve">. </w:t>
      </w:r>
      <w:r w:rsidR="003F5061">
        <w:t>The effective federal funds rate</w:t>
      </w:r>
      <w:r w:rsidR="003F5061">
        <w:rPr>
          <w:rStyle w:val="FootnoteReference"/>
        </w:rPr>
        <w:footnoteReference w:id="8"/>
      </w:r>
      <w:r w:rsidR="003F5061">
        <w:t xml:space="preserve"> as of </w:t>
      </w:r>
      <w:r w:rsidR="00644630">
        <w:t>March 2021</w:t>
      </w:r>
      <w:r w:rsidR="00BA1CC0">
        <w:t xml:space="preserve"> </w:t>
      </w:r>
      <w:r w:rsidR="00B00E83">
        <w:t>wa</w:t>
      </w:r>
      <w:r w:rsidR="003F5061">
        <w:t xml:space="preserve">s </w:t>
      </w:r>
      <w:r w:rsidR="00955094">
        <w:t>0.</w:t>
      </w:r>
      <w:r w:rsidR="00BA1CC0">
        <w:t>0</w:t>
      </w:r>
      <w:r w:rsidR="00644630">
        <w:t>7</w:t>
      </w:r>
      <w:r w:rsidR="003F5061">
        <w:t>%.</w:t>
      </w:r>
    </w:p>
    <w:p w14:paraId="515AD2F7" w14:textId="3C7E9971" w:rsidR="004D1C9D" w:rsidRDefault="007568C6" w:rsidP="00166C08">
      <w:pPr>
        <w:jc w:val="center"/>
      </w:pPr>
      <w:r>
        <w:rPr>
          <w:noProof/>
        </w:rPr>
        <w:lastRenderedPageBreak/>
        <w:drawing>
          <wp:inline distT="0" distB="0" distL="0" distR="0" wp14:anchorId="5C974E4A" wp14:editId="2BC84151">
            <wp:extent cx="3493135"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7D026DBE" w14:textId="4A37B641" w:rsidR="004D1C9D" w:rsidRDefault="005117CA" w:rsidP="005261C1">
      <w:r>
        <w:t>T</w:t>
      </w:r>
      <w:r w:rsidR="002978F9" w:rsidRPr="003376CD">
        <w:t xml:space="preserve">he yield on the </w:t>
      </w:r>
      <w:r w:rsidR="0039196F">
        <w:t xml:space="preserve">benchmark </w:t>
      </w:r>
      <w:r w:rsidR="002978F9" w:rsidRPr="003376CD">
        <w:t>10-year U.S. treasury</w:t>
      </w:r>
      <w:r w:rsidR="004759DB">
        <w:rPr>
          <w:rStyle w:val="FootnoteReference"/>
        </w:rPr>
        <w:footnoteReference w:id="9"/>
      </w:r>
      <w:r w:rsidR="002978F9" w:rsidRPr="003376CD">
        <w:t xml:space="preserve"> </w:t>
      </w:r>
      <w:r w:rsidR="006B792C">
        <w:t>rose</w:t>
      </w:r>
      <w:r w:rsidR="00D22D6A">
        <w:t xml:space="preserve"> 0.</w:t>
      </w:r>
      <w:r w:rsidR="0073715A">
        <w:t>81</w:t>
      </w:r>
      <w:r>
        <w:t xml:space="preserve"> percentage points </w:t>
      </w:r>
      <w:r w:rsidR="00D22D6A">
        <w:t>during the</w:t>
      </w:r>
      <w:r w:rsidR="00644630">
        <w:t xml:space="preserve"> 1</w:t>
      </w:r>
      <w:r w:rsidR="00644630" w:rsidRPr="00644630">
        <w:rPr>
          <w:vertAlign w:val="superscript"/>
        </w:rPr>
        <w:t>st</w:t>
      </w:r>
      <w:r w:rsidR="00644630">
        <w:t xml:space="preserve"> quarter</w:t>
      </w:r>
      <w:r w:rsidR="00B00E83">
        <w:t xml:space="preserve"> </w:t>
      </w:r>
      <w:r w:rsidR="000B0583">
        <w:t xml:space="preserve">to end </w:t>
      </w:r>
      <w:r w:rsidR="00644630">
        <w:t xml:space="preserve">March 2021 </w:t>
      </w:r>
      <w:r w:rsidR="00CA112C">
        <w:t xml:space="preserve">at </w:t>
      </w:r>
      <w:r w:rsidR="0073715A">
        <w:t>1.74</w:t>
      </w:r>
      <w:r w:rsidR="00CA112C">
        <w:t>%</w:t>
      </w:r>
      <w:r w:rsidR="00D22D6A">
        <w:t xml:space="preserve">, well </w:t>
      </w:r>
      <w:r w:rsidR="00071875" w:rsidRPr="003376CD">
        <w:t xml:space="preserve">below the average yield of </w:t>
      </w:r>
      <w:r w:rsidR="003376CD" w:rsidRPr="003376CD">
        <w:t>4.</w:t>
      </w:r>
      <w:r w:rsidR="00E536DC">
        <w:t>26</w:t>
      </w:r>
      <w:r w:rsidR="004965CE" w:rsidRPr="003376CD">
        <w:t>% over the last 30 years</w:t>
      </w:r>
      <w:r w:rsidR="00CA112C">
        <w:t xml:space="preserve"> and</w:t>
      </w:r>
      <w:r w:rsidR="000874E3" w:rsidRPr="003376CD">
        <w:t xml:space="preserve"> </w:t>
      </w:r>
      <w:r w:rsidR="00996664">
        <w:t>more than double the</w:t>
      </w:r>
      <w:r w:rsidR="000874E3" w:rsidRPr="003376CD">
        <w:t xml:space="preserve"> </w:t>
      </w:r>
      <w:r w:rsidR="0073715A">
        <w:t>0.70</w:t>
      </w:r>
      <w:r w:rsidR="000874E3" w:rsidRPr="003376CD">
        <w:t xml:space="preserve">% </w:t>
      </w:r>
      <w:r w:rsidR="0016688A" w:rsidRPr="003376CD">
        <w:t xml:space="preserve">yield </w:t>
      </w:r>
      <w:r w:rsidR="0073715A">
        <w:t>one year ago</w:t>
      </w:r>
      <w:r w:rsidR="00CB629F" w:rsidRPr="003376CD">
        <w:t>.</w:t>
      </w:r>
    </w:p>
    <w:p w14:paraId="67433862" w14:textId="399F69FD" w:rsidR="004D1C9D" w:rsidRDefault="007568C6" w:rsidP="005117CA">
      <w:pPr>
        <w:jc w:val="center"/>
      </w:pPr>
      <w:r>
        <w:rPr>
          <w:noProof/>
        </w:rPr>
        <w:drawing>
          <wp:inline distT="0" distB="0" distL="0" distR="0" wp14:anchorId="1EEFECB3" wp14:editId="35EF5512">
            <wp:extent cx="3499485" cy="27495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62B8B6AA" w14:textId="50CEBFE5" w:rsidR="00A96A6A" w:rsidRDefault="00F02B3A" w:rsidP="00460436">
      <w:r w:rsidRPr="007E5B14">
        <w:t xml:space="preserve">Corporate bond yields </w:t>
      </w:r>
      <w:r w:rsidR="0073715A">
        <w:t>trended upward</w:t>
      </w:r>
      <w:r w:rsidR="00822038">
        <w:t xml:space="preserve"> </w:t>
      </w:r>
      <w:r w:rsidR="0073715A">
        <w:t>in the 1</w:t>
      </w:r>
      <w:r w:rsidR="0073715A" w:rsidRPr="0073715A">
        <w:rPr>
          <w:vertAlign w:val="superscript"/>
        </w:rPr>
        <w:t>st</w:t>
      </w:r>
      <w:r w:rsidR="0073715A">
        <w:t xml:space="preserve"> </w:t>
      </w:r>
      <w:r w:rsidRPr="007E5B14">
        <w:t>quarter</w:t>
      </w:r>
      <w:r w:rsidR="00BF0B27">
        <w:t xml:space="preserve"> of 202</w:t>
      </w:r>
      <w:r w:rsidR="0073715A">
        <w:t>1</w:t>
      </w:r>
      <w:r w:rsidRPr="007E5B14">
        <w:t>, with the Moody’s Baa Corpor</w:t>
      </w:r>
      <w:r w:rsidR="00102080" w:rsidRPr="007E5B14">
        <w:t xml:space="preserve">ate Bond Yield </w:t>
      </w:r>
      <w:r w:rsidR="004E3393" w:rsidRPr="007E5B14">
        <w:t>Index</w:t>
      </w:r>
      <w:r w:rsidR="004E5EC0">
        <w:rPr>
          <w:rStyle w:val="FootnoteReference"/>
        </w:rPr>
        <w:footnoteReference w:id="10"/>
      </w:r>
      <w:r w:rsidR="004E3393" w:rsidRPr="007E5B14">
        <w:t xml:space="preserve"> </w:t>
      </w:r>
      <w:r w:rsidR="00102080" w:rsidRPr="007E5B14">
        <w:t>ending the quarter</w:t>
      </w:r>
      <w:r w:rsidRPr="007E5B14">
        <w:t xml:space="preserve"> at </w:t>
      </w:r>
      <w:r w:rsidR="00D22D6A">
        <w:t>3.</w:t>
      </w:r>
      <w:r w:rsidR="0073715A">
        <w:t>74</w:t>
      </w:r>
      <w:r w:rsidR="004965CE" w:rsidRPr="007E5B14">
        <w:t xml:space="preserve">% compared to </w:t>
      </w:r>
      <w:r w:rsidR="006B792C">
        <w:t>3.</w:t>
      </w:r>
      <w:r w:rsidR="0073715A">
        <w:t>16</w:t>
      </w:r>
      <w:r w:rsidRPr="007E5B14">
        <w:t>%</w:t>
      </w:r>
      <w:r w:rsidR="0073715A">
        <w:t xml:space="preserve"> at the end of December 2020</w:t>
      </w:r>
      <w:r w:rsidR="00823E2B">
        <w:t xml:space="preserve">. </w:t>
      </w:r>
      <w:r w:rsidR="006B792C">
        <w:t xml:space="preserve">The </w:t>
      </w:r>
      <w:r w:rsidR="0073715A">
        <w:t>March 2021 rate</w:t>
      </w:r>
      <w:r w:rsidR="006B792C">
        <w:t xml:space="preserve"> </w:t>
      </w:r>
      <w:r w:rsidR="00550C7C">
        <w:t>is lower than the</w:t>
      </w:r>
      <w:r w:rsidR="00285F67">
        <w:t xml:space="preserve"> </w:t>
      </w:r>
      <w:r w:rsidR="0073715A">
        <w:t>4.29%</w:t>
      </w:r>
      <w:r w:rsidR="00CD40BC">
        <w:t xml:space="preserve"> yield from the </w:t>
      </w:r>
      <w:r w:rsidR="00CD40BC" w:rsidRPr="007E5B14">
        <w:t>same period last year</w:t>
      </w:r>
      <w:r w:rsidR="00323C75">
        <w:t>, as well as its 30-year average yield of 6.</w:t>
      </w:r>
      <w:r w:rsidR="00822038">
        <w:t>65</w:t>
      </w:r>
      <w:r w:rsidR="00323C75">
        <w:t>%</w:t>
      </w:r>
      <w:r w:rsidRPr="00AF6040">
        <w:t>.</w:t>
      </w:r>
    </w:p>
    <w:p w14:paraId="7CE57D35" w14:textId="37664369" w:rsidR="005117CA" w:rsidRDefault="007568C6" w:rsidP="005117CA">
      <w:pPr>
        <w:jc w:val="center"/>
      </w:pPr>
      <w:r>
        <w:rPr>
          <w:noProof/>
        </w:rPr>
        <w:lastRenderedPageBreak/>
        <w:drawing>
          <wp:inline distT="0" distB="0" distL="0" distR="0" wp14:anchorId="1D0593CB" wp14:editId="28148CB2">
            <wp:extent cx="349313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2F" w14:textId="479C442E" w:rsidR="00005111" w:rsidRDefault="00005111" w:rsidP="005261C1">
      <w:pPr>
        <w:pStyle w:val="Heading1"/>
      </w:pPr>
      <w:r>
        <w:t>Employment</w:t>
      </w:r>
    </w:p>
    <w:p w14:paraId="149D5F31" w14:textId="5530BB4F" w:rsidR="00C05052" w:rsidRPr="00D74F6D" w:rsidRDefault="00A01E81" w:rsidP="00B84330">
      <w:pPr>
        <w:rPr>
          <w:color w:val="000000" w:themeColor="text1"/>
        </w:rPr>
      </w:pPr>
      <w:r>
        <w:t xml:space="preserve">Labor market gains </w:t>
      </w:r>
      <w:r w:rsidR="0073715A">
        <w:t>steadily increased</w:t>
      </w:r>
      <w:r>
        <w:t xml:space="preserve"> in the </w:t>
      </w:r>
      <w:r w:rsidR="0073715A">
        <w:t>first quarter of 2021</w:t>
      </w:r>
      <w:r w:rsidR="00996664">
        <w:t xml:space="preserve"> </w:t>
      </w:r>
      <w:r w:rsidR="0073715A">
        <w:t>as state economies began to reopen</w:t>
      </w:r>
      <w:r>
        <w:t xml:space="preserve">. </w:t>
      </w:r>
      <w:r w:rsidR="00D839AA">
        <w:t>T</w:t>
      </w:r>
      <w:r w:rsidR="00D03F0F">
        <w:t xml:space="preserve">he </w:t>
      </w:r>
      <w:r w:rsidR="00F24605">
        <w:t>U</w:t>
      </w:r>
      <w:r w:rsidR="00BC00A7">
        <w:t>.</w:t>
      </w:r>
      <w:r w:rsidR="00F24605">
        <w:t>S</w:t>
      </w:r>
      <w:r w:rsidR="00BC00A7">
        <w:t>.</w:t>
      </w:r>
      <w:r w:rsidR="00F24605">
        <w:t xml:space="preserve"> </w:t>
      </w:r>
      <w:r w:rsidR="00D74F6D">
        <w:t>unemployment rate</w:t>
      </w:r>
      <w:r w:rsidR="00D03F0F">
        <w:t xml:space="preserve"> </w:t>
      </w:r>
      <w:r w:rsidR="0073715A">
        <w:t>ended the quarter at 6.0%.</w:t>
      </w:r>
      <w:r w:rsidR="00105413">
        <w:rPr>
          <w:color w:val="000000" w:themeColor="text1"/>
        </w:rPr>
        <w:t xml:space="preserve"> </w:t>
      </w:r>
      <w:r w:rsidR="00323C75">
        <w:rPr>
          <w:color w:val="000000" w:themeColor="text1"/>
        </w:rPr>
        <w:t xml:space="preserve">Similarly, </w:t>
      </w:r>
      <w:r w:rsidR="00BF0B27">
        <w:rPr>
          <w:color w:val="000000" w:themeColor="text1"/>
        </w:rPr>
        <w:t xml:space="preserve">while </w:t>
      </w:r>
      <w:r w:rsidR="00323C75">
        <w:rPr>
          <w:color w:val="000000" w:themeColor="text1"/>
        </w:rPr>
        <w:t>the</w:t>
      </w:r>
      <w:r w:rsidR="001E15B0">
        <w:rPr>
          <w:color w:val="000000" w:themeColor="text1"/>
        </w:rPr>
        <w:t xml:space="preserve"> U.S. </w:t>
      </w:r>
      <w:r w:rsidR="00323C75">
        <w:rPr>
          <w:color w:val="000000" w:themeColor="text1"/>
        </w:rPr>
        <w:t>regained</w:t>
      </w:r>
      <w:r w:rsidR="001E15B0">
        <w:rPr>
          <w:color w:val="000000" w:themeColor="text1"/>
        </w:rPr>
        <w:t xml:space="preserve"> </w:t>
      </w:r>
      <w:r w:rsidR="0073715A">
        <w:rPr>
          <w:color w:val="000000" w:themeColor="text1"/>
        </w:rPr>
        <w:t xml:space="preserve">916,000 </w:t>
      </w:r>
      <w:r w:rsidR="001E15B0">
        <w:rPr>
          <w:color w:val="000000" w:themeColor="text1"/>
        </w:rPr>
        <w:t xml:space="preserve">jobs </w:t>
      </w:r>
      <w:r w:rsidR="00323C75">
        <w:rPr>
          <w:color w:val="000000" w:themeColor="text1"/>
        </w:rPr>
        <w:t>during</w:t>
      </w:r>
      <w:r w:rsidR="00D31166">
        <w:rPr>
          <w:color w:val="000000" w:themeColor="text1"/>
        </w:rPr>
        <w:t xml:space="preserve"> the </w:t>
      </w:r>
      <w:r w:rsidR="0073715A">
        <w:rPr>
          <w:color w:val="000000" w:themeColor="text1"/>
        </w:rPr>
        <w:t>1</w:t>
      </w:r>
      <w:r w:rsidR="0073715A" w:rsidRPr="0073715A">
        <w:rPr>
          <w:color w:val="000000" w:themeColor="text1"/>
          <w:vertAlign w:val="superscript"/>
        </w:rPr>
        <w:t>st</w:t>
      </w:r>
      <w:r w:rsidR="0073715A">
        <w:rPr>
          <w:color w:val="000000" w:themeColor="text1"/>
        </w:rPr>
        <w:t xml:space="preserve"> </w:t>
      </w:r>
      <w:r w:rsidR="00D31166">
        <w:rPr>
          <w:color w:val="000000" w:themeColor="text1"/>
        </w:rPr>
        <w:t>quarter</w:t>
      </w:r>
      <w:r w:rsidR="00BF0B27">
        <w:rPr>
          <w:color w:val="000000" w:themeColor="text1"/>
        </w:rPr>
        <w:t>,</w:t>
      </w:r>
      <w:r w:rsidR="00323C75">
        <w:rPr>
          <w:color w:val="000000" w:themeColor="text1"/>
        </w:rPr>
        <w:t xml:space="preserve"> </w:t>
      </w:r>
      <w:r w:rsidR="001E15B0">
        <w:rPr>
          <w:color w:val="000000" w:themeColor="text1"/>
        </w:rPr>
        <w:t>t</w:t>
      </w:r>
      <w:r w:rsidR="00102080" w:rsidRPr="00865CE8">
        <w:rPr>
          <w:color w:val="000000" w:themeColor="text1"/>
        </w:rPr>
        <w:t xml:space="preserve">otal </w:t>
      </w:r>
      <w:r w:rsidR="00DB663A" w:rsidRPr="00D74F6D">
        <w:rPr>
          <w:color w:val="000000" w:themeColor="text1"/>
        </w:rPr>
        <w:t>nonfarm payrolls</w:t>
      </w:r>
      <w:r w:rsidR="0052077C" w:rsidRPr="00D74F6D">
        <w:rPr>
          <w:rStyle w:val="FootnoteReference"/>
          <w:color w:val="000000" w:themeColor="text1"/>
        </w:rPr>
        <w:footnoteReference w:id="11"/>
      </w:r>
      <w:r w:rsidR="00DB663A" w:rsidRPr="00D74F6D">
        <w:rPr>
          <w:color w:val="000000" w:themeColor="text1"/>
        </w:rPr>
        <w:t xml:space="preserve"> </w:t>
      </w:r>
      <w:r w:rsidR="00BF0B27">
        <w:rPr>
          <w:color w:val="000000" w:themeColor="text1"/>
        </w:rPr>
        <w:t xml:space="preserve">in </w:t>
      </w:r>
      <w:r w:rsidR="0073715A">
        <w:rPr>
          <w:color w:val="000000" w:themeColor="text1"/>
        </w:rPr>
        <w:t>March</w:t>
      </w:r>
      <w:r w:rsidR="00BF0B27">
        <w:rPr>
          <w:color w:val="000000" w:themeColor="text1"/>
        </w:rPr>
        <w:t xml:space="preserve"> were still</w:t>
      </w:r>
      <w:r w:rsidR="00323C75">
        <w:rPr>
          <w:color w:val="000000" w:themeColor="text1"/>
        </w:rPr>
        <w:t xml:space="preserve"> </w:t>
      </w:r>
      <w:r w:rsidR="005C226C">
        <w:rPr>
          <w:color w:val="000000" w:themeColor="text1"/>
        </w:rPr>
        <w:t>8.1</w:t>
      </w:r>
      <w:r w:rsidR="00323C75">
        <w:rPr>
          <w:color w:val="000000" w:themeColor="text1"/>
        </w:rPr>
        <w:t xml:space="preserve"> million jobs below </w:t>
      </w:r>
      <w:r w:rsidR="00996664">
        <w:rPr>
          <w:color w:val="000000" w:themeColor="text1"/>
        </w:rPr>
        <w:t xml:space="preserve">last </w:t>
      </w:r>
      <w:r w:rsidR="00B55FC5">
        <w:rPr>
          <w:color w:val="000000" w:themeColor="text1"/>
        </w:rPr>
        <w:t xml:space="preserve">February’s </w:t>
      </w:r>
      <w:r w:rsidR="00323C75">
        <w:rPr>
          <w:color w:val="000000" w:themeColor="text1"/>
        </w:rPr>
        <w:t xml:space="preserve">pre-pandemic </w:t>
      </w:r>
      <w:r w:rsidR="00B55FC5">
        <w:rPr>
          <w:color w:val="000000" w:themeColor="text1"/>
        </w:rPr>
        <w:t>peak</w:t>
      </w:r>
      <w:r w:rsidR="00572F03">
        <w:rPr>
          <w:color w:val="000000" w:themeColor="text1"/>
        </w:rPr>
        <w:t xml:space="preserve">. </w:t>
      </w:r>
      <w:r w:rsidR="008231D2">
        <w:rPr>
          <w:color w:val="000000" w:themeColor="text1"/>
        </w:rPr>
        <w:t>The increases were led by gains in leisure and hospitality, public and private education, and construction.</w:t>
      </w:r>
      <w:r w:rsidR="00D30343">
        <w:rPr>
          <w:color w:val="000000" w:themeColor="text1"/>
        </w:rPr>
        <w:t xml:space="preserve"> </w:t>
      </w:r>
      <w:r w:rsidR="008231D2">
        <w:rPr>
          <w:color w:val="000000" w:themeColor="text1"/>
        </w:rPr>
        <w:t>At the end of March 2021</w:t>
      </w:r>
      <w:r w:rsidR="00D30343">
        <w:rPr>
          <w:color w:val="000000" w:themeColor="text1"/>
        </w:rPr>
        <w:t>, payrolls</w:t>
      </w:r>
      <w:r w:rsidR="00162E77">
        <w:rPr>
          <w:color w:val="000000" w:themeColor="text1"/>
        </w:rPr>
        <w:t xml:space="preserve"> </w:t>
      </w:r>
      <w:r w:rsidR="00D30343">
        <w:rPr>
          <w:color w:val="000000" w:themeColor="text1"/>
        </w:rPr>
        <w:t>were</w:t>
      </w:r>
      <w:r w:rsidR="00BE1260">
        <w:rPr>
          <w:color w:val="000000" w:themeColor="text1"/>
        </w:rPr>
        <w:t xml:space="preserve"> </w:t>
      </w:r>
      <w:r w:rsidR="008231D2">
        <w:rPr>
          <w:color w:val="000000" w:themeColor="text1"/>
        </w:rPr>
        <w:t>6.7</w:t>
      </w:r>
      <w:r w:rsidR="00572F03">
        <w:rPr>
          <w:color w:val="000000" w:themeColor="text1"/>
        </w:rPr>
        <w:t xml:space="preserve"> million </w:t>
      </w:r>
      <w:r w:rsidR="003E18DF">
        <w:rPr>
          <w:color w:val="000000" w:themeColor="text1"/>
        </w:rPr>
        <w:t>below</w:t>
      </w:r>
      <w:r w:rsidR="00572F03">
        <w:rPr>
          <w:color w:val="000000" w:themeColor="text1"/>
        </w:rPr>
        <w:t xml:space="preserve"> </w:t>
      </w:r>
      <w:r w:rsidR="00D30343">
        <w:rPr>
          <w:color w:val="000000" w:themeColor="text1"/>
        </w:rPr>
        <w:t>the previous</w:t>
      </w:r>
      <w:r w:rsidR="003E18DF">
        <w:rPr>
          <w:color w:val="000000" w:themeColor="text1"/>
        </w:rPr>
        <w:t xml:space="preserve"> </w:t>
      </w:r>
      <w:r w:rsidR="008231D2">
        <w:rPr>
          <w:color w:val="000000" w:themeColor="text1"/>
        </w:rPr>
        <w:t>March</w:t>
      </w:r>
      <w:r>
        <w:rPr>
          <w:color w:val="000000" w:themeColor="text1"/>
        </w:rPr>
        <w:t>’s</w:t>
      </w:r>
      <w:r w:rsidR="003E18DF">
        <w:rPr>
          <w:color w:val="000000" w:themeColor="text1"/>
        </w:rPr>
        <w:t xml:space="preserve"> levels</w:t>
      </w:r>
      <w:r w:rsidR="00572F03">
        <w:rPr>
          <w:color w:val="000000" w:themeColor="text1"/>
        </w:rPr>
        <w:t>.</w:t>
      </w:r>
    </w:p>
    <w:p w14:paraId="149D5F33" w14:textId="35CE1CAB" w:rsidR="00B84330" w:rsidRDefault="007568C6" w:rsidP="004D099A">
      <w:pPr>
        <w:jc w:val="center"/>
      </w:pPr>
      <w:r>
        <w:rPr>
          <w:noProof/>
        </w:rPr>
        <w:drawing>
          <wp:inline distT="0" distB="0" distL="0" distR="0" wp14:anchorId="4BBEEBF9" wp14:editId="20AA06A8">
            <wp:extent cx="3846830" cy="27432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6830" cy="2743200"/>
                    </a:xfrm>
                    <a:prstGeom prst="rect">
                      <a:avLst/>
                    </a:prstGeom>
                    <a:noFill/>
                  </pic:spPr>
                </pic:pic>
              </a:graphicData>
            </a:graphic>
          </wp:inline>
        </w:drawing>
      </w:r>
    </w:p>
    <w:p w14:paraId="0D3BFDA8" w14:textId="48E4F998" w:rsidR="00A96A6A" w:rsidRDefault="00D74F6D" w:rsidP="008231D2">
      <w:r>
        <w:lastRenderedPageBreak/>
        <w:t>The</w:t>
      </w:r>
      <w:r w:rsidR="00C05052" w:rsidRPr="00925F58">
        <w:t xml:space="preserve"> unemp</w:t>
      </w:r>
      <w:r w:rsidR="00F81F49" w:rsidRPr="00925F58">
        <w:t>loyment rate</w:t>
      </w:r>
      <w:r w:rsidR="00C937ED">
        <w:rPr>
          <w:rStyle w:val="FootnoteReference"/>
        </w:rPr>
        <w:footnoteReference w:id="12"/>
      </w:r>
      <w:r w:rsidR="00F81F49" w:rsidRPr="00925F58">
        <w:t xml:space="preserve"> </w:t>
      </w:r>
      <w:r w:rsidR="00162E77">
        <w:t>fell t</w:t>
      </w:r>
      <w:r w:rsidR="00D30343">
        <w:t>o 6.</w:t>
      </w:r>
      <w:r w:rsidR="008231D2">
        <w:t>0</w:t>
      </w:r>
      <w:r w:rsidR="00162E77">
        <w:t xml:space="preserve">% </w:t>
      </w:r>
      <w:r w:rsidR="00996664">
        <w:t>in</w:t>
      </w:r>
      <w:r w:rsidR="00D30343">
        <w:t xml:space="preserve"> </w:t>
      </w:r>
      <w:r w:rsidR="008231D2">
        <w:t xml:space="preserve">March </w:t>
      </w:r>
      <w:r w:rsidR="00162E77">
        <w:t>202</w:t>
      </w:r>
      <w:r w:rsidR="008231D2">
        <w:t>1</w:t>
      </w:r>
      <w:r w:rsidR="00D30343">
        <w:t xml:space="preserve">, </w:t>
      </w:r>
      <w:r w:rsidR="008231D2">
        <w:t xml:space="preserve">dropping each month </w:t>
      </w:r>
      <w:r w:rsidR="00996664">
        <w:t xml:space="preserve">of the quarter </w:t>
      </w:r>
      <w:r w:rsidR="008231D2">
        <w:t xml:space="preserve">from the December 2020 level of 6.7%. </w:t>
      </w:r>
      <w:r w:rsidR="00D57C94">
        <w:t>T</w:t>
      </w:r>
      <w:r>
        <w:t xml:space="preserve">he </w:t>
      </w:r>
      <w:r w:rsidR="008231D2">
        <w:t>March 2021</w:t>
      </w:r>
      <w:r w:rsidR="00982654">
        <w:t xml:space="preserve"> unemployment </w:t>
      </w:r>
      <w:r>
        <w:t xml:space="preserve">rate was </w:t>
      </w:r>
      <w:r w:rsidR="008231D2">
        <w:t>1.6</w:t>
      </w:r>
      <w:r w:rsidR="00162E77">
        <w:t xml:space="preserve"> percentage points higher than</w:t>
      </w:r>
      <w:r w:rsidR="001744C6" w:rsidRPr="00925F58">
        <w:t xml:space="preserve"> the </w:t>
      </w:r>
      <w:r w:rsidR="00162E77">
        <w:t xml:space="preserve">previous </w:t>
      </w:r>
      <w:r w:rsidR="008231D2">
        <w:t>March</w:t>
      </w:r>
      <w:r w:rsidR="001744C6" w:rsidRPr="00925F58">
        <w:t xml:space="preserve"> </w:t>
      </w:r>
      <w:r w:rsidR="008231D2">
        <w:t xml:space="preserve">and dropped closer to the </w:t>
      </w:r>
      <w:r w:rsidR="001744C6" w:rsidRPr="00925F58">
        <w:t xml:space="preserve">30-year average </w:t>
      </w:r>
      <w:r w:rsidR="00D644B7" w:rsidRPr="00925F58">
        <w:t xml:space="preserve">unemployment rate </w:t>
      </w:r>
      <w:r w:rsidR="001744C6" w:rsidRPr="00925F58">
        <w:t xml:space="preserve">of </w:t>
      </w:r>
      <w:r w:rsidR="00D501BC" w:rsidRPr="00925F58">
        <w:t>5.</w:t>
      </w:r>
      <w:r w:rsidR="00982654">
        <w:t>9</w:t>
      </w:r>
      <w:r w:rsidR="001744C6" w:rsidRPr="00925F58">
        <w:t>%</w:t>
      </w:r>
      <w:r w:rsidR="008C798A">
        <w:t>.</w:t>
      </w:r>
      <w:r w:rsidR="008231D2" w:rsidRPr="008231D2">
        <w:t xml:space="preserve"> </w:t>
      </w:r>
      <w:r w:rsidR="008231D2">
        <w:t>Both temporary layoffs and permanent layoffs fell from December 2020 levels in Q1</w:t>
      </w:r>
      <w:r w:rsidR="001345CD">
        <w:t xml:space="preserve"> 2021</w:t>
      </w:r>
      <w:r w:rsidR="008231D2">
        <w:t>.</w:t>
      </w:r>
    </w:p>
    <w:p w14:paraId="1926EEEC" w14:textId="75EB80BD" w:rsidR="0017576B" w:rsidRDefault="007568C6" w:rsidP="00D57C94">
      <w:pPr>
        <w:jc w:val="center"/>
      </w:pPr>
      <w:r>
        <w:rPr>
          <w:noProof/>
        </w:rPr>
        <w:drawing>
          <wp:inline distT="0" distB="0" distL="0" distR="0" wp14:anchorId="5B064A76" wp14:editId="014CAF3E">
            <wp:extent cx="3493135"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8" w14:textId="77777777" w:rsidR="00005111" w:rsidRDefault="00005111" w:rsidP="001475FF">
      <w:pPr>
        <w:pStyle w:val="Heading1"/>
      </w:pPr>
      <w:r>
        <w:t>Inflation</w:t>
      </w:r>
    </w:p>
    <w:p w14:paraId="149D5F3A" w14:textId="57563CDA" w:rsidR="00172307" w:rsidRDefault="00C90C6F" w:rsidP="00005111">
      <w:r>
        <w:t xml:space="preserve">Inflation </w:t>
      </w:r>
      <w:r w:rsidR="004E1574">
        <w:t>rose</w:t>
      </w:r>
      <w:r w:rsidR="006E621A">
        <w:t xml:space="preserve"> </w:t>
      </w:r>
      <w:r w:rsidR="0069122E">
        <w:t>during</w:t>
      </w:r>
      <w:r w:rsidR="006E621A">
        <w:t xml:space="preserve"> the </w:t>
      </w:r>
      <w:r w:rsidR="001345CD">
        <w:t>first quarter of 2021, with almost all commodity prices rising</w:t>
      </w:r>
      <w:r w:rsidR="006E621A">
        <w:t>.</w:t>
      </w:r>
      <w:r w:rsidR="001345CD">
        <w:t xml:space="preserve"> Partly driven by the recovery and partly by supply factors, metals, corn, oil, and lumber all saw sharp gains.</w:t>
      </w:r>
      <w:r w:rsidR="006E621A">
        <w:t xml:space="preserve"> </w:t>
      </w:r>
      <w:r w:rsidR="00C50E71">
        <w:t>T</w:t>
      </w:r>
      <w:r w:rsidR="006F7FB2" w:rsidRPr="0016088B">
        <w:t>he Consumer Price Index (CPI)</w:t>
      </w:r>
      <w:r w:rsidR="0076678E">
        <w:rPr>
          <w:rStyle w:val="FootnoteReference"/>
        </w:rPr>
        <w:footnoteReference w:id="13"/>
      </w:r>
      <w:r w:rsidR="006F7FB2" w:rsidRPr="0016088B">
        <w:t xml:space="preserve"> </w:t>
      </w:r>
      <w:r w:rsidR="00CD3F6E">
        <w:t xml:space="preserve">has </w:t>
      </w:r>
      <w:r w:rsidR="006F7FB2" w:rsidRPr="0016088B">
        <w:t xml:space="preserve">increased </w:t>
      </w:r>
      <w:r w:rsidR="0016088B" w:rsidRPr="0016088B">
        <w:t xml:space="preserve">by </w:t>
      </w:r>
      <w:r w:rsidR="008231D2">
        <w:t>2.64</w:t>
      </w:r>
      <w:r w:rsidR="0016088B" w:rsidRPr="0016088B">
        <w:t>%</w:t>
      </w:r>
      <w:r w:rsidR="00CD3F6E">
        <w:t xml:space="preserve"> since</w:t>
      </w:r>
      <w:r>
        <w:t xml:space="preserve"> </w:t>
      </w:r>
      <w:r w:rsidR="00072C36">
        <w:t xml:space="preserve">last </w:t>
      </w:r>
      <w:r w:rsidR="008231D2">
        <w:t>March</w:t>
      </w:r>
      <w:r w:rsidR="006F7FB2" w:rsidRPr="0016088B">
        <w:t>.</w:t>
      </w:r>
      <w:r w:rsidR="00B071DB" w:rsidRPr="0016088B">
        <w:t xml:space="preserve"> </w:t>
      </w:r>
      <w:r w:rsidR="00BD3693">
        <w:t xml:space="preserve">According to </w:t>
      </w:r>
      <w:r w:rsidR="001E6FCC">
        <w:t xml:space="preserve">the </w:t>
      </w:r>
      <w:r w:rsidR="00BD3693">
        <w:t>Federal Reserve Bank of New York’s S</w:t>
      </w:r>
      <w:r w:rsidR="00A82B9E">
        <w:t>urvey of Consumer Expectations,</w:t>
      </w:r>
      <w:r w:rsidR="00BD3693">
        <w:t xml:space="preserve"> inflation</w:t>
      </w:r>
      <w:r w:rsidR="00A82B9E">
        <w:t xml:space="preserve"> </w:t>
      </w:r>
      <w:r w:rsidR="001E7445">
        <w:t>expectations</w:t>
      </w:r>
      <w:r w:rsidR="008155BA">
        <w:rPr>
          <w:rStyle w:val="FootnoteReference"/>
        </w:rPr>
        <w:footnoteReference w:id="14"/>
      </w:r>
      <w:r w:rsidR="00E274D8">
        <w:t xml:space="preserve"> </w:t>
      </w:r>
      <w:r w:rsidR="00BC04D5">
        <w:t xml:space="preserve">rose slightly in </w:t>
      </w:r>
      <w:r w:rsidR="008231D2">
        <w:t>March 2021</w:t>
      </w:r>
      <w:r w:rsidR="00C50E71">
        <w:t xml:space="preserve"> to </w:t>
      </w:r>
      <w:r w:rsidR="00BC04D5">
        <w:t>3.</w:t>
      </w:r>
      <w:r w:rsidR="008231D2">
        <w:t>2</w:t>
      </w:r>
      <w:r w:rsidR="009C74AB">
        <w:t xml:space="preserve">% </w:t>
      </w:r>
      <w:r w:rsidR="00E274D8">
        <w:t xml:space="preserve">for the </w:t>
      </w:r>
      <w:r w:rsidR="00BD3693">
        <w:t>one</w:t>
      </w:r>
      <w:r w:rsidR="00E274D8">
        <w:t>-</w:t>
      </w:r>
      <w:r w:rsidR="00BD3693">
        <w:t>year</w:t>
      </w:r>
      <w:r>
        <w:t xml:space="preserve"> </w:t>
      </w:r>
      <w:r w:rsidR="009C74AB">
        <w:t xml:space="preserve">horizon </w:t>
      </w:r>
      <w:r w:rsidR="00E274D8">
        <w:t>and</w:t>
      </w:r>
      <w:r w:rsidR="001A4F9E">
        <w:t xml:space="preserve"> </w:t>
      </w:r>
      <w:r w:rsidR="008231D2">
        <w:t>3.1</w:t>
      </w:r>
      <w:r w:rsidR="009C74AB">
        <w:t xml:space="preserve">% for the </w:t>
      </w:r>
      <w:r w:rsidR="00E274D8">
        <w:t>three-year</w:t>
      </w:r>
      <w:r w:rsidR="009C74AB">
        <w:t xml:space="preserve"> horizon</w:t>
      </w:r>
      <w:r w:rsidR="00BD3693">
        <w:t xml:space="preserve">. </w:t>
      </w:r>
    </w:p>
    <w:p w14:paraId="149D5F3C" w14:textId="08051B2A" w:rsidR="00B94E68" w:rsidRDefault="007568C6" w:rsidP="0026599C">
      <w:pPr>
        <w:jc w:val="center"/>
      </w:pPr>
      <w:r>
        <w:rPr>
          <w:noProof/>
        </w:rPr>
        <w:lastRenderedPageBreak/>
        <w:drawing>
          <wp:inline distT="0" distB="0" distL="0" distR="0" wp14:anchorId="661CA08D" wp14:editId="365578B9">
            <wp:extent cx="3493135"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4E3B2092" w14:textId="2C899CFA" w:rsidR="00903125" w:rsidRDefault="006F7FB2" w:rsidP="00903125">
      <w:r w:rsidRPr="004E4B6F">
        <w:t>Prices at the prod</w:t>
      </w:r>
      <w:r w:rsidR="000E6A61" w:rsidRPr="004E4B6F">
        <w:t>ucer level</w:t>
      </w:r>
      <w:r w:rsidR="00E274D8">
        <w:t xml:space="preserve"> </w:t>
      </w:r>
      <w:r w:rsidR="00737D58">
        <w:t xml:space="preserve">continued </w:t>
      </w:r>
      <w:r w:rsidR="001345CD">
        <w:t>to climb in the first quarter with a slightly faster growth rate than has been observed since April 2020</w:t>
      </w:r>
      <w:r w:rsidR="0042476E">
        <w:t>,</w:t>
      </w:r>
      <w:r w:rsidR="00FE5B60">
        <w:t xml:space="preserve"> </w:t>
      </w:r>
      <w:r w:rsidR="001345CD">
        <w:t>with March 2021</w:t>
      </w:r>
      <w:r w:rsidR="0069122E">
        <w:t xml:space="preserve"> </w:t>
      </w:r>
      <w:r w:rsidR="00FE5B60">
        <w:t>price</w:t>
      </w:r>
      <w:r w:rsidR="002435D7">
        <w:t>s</w:t>
      </w:r>
      <w:r w:rsidR="00FE5B60">
        <w:t xml:space="preserve"> </w:t>
      </w:r>
      <w:r w:rsidR="00C50E71">
        <w:t>up</w:t>
      </w:r>
      <w:r w:rsidR="00FE5B60">
        <w:t xml:space="preserve"> </w:t>
      </w:r>
      <w:r w:rsidR="001345CD">
        <w:t>7.82</w:t>
      </w:r>
      <w:r w:rsidR="00C50E71">
        <w:t xml:space="preserve">% </w:t>
      </w:r>
      <w:r w:rsidR="001345CD">
        <w:t>since December 2020. Fuel, lumber, iron, steel, industrial chemicals, and industrial electric power were some of the drivers of this increase.</w:t>
      </w:r>
      <w:r w:rsidR="00FE5B60">
        <w:t xml:space="preserve"> T</w:t>
      </w:r>
      <w:r w:rsidRPr="004E4B6F">
        <w:t>he Producer Pr</w:t>
      </w:r>
      <w:r w:rsidR="00174B44" w:rsidRPr="004E4B6F">
        <w:t>ice Index (PPI)</w:t>
      </w:r>
      <w:r w:rsidR="00CB1375">
        <w:rPr>
          <w:rStyle w:val="FootnoteReference"/>
        </w:rPr>
        <w:footnoteReference w:id="15"/>
      </w:r>
      <w:r w:rsidR="00174B44" w:rsidRPr="004E4B6F">
        <w:t xml:space="preserve"> </w:t>
      </w:r>
      <w:r w:rsidR="0042476E">
        <w:t xml:space="preserve">for all commodities </w:t>
      </w:r>
      <w:r w:rsidR="002435D7">
        <w:t>was</w:t>
      </w:r>
      <w:r w:rsidR="007B7D73" w:rsidRPr="004E4B6F">
        <w:t xml:space="preserve"> </w:t>
      </w:r>
      <w:r w:rsidR="001345CD">
        <w:t>12.01</w:t>
      </w:r>
      <w:r w:rsidR="00174B44" w:rsidRPr="004E4B6F">
        <w:t>%</w:t>
      </w:r>
      <w:r w:rsidRPr="004E4B6F">
        <w:t xml:space="preserve"> </w:t>
      </w:r>
      <w:r w:rsidR="00966BA6">
        <w:t>higher</w:t>
      </w:r>
      <w:r w:rsidR="002435D7">
        <w:t xml:space="preserve"> </w:t>
      </w:r>
      <w:r w:rsidR="00966BA6">
        <w:t>from</w:t>
      </w:r>
      <w:r w:rsidR="0039736B">
        <w:t xml:space="preserve"> </w:t>
      </w:r>
      <w:r w:rsidR="001345CD">
        <w:t xml:space="preserve">March </w:t>
      </w:r>
      <w:r w:rsidR="00346350">
        <w:t>2</w:t>
      </w:r>
      <w:r w:rsidR="00966BA6">
        <w:t>0</w:t>
      </w:r>
      <w:r w:rsidR="001345CD">
        <w:t xml:space="preserve">20 </w:t>
      </w:r>
      <w:r w:rsidR="00966BA6">
        <w:t xml:space="preserve">to </w:t>
      </w:r>
      <w:r w:rsidR="001345CD">
        <w:t>March 2021</w:t>
      </w:r>
      <w:r w:rsidR="00966BA6">
        <w:t xml:space="preserve">, </w:t>
      </w:r>
      <w:r w:rsidR="001345CD">
        <w:t xml:space="preserve">well above </w:t>
      </w:r>
      <w:r w:rsidR="00966BA6">
        <w:t xml:space="preserve">the </w:t>
      </w:r>
      <w:r w:rsidR="0031179D" w:rsidRPr="004E4B6F">
        <w:t xml:space="preserve">average </w:t>
      </w:r>
      <w:r w:rsidR="00737D58">
        <w:t xml:space="preserve">annual increase of </w:t>
      </w:r>
      <w:r w:rsidR="00FD35EB">
        <w:t>1.</w:t>
      </w:r>
      <w:r w:rsidR="00966BA6">
        <w:t>85</w:t>
      </w:r>
      <w:r w:rsidR="0031179D" w:rsidRPr="004E4B6F">
        <w:t>%</w:t>
      </w:r>
      <w:r w:rsidR="00737D58">
        <w:t xml:space="preserve"> over the last 30 years</w:t>
      </w:r>
      <w:r w:rsidR="001345CD">
        <w:t>.</w:t>
      </w:r>
    </w:p>
    <w:p w14:paraId="149D5F40" w14:textId="456C01C4" w:rsidR="00B94E68" w:rsidRDefault="007568C6" w:rsidP="00166C08">
      <w:pPr>
        <w:jc w:val="center"/>
      </w:pPr>
      <w:r>
        <w:rPr>
          <w:noProof/>
        </w:rPr>
        <w:drawing>
          <wp:inline distT="0" distB="0" distL="0" distR="0" wp14:anchorId="579A07D9" wp14:editId="54E73869">
            <wp:extent cx="3493135"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502407E1" w14:textId="77777777" w:rsidR="00996664" w:rsidRDefault="00996664">
      <w:r>
        <w:br w:type="page"/>
      </w:r>
    </w:p>
    <w:p w14:paraId="491A6E5E" w14:textId="4C652763" w:rsidR="00F03302" w:rsidRDefault="0074137C" w:rsidP="00F03302">
      <w:r>
        <w:lastRenderedPageBreak/>
        <w:t>U.S. crude oil</w:t>
      </w:r>
      <w:r>
        <w:rPr>
          <w:rStyle w:val="FootnoteReference"/>
        </w:rPr>
        <w:footnoteReference w:id="16"/>
      </w:r>
      <w:r>
        <w:t xml:space="preserve"> </w:t>
      </w:r>
      <w:r w:rsidR="00660C7A">
        <w:t xml:space="preserve">prices </w:t>
      </w:r>
      <w:r w:rsidR="001345CD">
        <w:t>continued the upward trend from Q4 2020</w:t>
      </w:r>
      <w:r w:rsidR="00C675E2">
        <w:t xml:space="preserve"> during </w:t>
      </w:r>
      <w:r w:rsidR="001345CD">
        <w:t>Q1</w:t>
      </w:r>
      <w:r w:rsidR="005C0423">
        <w:t xml:space="preserve"> as </w:t>
      </w:r>
      <w:r w:rsidR="00C675E2">
        <w:t xml:space="preserve">optimism over COVID-19 vaccines spurred investment even as </w:t>
      </w:r>
      <w:r w:rsidR="001345CD">
        <w:t>vaccine rollout and reopening economies increased demand</w:t>
      </w:r>
      <w:r w:rsidR="00F03302">
        <w:t>. Crude oil prices</w:t>
      </w:r>
      <w:r>
        <w:t xml:space="preserve"> </w:t>
      </w:r>
      <w:r w:rsidR="00F03302">
        <w:t xml:space="preserve">ended the quarter at </w:t>
      </w:r>
      <w:r>
        <w:t>$</w:t>
      </w:r>
      <w:r w:rsidR="001345CD">
        <w:t>62.33</w:t>
      </w:r>
      <w:r>
        <w:t xml:space="preserve"> </w:t>
      </w:r>
      <w:r w:rsidR="00F03302">
        <w:t xml:space="preserve">per barrel, </w:t>
      </w:r>
      <w:r w:rsidR="00FD35EB">
        <w:t>up</w:t>
      </w:r>
      <w:r w:rsidR="00F03302">
        <w:t xml:space="preserve"> </w:t>
      </w:r>
      <w:r w:rsidR="001345CD">
        <w:t>32.6</w:t>
      </w:r>
      <w:r w:rsidR="00F03302">
        <w:t>% from the previous quarter</w:t>
      </w:r>
      <w:r w:rsidR="00FD35EB">
        <w:t xml:space="preserve"> </w:t>
      </w:r>
      <w:r w:rsidR="001345CD">
        <w:t>and</w:t>
      </w:r>
      <w:r w:rsidR="00817FEC">
        <w:t xml:space="preserve"> 113.4% higher </w:t>
      </w:r>
      <w:r w:rsidR="00F03302">
        <w:t>than</w:t>
      </w:r>
      <w:r w:rsidR="00F03302" w:rsidRPr="00892D49">
        <w:t xml:space="preserve"> </w:t>
      </w:r>
      <w:r w:rsidR="00C675E2">
        <w:t xml:space="preserve">the </w:t>
      </w:r>
      <w:r w:rsidR="00346350">
        <w:t>same period last year</w:t>
      </w:r>
      <w:r w:rsidR="00F03302">
        <w:t>.</w:t>
      </w:r>
      <w:r w:rsidR="00817FEC">
        <w:t xml:space="preserve"> Iron ore, copper, corn, and aluminum all saw sharp increases in Q1, due to a mix of increased demand, supply chain issues</w:t>
      </w:r>
      <w:r w:rsidR="00996664">
        <w:t xml:space="preserve">, </w:t>
      </w:r>
      <w:r w:rsidR="00817FEC">
        <w:t xml:space="preserve">and an overall increase in aggregate demand </w:t>
      </w:r>
      <w:r w:rsidR="00996664">
        <w:t xml:space="preserve">driven by </w:t>
      </w:r>
      <w:r w:rsidR="00817FEC">
        <w:t>low-interest rate</w:t>
      </w:r>
      <w:r w:rsidR="00891094">
        <w:t>s</w:t>
      </w:r>
      <w:r w:rsidR="00817FEC">
        <w:t xml:space="preserve"> and fiscal stimulus.</w:t>
      </w:r>
    </w:p>
    <w:p w14:paraId="51050840" w14:textId="7135C6C9" w:rsidR="00F03302" w:rsidRDefault="007568C6" w:rsidP="00166C08">
      <w:pPr>
        <w:jc w:val="center"/>
      </w:pPr>
      <w:r>
        <w:rPr>
          <w:noProof/>
        </w:rPr>
        <w:drawing>
          <wp:inline distT="0" distB="0" distL="0" distR="0" wp14:anchorId="609C770D" wp14:editId="3DC3938A">
            <wp:extent cx="360934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26FD54EC" w14:textId="7B5F5413" w:rsidR="00903125" w:rsidRDefault="00903125" w:rsidP="00166C08">
      <w:pPr>
        <w:jc w:val="center"/>
      </w:pPr>
      <w:r>
        <w:rPr>
          <w:noProof/>
        </w:rPr>
        <w:drawing>
          <wp:inline distT="0" distB="0" distL="0" distR="0" wp14:anchorId="73572C99" wp14:editId="2D112132">
            <wp:extent cx="360934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32946EE" w14:textId="1A8BB1F9" w:rsidR="00903125" w:rsidRDefault="00903125" w:rsidP="00166C08">
      <w:pPr>
        <w:jc w:val="center"/>
      </w:pPr>
      <w:r>
        <w:rPr>
          <w:noProof/>
        </w:rPr>
        <w:lastRenderedPageBreak/>
        <w:drawing>
          <wp:inline distT="0" distB="0" distL="0" distR="0" wp14:anchorId="01F22526" wp14:editId="354B0857">
            <wp:extent cx="360934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65738B32" w14:textId="696FA6CF" w:rsidR="00903125" w:rsidRDefault="00903125" w:rsidP="00166C08">
      <w:pPr>
        <w:jc w:val="center"/>
      </w:pPr>
      <w:r>
        <w:rPr>
          <w:noProof/>
        </w:rPr>
        <w:drawing>
          <wp:inline distT="0" distB="0" distL="0" distR="0" wp14:anchorId="6FE83BE1" wp14:editId="66AF2D74">
            <wp:extent cx="360934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371813E4" w14:textId="2DFB912E" w:rsidR="00903125" w:rsidRDefault="00903125" w:rsidP="00166C08">
      <w:pPr>
        <w:jc w:val="center"/>
      </w:pPr>
      <w:r>
        <w:rPr>
          <w:noProof/>
        </w:rPr>
        <w:lastRenderedPageBreak/>
        <w:drawing>
          <wp:inline distT="0" distB="0" distL="0" distR="0" wp14:anchorId="2CBE708F" wp14:editId="332AB5F9">
            <wp:extent cx="360934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49D5F41" w14:textId="77777777" w:rsidR="00005111" w:rsidRDefault="00005111" w:rsidP="001475FF">
      <w:pPr>
        <w:pStyle w:val="Heading1"/>
      </w:pPr>
      <w:r>
        <w:t>Housing</w:t>
      </w:r>
    </w:p>
    <w:p w14:paraId="7135DBE1" w14:textId="0FD67742" w:rsidR="00A96A6A" w:rsidRDefault="00BC04D5">
      <w:r>
        <w:t>T</w:t>
      </w:r>
      <w:r w:rsidR="00B0395F" w:rsidRPr="0094654A">
        <w:t>he h</w:t>
      </w:r>
      <w:r w:rsidR="00CD0AEC" w:rsidRPr="0094654A">
        <w:t xml:space="preserve">ousing </w:t>
      </w:r>
      <w:r w:rsidR="00B0395F" w:rsidRPr="0094654A">
        <w:t xml:space="preserve">market </w:t>
      </w:r>
      <w:r>
        <w:t xml:space="preserve">continued </w:t>
      </w:r>
      <w:r w:rsidR="00896D03">
        <w:t xml:space="preserve">to </w:t>
      </w:r>
      <w:r w:rsidR="00346350">
        <w:t>boom</w:t>
      </w:r>
      <w:r>
        <w:t xml:space="preserve"> in the </w:t>
      </w:r>
      <w:r w:rsidR="00891094">
        <w:t>first quarter of 2021</w:t>
      </w:r>
      <w:r w:rsidR="00536754">
        <w:t>, with n</w:t>
      </w:r>
      <w:r w:rsidR="00B0395F" w:rsidRPr="0094654A">
        <w:t>ew home starts</w:t>
      </w:r>
      <w:r w:rsidR="00C828B0">
        <w:rPr>
          <w:rStyle w:val="FootnoteReference"/>
        </w:rPr>
        <w:footnoteReference w:id="17"/>
      </w:r>
      <w:r w:rsidR="00B0395F" w:rsidRPr="0094654A">
        <w:t xml:space="preserve"> </w:t>
      </w:r>
      <w:r w:rsidR="00C82545">
        <w:t xml:space="preserve">ending the </w:t>
      </w:r>
      <w:r w:rsidR="005971C6">
        <w:t>quarter</w:t>
      </w:r>
      <w:r w:rsidR="00891094">
        <w:t xml:space="preserve"> </w:t>
      </w:r>
      <w:r>
        <w:t>at 1.</w:t>
      </w:r>
      <w:r w:rsidR="00891094">
        <w:t>74</w:t>
      </w:r>
      <w:r w:rsidR="00B0395F" w:rsidRPr="0094654A">
        <w:t xml:space="preserve"> million</w:t>
      </w:r>
      <w:r w:rsidR="00516EDD">
        <w:t>, their highest level in over 14 years</w:t>
      </w:r>
      <w:r w:rsidR="00B0395F" w:rsidRPr="0094654A">
        <w:t xml:space="preserve">. </w:t>
      </w:r>
      <w:r w:rsidR="00536754">
        <w:t>T</w:t>
      </w:r>
      <w:r w:rsidR="0028237E">
        <w:t xml:space="preserve">otal </w:t>
      </w:r>
      <w:r w:rsidR="00536754">
        <w:t xml:space="preserve">new </w:t>
      </w:r>
      <w:r w:rsidR="0028237E">
        <w:t xml:space="preserve">housing starts </w:t>
      </w:r>
      <w:r>
        <w:t xml:space="preserve">grew </w:t>
      </w:r>
      <w:r w:rsidR="00891094">
        <w:t>4.1%</w:t>
      </w:r>
      <w:r w:rsidR="005971C6">
        <w:t xml:space="preserve"> in</w:t>
      </w:r>
      <w:r w:rsidR="0028237E">
        <w:t xml:space="preserve"> </w:t>
      </w:r>
      <w:r w:rsidR="00BE1260">
        <w:t xml:space="preserve">the </w:t>
      </w:r>
      <w:r w:rsidR="00891094">
        <w:t>1</w:t>
      </w:r>
      <w:r w:rsidR="00891094" w:rsidRPr="00891094">
        <w:rPr>
          <w:vertAlign w:val="superscript"/>
        </w:rPr>
        <w:t>st</w:t>
      </w:r>
      <w:r w:rsidR="00516EDD">
        <w:t xml:space="preserve"> quarter and </w:t>
      </w:r>
      <w:r w:rsidR="00891094">
        <w:t>37.</w:t>
      </w:r>
      <w:r w:rsidR="000D76FA">
        <w:t>0</w:t>
      </w:r>
      <w:r w:rsidR="00516EDD">
        <w:t xml:space="preserve">% </w:t>
      </w:r>
      <w:r w:rsidR="000D76FA">
        <w:t>over</w:t>
      </w:r>
      <w:r w:rsidR="00516EDD">
        <w:t xml:space="preserve"> the prior </w:t>
      </w:r>
      <w:r w:rsidR="00891094">
        <w:t>March.</w:t>
      </w:r>
      <w:r w:rsidR="0028237E">
        <w:t xml:space="preserve"> </w:t>
      </w:r>
      <w:r w:rsidR="003B0615">
        <w:t xml:space="preserve">New home starts </w:t>
      </w:r>
      <w:r w:rsidR="00105A55">
        <w:t>outpaced</w:t>
      </w:r>
      <w:r w:rsidR="00424E74" w:rsidRPr="0094654A">
        <w:t xml:space="preserve"> the 30-year average of 1.</w:t>
      </w:r>
      <w:r w:rsidR="00B135D7">
        <w:t>3</w:t>
      </w:r>
      <w:r w:rsidR="00B2531F">
        <w:t>1</w:t>
      </w:r>
      <w:r w:rsidR="00424E74" w:rsidRPr="0094654A">
        <w:t xml:space="preserve"> </w:t>
      </w:r>
      <w:r w:rsidR="00424E74" w:rsidRPr="004F1527">
        <w:t>million</w:t>
      </w:r>
      <w:r w:rsidR="00D55969">
        <w:t xml:space="preserve"> units per month</w:t>
      </w:r>
      <w:r w:rsidR="00660C7A" w:rsidRPr="00660C7A">
        <w:t xml:space="preserve"> </w:t>
      </w:r>
      <w:r w:rsidR="00660C7A">
        <w:t xml:space="preserve">throughout the </w:t>
      </w:r>
      <w:r w:rsidR="00891094">
        <w:t>first quarter of 2021.</w:t>
      </w:r>
      <w:r w:rsidR="00F80395">
        <w:t xml:space="preserve"> </w:t>
      </w:r>
      <w:r w:rsidR="00891094">
        <w:t>Existing-home sales were up 12.3% YoY in March 2021, while median sales price increased 17.2% YoY. Lagging supply and increased demand are the key drivers</w:t>
      </w:r>
      <w:r w:rsidR="005971C6">
        <w:t xml:space="preserve"> </w:t>
      </w:r>
      <w:r w:rsidR="00891094">
        <w:t>as buyers (and sellers) look to relocate permanently based on job trend changes and the continued movement into a more stable economic environment.</w:t>
      </w:r>
    </w:p>
    <w:p w14:paraId="149D5F44" w14:textId="31A86AA8" w:rsidR="00B5315D" w:rsidRDefault="007568C6" w:rsidP="001B4B76">
      <w:pPr>
        <w:jc w:val="center"/>
      </w:pPr>
      <w:r>
        <w:rPr>
          <w:noProof/>
        </w:rPr>
        <w:drawing>
          <wp:inline distT="0" distB="0" distL="0" distR="0" wp14:anchorId="22E67446" wp14:editId="0AAD33C9">
            <wp:extent cx="381635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743200"/>
                    </a:xfrm>
                    <a:prstGeom prst="rect">
                      <a:avLst/>
                    </a:prstGeom>
                    <a:noFill/>
                  </pic:spPr>
                </pic:pic>
              </a:graphicData>
            </a:graphic>
          </wp:inline>
        </w:drawing>
      </w:r>
    </w:p>
    <w:p w14:paraId="149D5F46" w14:textId="1C0DD238" w:rsidR="00A96795" w:rsidRDefault="00A223EC" w:rsidP="000A1224">
      <w:r>
        <w:lastRenderedPageBreak/>
        <w:t xml:space="preserve">The cost </w:t>
      </w:r>
      <w:r w:rsidR="00BC00A7">
        <w:t xml:space="preserve">of financing </w:t>
      </w:r>
      <w:r>
        <w:t xml:space="preserve">for </w:t>
      </w:r>
      <w:r w:rsidR="001B4B76">
        <w:t xml:space="preserve">would-be homebuyers </w:t>
      </w:r>
      <w:r w:rsidR="00426D59">
        <w:t>ticked upward</w:t>
      </w:r>
      <w:r w:rsidR="003B0615">
        <w:t xml:space="preserve"> </w:t>
      </w:r>
      <w:r w:rsidR="00426D59">
        <w:t xml:space="preserve">0.31 percentage points </w:t>
      </w:r>
      <w:r w:rsidR="00670FB1">
        <w:t>during</w:t>
      </w:r>
      <w:r w:rsidR="00394236">
        <w:t xml:space="preserve"> the </w:t>
      </w:r>
      <w:r w:rsidR="00426D59">
        <w:t xml:space="preserve">first </w:t>
      </w:r>
      <w:r w:rsidR="00394236">
        <w:t>quarter</w:t>
      </w:r>
      <w:r w:rsidR="00426D59">
        <w:t xml:space="preserve">, </w:t>
      </w:r>
      <w:r w:rsidR="001B4B76">
        <w:t>as the 30-year fixed-rate mortgage</w:t>
      </w:r>
      <w:r w:rsidR="00250313">
        <w:rPr>
          <w:rStyle w:val="FootnoteReference"/>
        </w:rPr>
        <w:footnoteReference w:id="18"/>
      </w:r>
      <w:r w:rsidR="001B4B76">
        <w:t xml:space="preserve"> </w:t>
      </w:r>
      <w:r w:rsidR="00896D03">
        <w:t>end</w:t>
      </w:r>
      <w:r w:rsidR="00426D59">
        <w:t xml:space="preserve">ed </w:t>
      </w:r>
      <w:r w:rsidR="005971C6">
        <w:t xml:space="preserve">the quarter </w:t>
      </w:r>
      <w:r w:rsidR="00426D59">
        <w:t>at 2.98%.</w:t>
      </w:r>
      <w:r w:rsidR="00A730DC">
        <w:t xml:space="preserve"> </w:t>
      </w:r>
      <w:r w:rsidR="00670FB1">
        <w:t>The</w:t>
      </w:r>
      <w:r w:rsidR="00A730DC">
        <w:t xml:space="preserve"> Fed </w:t>
      </w:r>
      <w:r w:rsidR="00F277D7">
        <w:t xml:space="preserve">held target interest rates at 0.00% to 0.25% throughout the </w:t>
      </w:r>
      <w:r w:rsidR="00426D59">
        <w:t>first quarter</w:t>
      </w:r>
      <w:r w:rsidR="00A730DC">
        <w:t>.</w:t>
      </w:r>
    </w:p>
    <w:p w14:paraId="0D0A69F6" w14:textId="4B38D693" w:rsidR="00A96A6A" w:rsidRDefault="007568C6" w:rsidP="00453708">
      <w:pPr>
        <w:jc w:val="center"/>
      </w:pPr>
      <w:r>
        <w:rPr>
          <w:noProof/>
        </w:rPr>
        <w:drawing>
          <wp:inline distT="0" distB="0" distL="0" distR="0" wp14:anchorId="7F52F183" wp14:editId="27282C51">
            <wp:extent cx="3816350" cy="27374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D2DE37C" w14:textId="7F610A22" w:rsidR="00A96A6A" w:rsidRDefault="00B767AE" w:rsidP="00773B5B">
      <w:r>
        <w:t>The S&amp;</w:t>
      </w:r>
      <w:r w:rsidR="00BD1AF4">
        <w:t>P Case-Shiller Home Price Index (20-city)</w:t>
      </w:r>
      <w:r w:rsidR="00B2585A">
        <w:rPr>
          <w:rStyle w:val="FootnoteReference"/>
        </w:rPr>
        <w:footnoteReference w:id="19"/>
      </w:r>
      <w:r w:rsidR="00BD1AF4">
        <w:t xml:space="preserve"> </w:t>
      </w:r>
      <w:r w:rsidR="00BE4FA9">
        <w:t>for</w:t>
      </w:r>
      <w:r w:rsidR="00BD1AF4">
        <w:t xml:space="preserve"> </w:t>
      </w:r>
      <w:r w:rsidR="00426D59">
        <w:t>February 2021</w:t>
      </w:r>
      <w:r w:rsidR="00BD1AF4">
        <w:t xml:space="preserve"> </w:t>
      </w:r>
      <w:r w:rsidR="001868CB">
        <w:t>increased</w:t>
      </w:r>
      <w:r w:rsidR="00E2306A">
        <w:t xml:space="preserve"> </w:t>
      </w:r>
      <w:r w:rsidR="001868CB">
        <w:t xml:space="preserve">by </w:t>
      </w:r>
      <w:r w:rsidR="00426D59">
        <w:t>11.9</w:t>
      </w:r>
      <w:r w:rsidR="00E2306A">
        <w:t>%</w:t>
      </w:r>
      <w:r w:rsidR="003A0447">
        <w:t xml:space="preserve"> </w:t>
      </w:r>
      <w:r w:rsidR="00426D59">
        <w:t>year over yea</w:t>
      </w:r>
      <w:r w:rsidR="003A0447">
        <w:t>r</w:t>
      </w:r>
      <w:r w:rsidR="00426D59">
        <w:t xml:space="preserve">, </w:t>
      </w:r>
      <w:r w:rsidR="00933213">
        <w:t xml:space="preserve">with </w:t>
      </w:r>
      <w:r w:rsidR="00426D59">
        <w:t>Charlotte, Seattle, and Phoenix</w:t>
      </w:r>
      <w:r w:rsidR="00896D03">
        <w:t xml:space="preserve"> continuing to lead</w:t>
      </w:r>
      <w:r w:rsidR="0096732C">
        <w:t>.</w:t>
      </w:r>
      <w:r w:rsidR="00933213">
        <w:t xml:space="preserve"> </w:t>
      </w:r>
      <w:r w:rsidR="006F49C7">
        <w:t xml:space="preserve">The </w:t>
      </w:r>
      <w:r w:rsidR="00896D03">
        <w:t xml:space="preserve">national index </w:t>
      </w:r>
      <w:r w:rsidR="00D567AB">
        <w:t>rose</w:t>
      </w:r>
      <w:r w:rsidR="00896D03">
        <w:t xml:space="preserve"> even faster than the </w:t>
      </w:r>
      <w:r w:rsidR="006F49C7">
        <w:t xml:space="preserve">20-city composite. </w:t>
      </w:r>
      <w:r w:rsidR="00426D59">
        <w:t>Mortgage</w:t>
      </w:r>
      <w:r w:rsidR="00105A55">
        <w:t xml:space="preserve"> rates </w:t>
      </w:r>
      <w:r w:rsidR="00426D59">
        <w:t>staying near record lows coupled with lagging</w:t>
      </w:r>
      <w:r w:rsidR="00896D03">
        <w:t xml:space="preserve"> supply </w:t>
      </w:r>
      <w:r w:rsidR="00426D59">
        <w:t>and increased demand drove house prices higher</w:t>
      </w:r>
      <w:r w:rsidR="00B432FD" w:rsidRPr="00B432FD">
        <w:t>.</w:t>
      </w:r>
    </w:p>
    <w:p w14:paraId="149D5F4C" w14:textId="77912FBE" w:rsidR="0064538F" w:rsidRDefault="007568C6" w:rsidP="002775DB">
      <w:pPr>
        <w:jc w:val="center"/>
      </w:pPr>
      <w:r>
        <w:rPr>
          <w:noProof/>
        </w:rPr>
        <w:drawing>
          <wp:inline distT="0" distB="0" distL="0" distR="0" wp14:anchorId="7D0E2C0B" wp14:editId="722B05FA">
            <wp:extent cx="3493135"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4D" w14:textId="52E84594" w:rsidR="00005111" w:rsidRDefault="0079609A" w:rsidP="001475FF">
      <w:pPr>
        <w:pStyle w:val="Heading1"/>
      </w:pPr>
      <w:r>
        <w:lastRenderedPageBreak/>
        <w:t>Consumer Spending</w:t>
      </w:r>
    </w:p>
    <w:p w14:paraId="149D5F51" w14:textId="04E12405" w:rsidR="0079609A" w:rsidRDefault="0079609A" w:rsidP="00A04AD3">
      <w:r w:rsidRPr="00971553">
        <w:t>Personal Consumption Expenditures (PCE)</w:t>
      </w:r>
      <w:r w:rsidR="00421F60">
        <w:rPr>
          <w:rStyle w:val="FootnoteReference"/>
        </w:rPr>
        <w:footnoteReference w:id="20"/>
      </w:r>
      <w:r w:rsidRPr="00971553">
        <w:t xml:space="preserve"> </w:t>
      </w:r>
      <w:r w:rsidR="00426D59">
        <w:t xml:space="preserve">saw steady growth </w:t>
      </w:r>
      <w:r w:rsidR="005971C6">
        <w:t xml:space="preserve">in Q1 2021 </w:t>
      </w:r>
      <w:r w:rsidR="00426D59">
        <w:t>after stagnating in Q4 2020, rising 6.</w:t>
      </w:r>
      <w:r w:rsidR="000D76FA">
        <w:t>6</w:t>
      </w:r>
      <w:r w:rsidR="005971C6">
        <w:t>%</w:t>
      </w:r>
      <w:r w:rsidR="00426D59">
        <w:t>.</w:t>
      </w:r>
      <w:r w:rsidR="00E37950">
        <w:t xml:space="preserve"> </w:t>
      </w:r>
      <w:r w:rsidR="00426D59">
        <w:t>PCE s</w:t>
      </w:r>
      <w:r w:rsidR="00C3450D">
        <w:t>aw a 1</w:t>
      </w:r>
      <w:r w:rsidR="000D76FA">
        <w:t>1.0</w:t>
      </w:r>
      <w:r w:rsidR="00C3450D">
        <w:t>% increase year</w:t>
      </w:r>
      <w:r w:rsidR="000D76FA">
        <w:t>-</w:t>
      </w:r>
      <w:r w:rsidR="00C3450D">
        <w:t>over</w:t>
      </w:r>
      <w:r w:rsidR="000D76FA">
        <w:t>-</w:t>
      </w:r>
      <w:r w:rsidR="00C3450D">
        <w:t>year.</w:t>
      </w:r>
      <w:r w:rsidR="002F6282">
        <w:t xml:space="preserve"> </w:t>
      </w:r>
      <w:r w:rsidR="00C3450D">
        <w:t>Consumer spending rose mostly due to a second round of stimulus checks hitting bank accounts in late December, a third round hitting bank accounts in Q1, the continued reopening of state economies, steady job gains, and the rolling out of COVID-19 vaccines.</w:t>
      </w:r>
    </w:p>
    <w:p w14:paraId="419D69CE" w14:textId="71247BAE" w:rsidR="00A96A6A" w:rsidRDefault="00E46574" w:rsidP="00CF06AE">
      <w:pPr>
        <w:jc w:val="center"/>
      </w:pPr>
      <w:r>
        <w:rPr>
          <w:noProof/>
        </w:rPr>
        <w:drawing>
          <wp:inline distT="0" distB="0" distL="0" distR="0" wp14:anchorId="58A1D220" wp14:editId="0B08F17A">
            <wp:extent cx="3493135"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53" w14:textId="505771C1" w:rsidR="0079609A" w:rsidRDefault="00515DB3" w:rsidP="00F92FD1">
      <w:r>
        <w:t xml:space="preserve">Automotive companies </w:t>
      </w:r>
      <w:r w:rsidR="00695980">
        <w:t xml:space="preserve">reported </w:t>
      </w:r>
      <w:r w:rsidR="00C3450D">
        <w:t>17.8 million</w:t>
      </w:r>
      <w:r w:rsidR="0079609A" w:rsidRPr="008B37F0">
        <w:t xml:space="preserve"> auto</w:t>
      </w:r>
      <w:r w:rsidR="00C3450D">
        <w:t xml:space="preserve">motive vehicles </w:t>
      </w:r>
      <w:r w:rsidR="0079609A" w:rsidRPr="008B37F0">
        <w:t>and light trucks sold</w:t>
      </w:r>
      <w:r w:rsidR="00933E80">
        <w:rPr>
          <w:rStyle w:val="FootnoteReference"/>
        </w:rPr>
        <w:footnoteReference w:id="21"/>
      </w:r>
      <w:r w:rsidR="0079609A" w:rsidRPr="008B37F0">
        <w:t xml:space="preserve"> in </w:t>
      </w:r>
      <w:r w:rsidR="00C3450D">
        <w:t>March 2021</w:t>
      </w:r>
      <w:r w:rsidR="008B3E4E">
        <w:t>,</w:t>
      </w:r>
      <w:r w:rsidR="005B40E5">
        <w:t xml:space="preserve"> </w:t>
      </w:r>
      <w:r w:rsidR="006F0678">
        <w:t>up</w:t>
      </w:r>
      <w:r w:rsidR="008B3E4E">
        <w:t xml:space="preserve"> </w:t>
      </w:r>
      <w:r w:rsidR="000D76FA">
        <w:t>10.0</w:t>
      </w:r>
      <w:r w:rsidR="00C3450D">
        <w:t xml:space="preserve">% </w:t>
      </w:r>
      <w:r w:rsidR="005971C6">
        <w:t>over December levels</w:t>
      </w:r>
      <w:r w:rsidR="00C3450D">
        <w:t>, which also represented the highest levels seen since October 2017.</w:t>
      </w:r>
    </w:p>
    <w:p w14:paraId="571A905C" w14:textId="78BBF0A4" w:rsidR="002E3647" w:rsidRDefault="007568C6" w:rsidP="003A679B">
      <w:pPr>
        <w:jc w:val="center"/>
      </w:pPr>
      <w:r>
        <w:rPr>
          <w:noProof/>
        </w:rPr>
        <w:lastRenderedPageBreak/>
        <w:drawing>
          <wp:inline distT="0" distB="0" distL="0" distR="0" wp14:anchorId="20654D57" wp14:editId="025101BA">
            <wp:extent cx="4090670" cy="27432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59B475FF" w14:textId="3A563514" w:rsidR="002E3647" w:rsidRDefault="008A581A" w:rsidP="00354195">
      <w:r w:rsidRPr="002E3647">
        <w:t>The c</w:t>
      </w:r>
      <w:r w:rsidR="008C5503" w:rsidRPr="002E3647">
        <w:t>onsumer sentiment</w:t>
      </w:r>
      <w:r w:rsidR="00291FFB" w:rsidRPr="002E3647">
        <w:rPr>
          <w:rStyle w:val="FootnoteReference"/>
        </w:rPr>
        <w:footnoteReference w:id="22"/>
      </w:r>
      <w:r w:rsidR="008C5503" w:rsidRPr="002E3647">
        <w:t xml:space="preserve"> </w:t>
      </w:r>
      <w:r w:rsidRPr="002E3647">
        <w:t>index ended</w:t>
      </w:r>
      <w:r w:rsidR="008C5503" w:rsidRPr="002E3647">
        <w:t xml:space="preserve"> </w:t>
      </w:r>
      <w:r w:rsidR="00C3450D">
        <w:t>Q1 2021 at</w:t>
      </w:r>
      <w:r w:rsidRPr="002E3647">
        <w:t xml:space="preserve"> </w:t>
      </w:r>
      <w:r w:rsidR="00C3450D">
        <w:t>84.9, the highest level seen since March 2020</w:t>
      </w:r>
      <w:r w:rsidR="00B1397B">
        <w:t>. The index was up</w:t>
      </w:r>
      <w:r w:rsidR="006C6752">
        <w:t xml:space="preserve"> </w:t>
      </w:r>
      <w:r w:rsidR="00C3450D">
        <w:t>4.2 points</w:t>
      </w:r>
      <w:r w:rsidR="006C6752">
        <w:t xml:space="preserve"> </w:t>
      </w:r>
      <w:r w:rsidR="00B1397B">
        <w:t>since</w:t>
      </w:r>
      <w:r w:rsidR="006C6752">
        <w:t xml:space="preserve"> </w:t>
      </w:r>
      <w:r w:rsidR="00C3450D">
        <w:t>the end of Q4 2020</w:t>
      </w:r>
      <w:r w:rsidR="006F0678">
        <w:t xml:space="preserve"> </w:t>
      </w:r>
      <w:r w:rsidR="00B1397B">
        <w:t xml:space="preserve">despite a </w:t>
      </w:r>
      <w:r w:rsidR="00C3450D">
        <w:t>sharp dip in February, due to the emergence of variants and a less-than-perfect initial rollout of the COVID-19 vaccine</w:t>
      </w:r>
      <w:r w:rsidR="006970E9" w:rsidRPr="002E3647">
        <w:t xml:space="preserve">. </w:t>
      </w:r>
      <w:r w:rsidR="00BF72BA">
        <w:t>The</w:t>
      </w:r>
      <w:r w:rsidR="006970E9" w:rsidRPr="002E3647">
        <w:t xml:space="preserve"> consumer sentiment </w:t>
      </w:r>
      <w:r w:rsidR="00BF72BA">
        <w:t xml:space="preserve">index has been on a </w:t>
      </w:r>
      <w:r w:rsidR="00C3450D">
        <w:t xml:space="preserve">choppy, but </w:t>
      </w:r>
      <w:r w:rsidR="00BF72BA">
        <w:t>general upward trend s</w:t>
      </w:r>
      <w:r w:rsidR="00D465D5">
        <w:t>ince</w:t>
      </w:r>
      <w:r w:rsidR="00BF72BA">
        <w:t xml:space="preserve"> its April</w:t>
      </w:r>
      <w:r w:rsidR="0036641E">
        <w:t xml:space="preserve"> 2020</w:t>
      </w:r>
      <w:r w:rsidR="00BF72BA">
        <w:t xml:space="preserve"> </w:t>
      </w:r>
      <w:r w:rsidR="00D567AB">
        <w:t>low</w:t>
      </w:r>
      <w:r w:rsidR="005971C6">
        <w:t>. March</w:t>
      </w:r>
      <w:r w:rsidR="00BF72BA">
        <w:t xml:space="preserve">’s reading </w:t>
      </w:r>
      <w:r w:rsidR="006970E9" w:rsidRPr="002E3647">
        <w:t>was</w:t>
      </w:r>
      <w:r w:rsidR="00D465D5">
        <w:t xml:space="preserve"> still</w:t>
      </w:r>
      <w:r w:rsidR="006970E9" w:rsidRPr="002E3647">
        <w:t xml:space="preserve"> </w:t>
      </w:r>
      <w:r w:rsidR="00DB12EF">
        <w:t>well below</w:t>
      </w:r>
      <w:r w:rsidR="003A679B">
        <w:t xml:space="preserve"> </w:t>
      </w:r>
      <w:r w:rsidR="00316E8F">
        <w:t xml:space="preserve">its </w:t>
      </w:r>
      <w:r w:rsidR="00C3450D">
        <w:t>high of 101.0 in February 2020</w:t>
      </w:r>
      <w:r w:rsidR="00316E8F">
        <w:t xml:space="preserve"> </w:t>
      </w:r>
      <w:r w:rsidR="009D3151">
        <w:t>and</w:t>
      </w:r>
      <w:r w:rsidR="006970E9" w:rsidRPr="002E3647">
        <w:t xml:space="preserve"> </w:t>
      </w:r>
      <w:r w:rsidR="00C3450D">
        <w:t xml:space="preserve">still approaching its </w:t>
      </w:r>
      <w:r w:rsidR="006970E9" w:rsidRPr="002E3647">
        <w:t xml:space="preserve">30-year average of </w:t>
      </w:r>
      <w:r w:rsidRPr="002E3647">
        <w:t>87.</w:t>
      </w:r>
      <w:r w:rsidR="00BF72BA">
        <w:t>5</w:t>
      </w:r>
      <w:r w:rsidR="00C3450D">
        <w:t>.</w:t>
      </w:r>
    </w:p>
    <w:p w14:paraId="182CF22B" w14:textId="31547195" w:rsidR="000D5719" w:rsidRDefault="00E46574" w:rsidP="002E3647">
      <w:pPr>
        <w:jc w:val="center"/>
      </w:pPr>
      <w:r>
        <w:rPr>
          <w:noProof/>
        </w:rPr>
        <w:drawing>
          <wp:inline distT="0" distB="0" distL="0" distR="0" wp14:anchorId="38054190" wp14:editId="4A0B5F51">
            <wp:extent cx="4090670" cy="27432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149D5F56" w14:textId="77777777" w:rsidR="0091664E" w:rsidRDefault="0091664E" w:rsidP="0091664E">
      <w:pPr>
        <w:pStyle w:val="Heading1"/>
      </w:pPr>
      <w:r>
        <w:lastRenderedPageBreak/>
        <w:t>Capital Markets</w:t>
      </w:r>
    </w:p>
    <w:p w14:paraId="79C54A89" w14:textId="3CBBB09D" w:rsidR="002E3647" w:rsidRDefault="00C3450D" w:rsidP="00B875CA">
      <w:r w:rsidRPr="00990761">
        <w:t xml:space="preserve">U.S. </w:t>
      </w:r>
      <w:r>
        <w:t xml:space="preserve">equity </w:t>
      </w:r>
      <w:r w:rsidRPr="00990761">
        <w:t>markets sustained their</w:t>
      </w:r>
      <w:r>
        <w:t xml:space="preserve"> growth, although they pulled back in March 2021. </w:t>
      </w:r>
      <w:r w:rsidRPr="00990761">
        <w:t xml:space="preserve">The NASDAQ Composite advanced </w:t>
      </w:r>
      <w:r>
        <w:t>2.</w:t>
      </w:r>
      <w:r w:rsidR="00E46574">
        <w:t>8</w:t>
      </w:r>
      <w:r>
        <w:t>%</w:t>
      </w:r>
      <w:r w:rsidRPr="00990761">
        <w:t xml:space="preserve"> in the </w:t>
      </w:r>
      <w:r>
        <w:t xml:space="preserve">first </w:t>
      </w:r>
      <w:r w:rsidRPr="00990761">
        <w:t xml:space="preserve">quarter, the Wilshire 5000 climbed </w:t>
      </w:r>
      <w:r w:rsidR="005971C6">
        <w:t>5.8</w:t>
      </w:r>
      <w:r w:rsidRPr="00990761">
        <w:t>%</w:t>
      </w:r>
      <w:r>
        <w:t>,</w:t>
      </w:r>
      <w:r w:rsidRPr="00990761">
        <w:t xml:space="preserve"> and the S&amp;P 500 rose </w:t>
      </w:r>
      <w:r>
        <w:t>5.</w:t>
      </w:r>
      <w:r w:rsidR="00E46574">
        <w:t>8</w:t>
      </w:r>
      <w:r w:rsidRPr="00990761">
        <w:t>%.</w:t>
      </w:r>
      <w:r>
        <w:t xml:space="preserve"> </w:t>
      </w:r>
      <w:r w:rsidR="005F6785">
        <w:t>As widespread fears of overvaluation by experts and shifts to cryptocurrency began to take place, stocks pulled back, but still showed gains due to the influx of fiscal stimulus and a more friendly economic climate.</w:t>
      </w:r>
    </w:p>
    <w:p w14:paraId="3C77E48B" w14:textId="70E749AE" w:rsidR="002E3647" w:rsidRDefault="007568C6" w:rsidP="002308A9">
      <w:pPr>
        <w:jc w:val="center"/>
      </w:pPr>
      <w:r w:rsidRPr="007568C6">
        <w:rPr>
          <w:noProof/>
        </w:rPr>
        <w:drawing>
          <wp:inline distT="0" distB="0" distL="0" distR="0" wp14:anchorId="2658A650" wp14:editId="1485ED24">
            <wp:extent cx="5343525" cy="1533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1533525"/>
                    </a:xfrm>
                    <a:prstGeom prst="rect">
                      <a:avLst/>
                    </a:prstGeom>
                    <a:noFill/>
                    <a:ln>
                      <a:noFill/>
                    </a:ln>
                  </pic:spPr>
                </pic:pic>
              </a:graphicData>
            </a:graphic>
          </wp:inline>
        </w:drawing>
      </w:r>
    </w:p>
    <w:p w14:paraId="3743084E" w14:textId="5CDDBEB9" w:rsidR="00857079" w:rsidRDefault="007568C6" w:rsidP="00BB3B04">
      <w:pPr>
        <w:jc w:val="center"/>
        <w:rPr>
          <w:color w:val="FF0000"/>
        </w:rPr>
      </w:pPr>
      <w:r>
        <w:rPr>
          <w:noProof/>
          <w:color w:val="FF0000"/>
        </w:rPr>
        <w:drawing>
          <wp:inline distT="0" distB="0" distL="0" distR="0" wp14:anchorId="4F6F04BD" wp14:editId="3E870529">
            <wp:extent cx="4097020" cy="2749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3E9D1768" w14:textId="4C586954" w:rsidR="0007515A" w:rsidRDefault="00100DF8" w:rsidP="00354195">
      <w:r>
        <w:t>Stock market v</w:t>
      </w:r>
      <w:r w:rsidR="0007515A">
        <w:t>olatility</w:t>
      </w:r>
      <w:r w:rsidR="0007515A">
        <w:rPr>
          <w:rStyle w:val="FootnoteReference"/>
        </w:rPr>
        <w:footnoteReference w:id="23"/>
      </w:r>
      <w:r>
        <w:t xml:space="preserve"> ended the </w:t>
      </w:r>
      <w:r w:rsidR="005F6785">
        <w:t>first quarter</w:t>
      </w:r>
      <w:r w:rsidR="0036641E">
        <w:t xml:space="preserve"> </w:t>
      </w:r>
      <w:r>
        <w:t xml:space="preserve">at </w:t>
      </w:r>
      <w:r w:rsidR="005F6785">
        <w:t>19.4</w:t>
      </w:r>
      <w:r>
        <w:t xml:space="preserve">, </w:t>
      </w:r>
      <w:r w:rsidR="00180CA9">
        <w:t xml:space="preserve">down </w:t>
      </w:r>
      <w:r w:rsidR="005F6785">
        <w:t>63.</w:t>
      </w:r>
      <w:r w:rsidR="005971C6">
        <w:t>3</w:t>
      </w:r>
      <w:r w:rsidR="005D6316">
        <w:t xml:space="preserve"> points</w:t>
      </w:r>
      <w:r>
        <w:t xml:space="preserve"> </w:t>
      </w:r>
      <w:r w:rsidR="005D6316">
        <w:t>from</w:t>
      </w:r>
      <w:r>
        <w:t xml:space="preserve"> </w:t>
      </w:r>
      <w:r w:rsidR="007E7320">
        <w:t xml:space="preserve">its mid-March peak and </w:t>
      </w:r>
      <w:r w:rsidR="00FD6064">
        <w:t>3.</w:t>
      </w:r>
      <w:r w:rsidR="005971C6">
        <w:t>4</w:t>
      </w:r>
      <w:r w:rsidR="007E7320">
        <w:t xml:space="preserve"> points </w:t>
      </w:r>
      <w:r w:rsidR="005F6785">
        <w:t>from the end of Q4 2020</w:t>
      </w:r>
      <w:r w:rsidR="007E7320">
        <w:t xml:space="preserve">. </w:t>
      </w:r>
      <w:r w:rsidR="005F6785">
        <w:t xml:space="preserve">Q1 also saw the VIX drop below </w:t>
      </w:r>
      <w:r w:rsidR="007E7320">
        <w:t>its</w:t>
      </w:r>
      <w:r>
        <w:t xml:space="preserve"> 10-year average of </w:t>
      </w:r>
      <w:r w:rsidR="004B3923">
        <w:t>1</w:t>
      </w:r>
      <w:r w:rsidR="00FD6064">
        <w:t>9</w:t>
      </w:r>
      <w:r w:rsidR="007E7320">
        <w:t>.</w:t>
      </w:r>
      <w:r w:rsidR="0036641E">
        <w:t>4</w:t>
      </w:r>
      <w:r>
        <w:t xml:space="preserve">. </w:t>
      </w:r>
      <w:r w:rsidR="00D44971">
        <w:t>T</w:t>
      </w:r>
      <w:r>
        <w:t>he volatility index, a proxy for investor anxiety derived from tracking options prices on S&amp;P 500 stocks</w:t>
      </w:r>
      <w:r w:rsidR="005F6785">
        <w:t xml:space="preserve"> which can also be a proxy for consumer confidence, showed that consumers are generally feeling more stable as people get back to work and economies begin to open up.</w:t>
      </w:r>
    </w:p>
    <w:p w14:paraId="0420E509" w14:textId="54099A8F" w:rsidR="00100DF8" w:rsidRPr="00354195" w:rsidRDefault="00E46574" w:rsidP="00FD0160">
      <w:pPr>
        <w:jc w:val="center"/>
      </w:pPr>
      <w:r>
        <w:rPr>
          <w:noProof/>
        </w:rPr>
        <w:lastRenderedPageBreak/>
        <w:drawing>
          <wp:inline distT="0" distB="0" distL="0" distR="0" wp14:anchorId="562CC8B3" wp14:editId="3D648330">
            <wp:extent cx="4097020" cy="274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F93" w14:textId="77777777" w:rsidR="00E44639" w:rsidRDefault="00E44639" w:rsidP="00E44639">
      <w:pPr>
        <w:pStyle w:val="Heading1"/>
      </w:pPr>
      <w:r>
        <w:t>Outlook</w:t>
      </w:r>
    </w:p>
    <w:p w14:paraId="149D5F95" w14:textId="26C01A65" w:rsidR="0022226D" w:rsidRDefault="003071CD" w:rsidP="00E44639">
      <w:r>
        <w:t xml:space="preserve">In </w:t>
      </w:r>
      <w:r w:rsidR="00136F0C">
        <w:t>March 2021</w:t>
      </w:r>
      <w:r>
        <w:t xml:space="preserve">, the FOMC </w:t>
      </w:r>
      <w:r w:rsidR="0049182B">
        <w:t>projected</w:t>
      </w:r>
      <w:r w:rsidR="00F60736" w:rsidRPr="00090DA6">
        <w:t xml:space="preserve"> real GDP</w:t>
      </w:r>
      <w:r w:rsidR="00BF5CE2">
        <w:rPr>
          <w:rStyle w:val="FootnoteReference"/>
        </w:rPr>
        <w:footnoteReference w:id="24"/>
      </w:r>
      <w:r w:rsidR="00F60736" w:rsidRPr="00090DA6">
        <w:t xml:space="preserve"> </w:t>
      </w:r>
      <w:r w:rsidR="0039421C">
        <w:t>to recover to</w:t>
      </w:r>
      <w:r w:rsidR="00F60736" w:rsidRPr="00090DA6">
        <w:t xml:space="preserve"> </w:t>
      </w:r>
      <w:r w:rsidR="00136F0C">
        <w:t>6.20</w:t>
      </w:r>
      <w:r w:rsidR="00F60736" w:rsidRPr="00090DA6">
        <w:t>%</w:t>
      </w:r>
      <w:r w:rsidR="0049182B">
        <w:t xml:space="preserve"> growth in</w:t>
      </w:r>
      <w:r w:rsidR="00F60736" w:rsidRPr="00090DA6">
        <w:t xml:space="preserve"> 20</w:t>
      </w:r>
      <w:r w:rsidR="00090DA6" w:rsidRPr="00090DA6">
        <w:t>2</w:t>
      </w:r>
      <w:r w:rsidR="000D646D">
        <w:t>1</w:t>
      </w:r>
      <w:r w:rsidR="0049182B">
        <w:t xml:space="preserve">, slowing to </w:t>
      </w:r>
      <w:r w:rsidR="004F307A">
        <w:t>2.</w:t>
      </w:r>
      <w:r w:rsidR="00136F0C">
        <w:t>25</w:t>
      </w:r>
      <w:r w:rsidR="0049182B">
        <w:t xml:space="preserve">% </w:t>
      </w:r>
      <w:r w:rsidR="004F307A">
        <w:t>by</w:t>
      </w:r>
      <w:r w:rsidR="000D646D">
        <w:t xml:space="preserve"> 202</w:t>
      </w:r>
      <w:r w:rsidR="004F307A">
        <w:t>3</w:t>
      </w:r>
      <w:r w:rsidR="00F60736" w:rsidRPr="00090DA6">
        <w:t xml:space="preserve">. </w:t>
      </w:r>
      <w:r w:rsidR="00136F0C">
        <w:t>The 2023 forecast was</w:t>
      </w:r>
      <w:r w:rsidR="005971C6">
        <w:t xml:space="preserve"> adjusted</w:t>
      </w:r>
      <w:r w:rsidR="00136F0C">
        <w:t xml:space="preserve"> downward from 2.45%, and with Q1 </w:t>
      </w:r>
      <w:r w:rsidR="006231CF">
        <w:t xml:space="preserve">2021 </w:t>
      </w:r>
      <w:r w:rsidR="00136F0C">
        <w:t>forecasts beating expectations</w:t>
      </w:r>
      <w:r w:rsidR="006231CF">
        <w:t>, this represents a quicker recovery in 2021.</w:t>
      </w:r>
      <w:r w:rsidR="00136F0C">
        <w:t xml:space="preserve"> </w:t>
      </w:r>
      <w:r w:rsidR="00F60736" w:rsidRPr="00090DA6">
        <w:t>Personal Consumption Expendit</w:t>
      </w:r>
      <w:r w:rsidR="00090DA6" w:rsidRPr="00090DA6">
        <w:t>ures (PCE)</w:t>
      </w:r>
      <w:r w:rsidR="005D3CEF">
        <w:rPr>
          <w:rStyle w:val="FootnoteReference"/>
        </w:rPr>
        <w:footnoteReference w:id="25"/>
      </w:r>
      <w:r w:rsidR="00090DA6" w:rsidRPr="00090DA6">
        <w:t xml:space="preserve"> </w:t>
      </w:r>
      <w:r w:rsidR="005971C6">
        <w:t xml:space="preserve">are forecast </w:t>
      </w:r>
      <w:r w:rsidR="00090DA6" w:rsidRPr="00090DA6">
        <w:t xml:space="preserve">to </w:t>
      </w:r>
      <w:r w:rsidR="006C2DAB">
        <w:t xml:space="preserve">grow </w:t>
      </w:r>
      <w:r w:rsidR="006231CF">
        <w:t>2.30</w:t>
      </w:r>
      <w:r w:rsidR="0049182B">
        <w:t>% in 202</w:t>
      </w:r>
      <w:r w:rsidR="0039421C">
        <w:t>1</w:t>
      </w:r>
      <w:r w:rsidR="00E46574">
        <w:t xml:space="preserve"> while</w:t>
      </w:r>
      <w:r w:rsidR="00F60736" w:rsidRPr="00090DA6">
        <w:t xml:space="preserve"> </w:t>
      </w:r>
      <w:r w:rsidR="00E46574">
        <w:t xml:space="preserve">the </w:t>
      </w:r>
      <w:r w:rsidR="00F60736" w:rsidRPr="00090DA6">
        <w:t>unemployment rate</w:t>
      </w:r>
      <w:r w:rsidR="00E72196">
        <w:rPr>
          <w:rStyle w:val="FootnoteReference"/>
        </w:rPr>
        <w:footnoteReference w:id="26"/>
      </w:r>
      <w:r w:rsidR="00F60736" w:rsidRPr="00090DA6">
        <w:t xml:space="preserve"> </w:t>
      </w:r>
      <w:r w:rsidR="005971C6">
        <w:t>is</w:t>
      </w:r>
      <w:r w:rsidR="006231CF">
        <w:t xml:space="preserve"> forecasted to </w:t>
      </w:r>
      <w:r w:rsidR="005971C6">
        <w:t>decline</w:t>
      </w:r>
      <w:r w:rsidR="0039421C">
        <w:t xml:space="preserve"> to </w:t>
      </w:r>
      <w:r w:rsidR="006231CF">
        <w:t>4.45</w:t>
      </w:r>
      <w:r w:rsidR="00F60736" w:rsidRPr="00090DA6">
        <w:t>%</w:t>
      </w:r>
      <w:r w:rsidR="00E46574">
        <w:t xml:space="preserve"> in 2021</w:t>
      </w:r>
      <w:r>
        <w:t>.</w:t>
      </w:r>
    </w:p>
    <w:p w14:paraId="4D630423" w14:textId="05728E47" w:rsidR="00FD0160" w:rsidRDefault="007568C6" w:rsidP="002308A9">
      <w:pPr>
        <w:jc w:val="center"/>
      </w:pPr>
      <w:r w:rsidRPr="007568C6">
        <w:rPr>
          <w:noProof/>
        </w:rPr>
        <w:drawing>
          <wp:inline distT="0" distB="0" distL="0" distR="0" wp14:anchorId="3B4E2672" wp14:editId="07669519">
            <wp:extent cx="3762375" cy="115252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3DA5A3C9" w14:textId="77777777" w:rsidR="002308A9" w:rsidRDefault="002308A9">
      <w:pPr>
        <w:rPr>
          <w:rFonts w:asciiTheme="majorHAnsi" w:eastAsiaTheme="majorEastAsia" w:hAnsiTheme="majorHAnsi" w:cstheme="majorBidi"/>
          <w:color w:val="008FD5"/>
          <w:sz w:val="36"/>
          <w:szCs w:val="32"/>
        </w:rPr>
      </w:pPr>
      <w:r>
        <w:br w:type="page"/>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0" w:name="_Hlk31896782"/>
      <w:r>
        <w:t xml:space="preserve">About </w:t>
      </w:r>
      <w:proofErr w:type="spellStart"/>
      <w:r>
        <w:t>TagniFi</w:t>
      </w:r>
      <w:proofErr w:type="spellEnd"/>
    </w:p>
    <w:bookmarkEnd w:id="0"/>
    <w:p w14:paraId="48B0785A" w14:textId="605E137B"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w:t>
      </w:r>
      <w:proofErr w:type="gramStart"/>
      <w:r>
        <w:t>then</w:t>
      </w:r>
      <w:proofErr w:type="gramEnd"/>
      <w:r>
        <w:t xml:space="preserve"> our mission has remained the same: to serve our clients with the best financial data available at a reasonable price. We do this by developing innovative solutions to leverage tagged financial statements which allow us to deliver better, faster and more detailed data at a fraction of the cost.</w:t>
      </w:r>
    </w:p>
    <w:p w14:paraId="0F1887EF" w14:textId="50D44F19" w:rsidR="00964DD4" w:rsidRDefault="00964DD4" w:rsidP="00230D29">
      <w:r>
        <w:t xml:space="preserve">Today </w:t>
      </w:r>
      <w:proofErr w:type="spellStart"/>
      <w:r>
        <w:t>TagniFi</w:t>
      </w:r>
      <w:proofErr w:type="spellEnd"/>
      <w:r>
        <w:t xml:space="preserve">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campaigns.</w:t>
      </w:r>
      <w:r w:rsidR="00375D7A">
        <w:t xml:space="preserve"> </w:t>
      </w:r>
      <w:r w:rsidR="00C36857" w:rsidRPr="0017465F">
        <w:t xml:space="preserve">For more information on </w:t>
      </w:r>
      <w:proofErr w:type="spellStart"/>
      <w:r w:rsidR="00C36857" w:rsidRPr="0017465F">
        <w:t>TagniFi</w:t>
      </w:r>
      <w:proofErr w:type="spellEnd"/>
      <w:r w:rsidR="00C36857" w:rsidRPr="0017465F">
        <w:t>, please visit</w:t>
      </w:r>
      <w:r w:rsidR="00230D29" w:rsidRPr="0017465F">
        <w:t xml:space="preserve"> </w:t>
      </w:r>
      <w:hyperlink r:id="rId39"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5"/>
      <w:footerReference w:type="defaul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09C64" w14:textId="77777777" w:rsidR="008D1F55" w:rsidRDefault="008D1F55" w:rsidP="00171C8E">
      <w:pPr>
        <w:spacing w:after="0" w:line="240" w:lineRule="auto"/>
      </w:pPr>
      <w:r>
        <w:separator/>
      </w:r>
    </w:p>
  </w:endnote>
  <w:endnote w:type="continuationSeparator" w:id="0">
    <w:p w14:paraId="41CEC1BF" w14:textId="77777777" w:rsidR="008D1F55" w:rsidRDefault="008D1F55"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024D4D48" w:rsidR="006C7B04" w:rsidRDefault="006C7B04">
    <w:pPr>
      <w:pStyle w:val="Footer"/>
    </w:pPr>
    <w:r>
      <w:t>© 202</w:t>
    </w:r>
    <w:r w:rsidR="00203609">
      <w:t>1</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6C7B04" w:rsidRDefault="006C7B04">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AAD43" w14:textId="77777777" w:rsidR="008D1F55" w:rsidRDefault="008D1F55" w:rsidP="00171C8E">
      <w:pPr>
        <w:spacing w:after="0" w:line="240" w:lineRule="auto"/>
      </w:pPr>
      <w:r>
        <w:separator/>
      </w:r>
    </w:p>
  </w:footnote>
  <w:footnote w:type="continuationSeparator" w:id="0">
    <w:p w14:paraId="44745F5B" w14:textId="77777777" w:rsidR="008D1F55" w:rsidRDefault="008D1F55" w:rsidP="00171C8E">
      <w:pPr>
        <w:spacing w:after="0" w:line="240" w:lineRule="auto"/>
      </w:pPr>
      <w:r>
        <w:continuationSeparator/>
      </w:r>
    </w:p>
  </w:footnote>
  <w:footnote w:id="1">
    <w:p w14:paraId="73988770" w14:textId="1FACD45A" w:rsidR="00454BEB" w:rsidRDefault="00454BEB" w:rsidP="00454BEB">
      <w:pPr>
        <w:pStyle w:val="FootnoteText"/>
      </w:pPr>
      <w:r>
        <w:rPr>
          <w:rStyle w:val="FootnoteReference"/>
        </w:rPr>
        <w:footnoteRef/>
      </w:r>
      <w:r>
        <w:t xml:space="preserve"> </w:t>
      </w:r>
      <w:r w:rsidRPr="00111911">
        <w:rPr>
          <w:i/>
          <w:iCs/>
          <w:sz w:val="16"/>
          <w:szCs w:val="16"/>
        </w:rPr>
        <w:t xml:space="preserve">US Business Cycle Expansions and Contractions, retrieved from the National Bureau of Economic Research (NBER), </w:t>
      </w:r>
      <w:hyperlink r:id="rId1" w:history="1">
        <w:r w:rsidRPr="00111911">
          <w:rPr>
            <w:rStyle w:val="Hyperlink"/>
            <w:i/>
            <w:iCs/>
            <w:sz w:val="16"/>
            <w:szCs w:val="16"/>
          </w:rPr>
          <w:t>https://www.nber.org/research/data/us-business-cycle-expansions-and-contractions</w:t>
        </w:r>
      </w:hyperlink>
      <w:r w:rsidRPr="00111911">
        <w:rPr>
          <w:i/>
          <w:iCs/>
          <w:sz w:val="16"/>
          <w:szCs w:val="16"/>
        </w:rPr>
        <w:t xml:space="preserve">, </w:t>
      </w:r>
      <w:r>
        <w:rPr>
          <w:i/>
          <w:iCs/>
          <w:sz w:val="16"/>
          <w:szCs w:val="16"/>
        </w:rPr>
        <w:t>Apr 30, 2</w:t>
      </w:r>
      <w:r w:rsidRPr="00111911">
        <w:rPr>
          <w:i/>
          <w:iCs/>
          <w:sz w:val="16"/>
          <w:szCs w:val="16"/>
        </w:rPr>
        <w:t>02</w:t>
      </w:r>
      <w:r>
        <w:rPr>
          <w:i/>
          <w:iCs/>
          <w:sz w:val="16"/>
          <w:szCs w:val="16"/>
        </w:rPr>
        <w:t>1</w:t>
      </w:r>
      <w:r w:rsidRPr="00111911">
        <w:rPr>
          <w:i/>
          <w:iCs/>
          <w:sz w:val="16"/>
          <w:szCs w:val="16"/>
        </w:rPr>
        <w:t>.</w:t>
      </w:r>
    </w:p>
  </w:footnote>
  <w:footnote w:id="2">
    <w:p w14:paraId="3D90C56E" w14:textId="1D5BD881" w:rsidR="00454BEB" w:rsidRPr="00952AF7" w:rsidRDefault="00454BEB" w:rsidP="00454BEB">
      <w:pPr>
        <w:pStyle w:val="FootnoteText"/>
        <w:rPr>
          <w:rFonts w:cstheme="minorHAnsi"/>
          <w:i/>
          <w:iCs/>
          <w:color w:val="222222"/>
          <w:sz w:val="16"/>
          <w:szCs w:val="16"/>
          <w:shd w:val="clear" w:color="auto" w:fill="FFFFFF"/>
        </w:rPr>
      </w:pPr>
      <w:r>
        <w:rPr>
          <w:rStyle w:val="FootnoteReference"/>
        </w:rPr>
        <w:footnoteRef/>
      </w:r>
      <w:r>
        <w:t xml:space="preserve"> </w:t>
      </w:r>
      <w:r w:rsidRPr="001C0418">
        <w:rPr>
          <w:rFonts w:cstheme="minorHAnsi"/>
          <w:i/>
          <w:iCs/>
          <w:color w:val="222222"/>
          <w:sz w:val="16"/>
          <w:szCs w:val="16"/>
          <w:shd w:val="clear" w:color="auto" w:fill="FFFFFF"/>
        </w:rPr>
        <w:t>Trends in Number of COVID-19 Cases and Deaths in the US Reported to CDC, by State/Territory</w:t>
      </w:r>
      <w:r w:rsidRPr="00952AF7">
        <w:rPr>
          <w:rFonts w:cstheme="minorHAnsi"/>
          <w:i/>
          <w:iCs/>
          <w:color w:val="222222"/>
          <w:sz w:val="16"/>
          <w:szCs w:val="16"/>
          <w:shd w:val="clear" w:color="auto" w:fill="FFFFFF"/>
        </w:rPr>
        <w:t xml:space="preserve">, retrieved from </w:t>
      </w:r>
      <w:r>
        <w:rPr>
          <w:rFonts w:cstheme="minorHAnsi"/>
          <w:i/>
          <w:iCs/>
          <w:color w:val="222222"/>
          <w:sz w:val="16"/>
          <w:szCs w:val="16"/>
          <w:shd w:val="clear" w:color="auto" w:fill="FFFFFF"/>
        </w:rPr>
        <w:t>the Centers for Disease Control and Prevention (CDC)</w:t>
      </w:r>
      <w:r w:rsidRPr="00952AF7">
        <w:rPr>
          <w:rFonts w:cstheme="minorHAnsi"/>
          <w:i/>
          <w:iCs/>
          <w:color w:val="222222"/>
          <w:sz w:val="16"/>
          <w:szCs w:val="16"/>
          <w:shd w:val="clear" w:color="auto" w:fill="FFFFFF"/>
        </w:rPr>
        <w:t>,</w:t>
      </w:r>
      <w:r>
        <w:t xml:space="preserve"> </w:t>
      </w:r>
      <w:hyperlink r:id="rId2" w:anchor="trends_totalandratecases" w:history="1">
        <w:r>
          <w:rPr>
            <w:rStyle w:val="Hyperlink"/>
            <w:rFonts w:cstheme="minorHAnsi"/>
            <w:i/>
            <w:iCs/>
            <w:sz w:val="16"/>
            <w:szCs w:val="16"/>
            <w:shd w:val="clear" w:color="auto" w:fill="FFFFFF"/>
          </w:rPr>
          <w:t xml:space="preserve">https://covid.cdc.gov/covid-data-tracker/ - </w:t>
        </w:r>
        <w:proofErr w:type="spellStart"/>
        <w:r>
          <w:rPr>
            <w:rStyle w:val="Hyperlink"/>
            <w:rFonts w:cstheme="minorHAnsi"/>
            <w:i/>
            <w:iCs/>
            <w:sz w:val="16"/>
            <w:szCs w:val="16"/>
            <w:shd w:val="clear" w:color="auto" w:fill="FFFFFF"/>
          </w:rPr>
          <w:t>trends_totalandratecases</w:t>
        </w:r>
        <w:proofErr w:type="spellEnd"/>
      </w:hyperlink>
      <w:r w:rsidRPr="00952AF7">
        <w:rPr>
          <w:i/>
          <w:iCs/>
          <w:sz w:val="16"/>
          <w:szCs w:val="16"/>
        </w:rPr>
        <w:t>,</w:t>
      </w:r>
      <w:r w:rsidRPr="00952AF7">
        <w:rPr>
          <w:rFonts w:cstheme="minorHAnsi"/>
          <w:i/>
          <w:iCs/>
          <w:color w:val="222222"/>
          <w:sz w:val="16"/>
          <w:szCs w:val="16"/>
          <w:shd w:val="clear" w:color="auto" w:fill="FFFFFF"/>
        </w:rPr>
        <w:t xml:space="preserve"> </w:t>
      </w:r>
      <w:r w:rsidR="007147D7">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p>
  </w:footnote>
  <w:footnote w:id="3">
    <w:p w14:paraId="07CD6D47" w14:textId="4E1565A0" w:rsidR="006C7B04" w:rsidRDefault="006C7B04">
      <w:pPr>
        <w:pStyle w:val="FootnoteText"/>
      </w:pPr>
      <w:r>
        <w:rPr>
          <w:rStyle w:val="FootnoteReference"/>
        </w:rPr>
        <w:footnoteRef/>
      </w:r>
      <w:r>
        <w:t xml:space="preserve"> </w:t>
      </w:r>
      <w:r w:rsidRPr="00714B74">
        <w:rPr>
          <w:i/>
          <w:iCs/>
          <w:sz w:val="16"/>
          <w:szCs w:val="16"/>
        </w:rPr>
        <w:t>State Coincident Indexes, retrieved from the Federal Reserve Bank of Philad</w:t>
      </w:r>
      <w:r>
        <w:rPr>
          <w:i/>
          <w:iCs/>
          <w:sz w:val="16"/>
          <w:szCs w:val="16"/>
        </w:rPr>
        <w:t>el</w:t>
      </w:r>
      <w:r w:rsidRPr="00714B74">
        <w:rPr>
          <w:i/>
          <w:iCs/>
          <w:sz w:val="16"/>
          <w:szCs w:val="16"/>
        </w:rPr>
        <w:t>phia,</w:t>
      </w:r>
      <w:r w:rsidR="00F719B1" w:rsidRPr="00F719B1">
        <w:t xml:space="preserve"> </w:t>
      </w:r>
      <w:r w:rsidR="00F719B1" w:rsidRPr="00F719B1">
        <w:rPr>
          <w:i/>
          <w:iCs/>
          <w:sz w:val="16"/>
          <w:szCs w:val="16"/>
        </w:rPr>
        <w:t>https://www.philadelphiafed.org/-/media/frbp/assets/surveys-and-data/coincident/2021/coincidentindexes0321.pdf</w:t>
      </w:r>
      <w:r w:rsidRPr="00714B74">
        <w:rPr>
          <w:i/>
          <w:iCs/>
          <w:sz w:val="16"/>
          <w:szCs w:val="16"/>
        </w:rPr>
        <w:t xml:space="preserve">, </w:t>
      </w:r>
      <w:r w:rsidR="00F719B1">
        <w:rPr>
          <w:i/>
          <w:iCs/>
          <w:sz w:val="16"/>
          <w:szCs w:val="16"/>
        </w:rPr>
        <w:t>Apr.</w:t>
      </w:r>
      <w:r>
        <w:rPr>
          <w:i/>
          <w:iCs/>
          <w:sz w:val="16"/>
          <w:szCs w:val="16"/>
        </w:rPr>
        <w:t xml:space="preserve"> 30, 2021.</w:t>
      </w:r>
    </w:p>
  </w:footnote>
  <w:footnote w:id="4">
    <w:p w14:paraId="04EBBD96" w14:textId="455174E7" w:rsidR="006C7B04" w:rsidRPr="000322F4" w:rsidRDefault="006C7B04">
      <w:pPr>
        <w:pStyle w:val="FootnoteText"/>
        <w:rPr>
          <w:sz w:val="16"/>
          <w:szCs w:val="16"/>
          <w:lang w:val="en-PH"/>
        </w:rPr>
      </w:pPr>
      <w:r w:rsidRPr="000322F4">
        <w:rPr>
          <w:rStyle w:val="FootnoteReference"/>
          <w:sz w:val="16"/>
          <w:szCs w:val="16"/>
        </w:rPr>
        <w:footnoteRef/>
      </w:r>
      <w:r w:rsidRPr="000322F4">
        <w:rPr>
          <w:sz w:val="16"/>
          <w:szCs w:val="16"/>
        </w:rPr>
        <w:t xml:space="preserve"> </w:t>
      </w:r>
      <w:r w:rsidRPr="00DA3959">
        <w:rPr>
          <w:rFonts w:cstheme="minorHAnsi"/>
          <w:i/>
          <w:iCs/>
          <w:color w:val="222222"/>
          <w:sz w:val="16"/>
          <w:szCs w:val="16"/>
          <w:shd w:val="clear" w:color="auto" w:fill="FFFFFF"/>
        </w:rPr>
        <w:t xml:space="preserve">Board of Governors of the Federal Reserve System (US), Trade Weighted U.S. Dollar Index: Broad, Goods and Services [DTWEXBGS], retrieved from FRED, Federal Reserve Bank of St. Louis; </w:t>
      </w:r>
      <w:hyperlink r:id="rId3"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2664F3">
        <w:rPr>
          <w:rFonts w:cstheme="minorHAnsi"/>
          <w:i/>
          <w:iCs/>
          <w:color w:val="222222"/>
          <w:sz w:val="16"/>
          <w:szCs w:val="16"/>
          <w:shd w:val="clear" w:color="auto" w:fill="FFFFFF"/>
        </w:rPr>
        <w:t>Apr</w:t>
      </w:r>
      <w:r w:rsidR="002218BC">
        <w:rPr>
          <w:rFonts w:cstheme="minorHAnsi"/>
          <w:i/>
          <w:iCs/>
          <w:color w:val="222222"/>
          <w:sz w:val="16"/>
          <w:szCs w:val="16"/>
          <w:shd w:val="clear" w:color="auto" w:fill="FFFFFF"/>
        </w:rPr>
        <w:t xml:space="preserve"> 30, 2021</w:t>
      </w:r>
      <w:r w:rsidRPr="00DA3959">
        <w:rPr>
          <w:rFonts w:cstheme="minorHAnsi"/>
          <w:i/>
          <w:iCs/>
          <w:color w:val="222222"/>
          <w:sz w:val="16"/>
          <w:szCs w:val="16"/>
          <w:shd w:val="clear" w:color="auto" w:fill="FFFFFF"/>
        </w:rPr>
        <w:t>.</w:t>
      </w:r>
    </w:p>
  </w:footnote>
  <w:footnote w:id="5">
    <w:p w14:paraId="517776FA" w14:textId="0493C306"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4"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sidR="00CF321C">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6">
    <w:p w14:paraId="502F649B" w14:textId="78956013" w:rsidR="006C7B04" w:rsidRPr="006A114D"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5"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057B78">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7">
    <w:p w14:paraId="11F01E93" w14:textId="6410D7E1" w:rsidR="006C7B04" w:rsidRPr="00B65667" w:rsidRDefault="006C7B04">
      <w:pPr>
        <w:pStyle w:val="FootnoteText"/>
        <w:rPr>
          <w:i/>
          <w:iCs/>
          <w:sz w:val="16"/>
          <w:szCs w:val="16"/>
          <w:lang w:val="en-PH"/>
        </w:rPr>
      </w:pPr>
      <w:r>
        <w:rPr>
          <w:rStyle w:val="FootnoteReference"/>
        </w:rPr>
        <w:footnoteRef/>
      </w:r>
      <w:r>
        <w:t xml:space="preserve"> </w:t>
      </w:r>
      <w:r w:rsidRPr="00B65667">
        <w:rPr>
          <w:i/>
          <w:iCs/>
          <w:sz w:val="16"/>
          <w:szCs w:val="16"/>
          <w:lang w:val="en-PH"/>
        </w:rPr>
        <w:t xml:space="preserve">Selected Interest Rates Instruments, </w:t>
      </w:r>
      <w:proofErr w:type="gramStart"/>
      <w:r w:rsidRPr="00B65667">
        <w:rPr>
          <w:i/>
          <w:iCs/>
          <w:sz w:val="16"/>
          <w:szCs w:val="16"/>
          <w:lang w:val="en-PH"/>
        </w:rPr>
        <w:t>Yields</w:t>
      </w:r>
      <w:proofErr w:type="gramEnd"/>
      <w:r w:rsidRPr="00B65667">
        <w:rPr>
          <w:i/>
          <w:iCs/>
          <w:sz w:val="16"/>
          <w:szCs w:val="16"/>
          <w:lang w:val="en-PH"/>
        </w:rPr>
        <w:t xml:space="preserve"> in percent per annum, retrieved from FRED, Federal Reserve Bank of St. Louis;</w:t>
      </w:r>
      <w:r w:rsidR="00644630">
        <w:t xml:space="preserve"> </w:t>
      </w:r>
      <w:r w:rsidR="00644630" w:rsidRPr="00644630">
        <w:rPr>
          <w:i/>
          <w:iCs/>
          <w:sz w:val="16"/>
          <w:szCs w:val="16"/>
        </w:rPr>
        <w:t>https://fred.stlouisfed.org/release/tables?rid=18&amp;eid=289&amp;od=#</w:t>
      </w:r>
      <w:r w:rsidRPr="00644630">
        <w:rPr>
          <w:i/>
          <w:iCs/>
          <w:sz w:val="16"/>
          <w:szCs w:val="16"/>
          <w:lang w:val="en-PH"/>
        </w:rPr>
        <w:t>,</w:t>
      </w:r>
      <w:r w:rsidRPr="00B65667">
        <w:rPr>
          <w:i/>
          <w:iCs/>
          <w:sz w:val="16"/>
          <w:szCs w:val="16"/>
          <w:lang w:val="en-PH"/>
        </w:rPr>
        <w:t xml:space="preserve"> </w:t>
      </w:r>
      <w:r w:rsidR="00644630">
        <w:rPr>
          <w:i/>
          <w:iCs/>
          <w:sz w:val="16"/>
          <w:szCs w:val="16"/>
          <w:lang w:val="en-PH"/>
        </w:rPr>
        <w:t>Apr</w:t>
      </w:r>
      <w:r>
        <w:rPr>
          <w:i/>
          <w:iCs/>
          <w:sz w:val="16"/>
          <w:szCs w:val="16"/>
          <w:lang w:val="en-PH"/>
        </w:rPr>
        <w:t xml:space="preserve"> 30, 2021</w:t>
      </w:r>
      <w:r w:rsidRPr="00B65667">
        <w:rPr>
          <w:i/>
          <w:iCs/>
          <w:sz w:val="16"/>
          <w:szCs w:val="16"/>
          <w:lang w:val="en-PH"/>
        </w:rPr>
        <w:t>.</w:t>
      </w:r>
    </w:p>
  </w:footnote>
  <w:footnote w:id="8">
    <w:p w14:paraId="35FA6FE7" w14:textId="6D153FA8"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65667">
        <w:rPr>
          <w:i/>
          <w:iCs/>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6"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sidR="00644630">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9">
    <w:p w14:paraId="5D92A033" w14:textId="7C929646" w:rsidR="006C7B04" w:rsidRPr="004759DB"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7"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sidR="0073715A">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0">
    <w:p w14:paraId="29E4EDD1" w14:textId="0E4F46E5"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Moody’s, Moody’s Seasoned Baa Corporate Bond Yield [BAAS],</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https://fred.stlouisfed.org/series/BAA</w:t>
        </w:r>
      </w:hyperlink>
      <w:r w:rsidRPr="00BF5CE2">
        <w:rPr>
          <w:rFonts w:cstheme="minorHAnsi"/>
          <w:i/>
          <w:iCs/>
          <w:color w:val="222222"/>
          <w:sz w:val="16"/>
          <w:szCs w:val="16"/>
          <w:shd w:val="clear" w:color="auto" w:fill="FFFFFF"/>
        </w:rPr>
        <w:t xml:space="preserve">, </w:t>
      </w:r>
      <w:r w:rsidR="0073715A">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1">
    <w:p w14:paraId="4C9DB6C9" w14:textId="319BD945" w:rsidR="006C7B04" w:rsidRPr="0052077C"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https://fred.stlouisfed.org/series/PAYEMS</w:t>
        </w:r>
      </w:hyperlink>
      <w:r w:rsidRPr="00BF5CE2">
        <w:rPr>
          <w:rFonts w:cstheme="minorHAnsi"/>
          <w:i/>
          <w:iCs/>
          <w:color w:val="222222"/>
          <w:sz w:val="16"/>
          <w:szCs w:val="16"/>
          <w:shd w:val="clear" w:color="auto" w:fill="FFFFFF"/>
        </w:rPr>
        <w:t xml:space="preserve">, </w:t>
      </w:r>
      <w:r w:rsidR="002664F3">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2">
    <w:p w14:paraId="7DEAA574" w14:textId="0B85610B"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0"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sidR="008231D2">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3">
    <w:p w14:paraId="4135366E" w14:textId="15F7F0F2"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11"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sidR="008231D2">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4">
    <w:p w14:paraId="1430DADA" w14:textId="36509ADC" w:rsidR="006C7B04" w:rsidRDefault="006C7B04">
      <w:pPr>
        <w:pStyle w:val="FootnoteText"/>
      </w:pPr>
      <w:r>
        <w:rPr>
          <w:rStyle w:val="FootnoteReference"/>
        </w:rPr>
        <w:footnoteRef/>
      </w:r>
      <w:r>
        <w:t xml:space="preserve"> </w:t>
      </w:r>
      <w:r w:rsidRPr="008155BA">
        <w:rPr>
          <w:i/>
          <w:iCs/>
          <w:sz w:val="16"/>
          <w:szCs w:val="16"/>
        </w:rPr>
        <w:t xml:space="preserve">Survey of Consumer Expectations, retrieved from Federal Reserve Bank of New York, </w:t>
      </w:r>
      <w:hyperlink r:id="rId12" w:anchor="indicators/inflation-expectations/g1" w:history="1">
        <w:r>
          <w:rPr>
            <w:rStyle w:val="Hyperlink"/>
            <w:i/>
            <w:iCs/>
            <w:sz w:val="16"/>
            <w:szCs w:val="16"/>
          </w:rPr>
          <w:t>https://www.newyorkfed.org/microeconomics/sce - indicators/inflation-expectations/g1</w:t>
        </w:r>
      </w:hyperlink>
      <w:r w:rsidRPr="008155BA">
        <w:rPr>
          <w:i/>
          <w:iCs/>
          <w:sz w:val="16"/>
          <w:szCs w:val="16"/>
        </w:rPr>
        <w:t xml:space="preserve">, </w:t>
      </w:r>
      <w:r w:rsidR="008231D2">
        <w:rPr>
          <w:i/>
          <w:iCs/>
          <w:sz w:val="16"/>
          <w:szCs w:val="16"/>
        </w:rPr>
        <w:t>Apr</w:t>
      </w:r>
      <w:r>
        <w:rPr>
          <w:i/>
          <w:iCs/>
          <w:sz w:val="16"/>
          <w:szCs w:val="16"/>
        </w:rPr>
        <w:t xml:space="preserve"> 30, 2021</w:t>
      </w:r>
    </w:p>
  </w:footnote>
  <w:footnote w:id="15">
    <w:p w14:paraId="2CF101DC" w14:textId="06856AE9" w:rsidR="006C7B04" w:rsidRPr="00CB1375"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sidR="00891094">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6">
    <w:p w14:paraId="1C900108" w14:textId="02180763" w:rsidR="006C7B04" w:rsidRPr="000322F4" w:rsidRDefault="006C7B04"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Pr="000322F4">
        <w:rPr>
          <w:rFonts w:cstheme="minorHAnsi"/>
          <w:i/>
          <w:iCs/>
          <w:color w:val="222222"/>
          <w:sz w:val="16"/>
          <w:szCs w:val="16"/>
          <w:shd w:val="clear" w:color="auto" w:fill="FFFFFF"/>
        </w:rPr>
        <w:t>U.S. Energy Information Administration, Crude Oil Prices: West Texas Intermediate (WTI) – Cushing, Oklahoma [MCOILWTICO], retrieved from FRED, Federal Reserve Bank of St. Louis; </w:t>
      </w:r>
      <w:hyperlink r:id="rId14" w:history="1">
        <w:r w:rsidRPr="000322F4">
          <w:rPr>
            <w:rStyle w:val="Hyperlink"/>
            <w:rFonts w:cstheme="minorHAnsi"/>
            <w:i/>
            <w:iCs/>
            <w:sz w:val="16"/>
            <w:szCs w:val="16"/>
            <w:shd w:val="clear" w:color="auto" w:fill="FFFFFF"/>
          </w:rPr>
          <w:t>https://fred.stlouisfed.org/series/MCOILWTICO</w:t>
        </w:r>
      </w:hyperlink>
      <w:r w:rsidRPr="000322F4">
        <w:rPr>
          <w:rFonts w:cstheme="minorHAnsi"/>
          <w:i/>
          <w:iCs/>
          <w:color w:val="222222"/>
          <w:sz w:val="16"/>
          <w:szCs w:val="16"/>
          <w:shd w:val="clear" w:color="auto" w:fill="FFFFFF"/>
        </w:rPr>
        <w:t xml:space="preserve">, </w:t>
      </w:r>
      <w:r w:rsidR="00891094">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0322F4">
        <w:rPr>
          <w:rFonts w:cstheme="minorHAnsi"/>
          <w:i/>
          <w:iCs/>
          <w:color w:val="222222"/>
          <w:sz w:val="16"/>
          <w:szCs w:val="16"/>
          <w:shd w:val="clear" w:color="auto" w:fill="FFFFFF"/>
        </w:rPr>
        <w:t>.</w:t>
      </w:r>
    </w:p>
  </w:footnote>
  <w:footnote w:id="17">
    <w:p w14:paraId="11221A52" w14:textId="6E09B37B"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15"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sidR="00891094">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8">
    <w:p w14:paraId="6A794CBD" w14:textId="094A6F90" w:rsidR="006C7B04" w:rsidRPr="00250313"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16"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426D59">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19">
    <w:p w14:paraId="48E5411D" w14:textId="196A5AF4"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426D59">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20">
    <w:p w14:paraId="3C84FE4A" w14:textId="5FDA762A"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18"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sidR="005F6785">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21">
    <w:p w14:paraId="08E11874" w14:textId="6149B652" w:rsidR="006C7B04" w:rsidRPr="00933E80"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r w:rsidRPr="00BF5CE2">
        <w:rPr>
          <w:rFonts w:cstheme="minorHAnsi"/>
          <w:i/>
          <w:iCs/>
          <w:color w:val="222222"/>
          <w:sz w:val="16"/>
          <w:szCs w:val="16"/>
          <w:shd w:val="clear" w:color="auto" w:fill="FFFFFF"/>
        </w:rPr>
        <w:t xml:space="preserve"> retrieved from FRED, Federal Reserve Bank of St. Louis; </w:t>
      </w:r>
      <w:hyperlink r:id="rId19" w:history="1">
        <w:r w:rsidRPr="00BF5CE2">
          <w:rPr>
            <w:rStyle w:val="Hyperlink"/>
            <w:rFonts w:cstheme="minorHAnsi"/>
            <w:i/>
            <w:iCs/>
            <w:sz w:val="16"/>
            <w:szCs w:val="16"/>
            <w:shd w:val="clear" w:color="auto" w:fill="FFFFFF"/>
          </w:rPr>
          <w:t>https://fred.stlouisfed.org/series/ALTSALES</w:t>
        </w:r>
      </w:hyperlink>
      <w:r w:rsidRPr="00BF5CE2">
        <w:rPr>
          <w:rFonts w:cstheme="minorHAnsi"/>
          <w:i/>
          <w:iCs/>
          <w:color w:val="222222"/>
          <w:sz w:val="16"/>
          <w:szCs w:val="16"/>
          <w:shd w:val="clear" w:color="auto" w:fill="FFFFFF"/>
        </w:rPr>
        <w:t xml:space="preserve">, </w:t>
      </w:r>
      <w:r w:rsidR="005F6785">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22">
    <w:p w14:paraId="01357EF0" w14:textId="27C9E0A2" w:rsidR="006C7B04" w:rsidRPr="00364347" w:rsidRDefault="006C7B04"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20" w:history="1">
        <w:r w:rsidRPr="00364347">
          <w:rPr>
            <w:rStyle w:val="Hyperlink"/>
            <w:i/>
            <w:iCs/>
            <w:sz w:val="16"/>
            <w:szCs w:val="16"/>
            <w:lang w:val="en-PH"/>
          </w:rPr>
          <w:t>https://fred.stlouisfed.org/series/UMCSENT</w:t>
        </w:r>
      </w:hyperlink>
      <w:r w:rsidRPr="00364347">
        <w:rPr>
          <w:i/>
          <w:iCs/>
          <w:sz w:val="16"/>
          <w:szCs w:val="16"/>
          <w:lang w:val="en-PH"/>
        </w:rPr>
        <w:t xml:space="preserve">, </w:t>
      </w:r>
      <w:r w:rsidR="005F6785">
        <w:rPr>
          <w:i/>
          <w:iCs/>
          <w:sz w:val="16"/>
          <w:szCs w:val="16"/>
          <w:lang w:val="en-PH"/>
        </w:rPr>
        <w:t>Apr</w:t>
      </w:r>
      <w:r>
        <w:rPr>
          <w:i/>
          <w:iCs/>
          <w:sz w:val="16"/>
          <w:szCs w:val="16"/>
          <w:lang w:val="en-PH"/>
        </w:rPr>
        <w:t xml:space="preserve"> 30, 2021</w:t>
      </w:r>
      <w:r w:rsidRPr="00364347">
        <w:rPr>
          <w:i/>
          <w:iCs/>
          <w:sz w:val="16"/>
          <w:szCs w:val="16"/>
          <w:lang w:val="en-PH"/>
        </w:rPr>
        <w:t>.</w:t>
      </w:r>
    </w:p>
    <w:p w14:paraId="10C86738" w14:textId="29101548" w:rsidR="006C7B04" w:rsidRDefault="006C7B04">
      <w:pPr>
        <w:pStyle w:val="FootnoteText"/>
      </w:pPr>
    </w:p>
  </w:footnote>
  <w:footnote w:id="23">
    <w:p w14:paraId="3E58D959" w14:textId="6285F5A2" w:rsidR="006C7B04" w:rsidRPr="00364347" w:rsidRDefault="006C7B04">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21" w:history="1">
        <w:r w:rsidRPr="00364347">
          <w:rPr>
            <w:rStyle w:val="Hyperlink"/>
            <w:i/>
            <w:iCs/>
            <w:sz w:val="16"/>
            <w:szCs w:val="16"/>
          </w:rPr>
          <w:t>https://fred.stlouisfed.org/series/VIXCLS</w:t>
        </w:r>
      </w:hyperlink>
      <w:r w:rsidRPr="00364347">
        <w:rPr>
          <w:i/>
          <w:iCs/>
          <w:sz w:val="16"/>
          <w:szCs w:val="16"/>
        </w:rPr>
        <w:t xml:space="preserve">, </w:t>
      </w:r>
      <w:r w:rsidR="005F6785">
        <w:rPr>
          <w:i/>
          <w:iCs/>
          <w:sz w:val="16"/>
          <w:szCs w:val="16"/>
        </w:rPr>
        <w:t>Apr</w:t>
      </w:r>
      <w:r>
        <w:rPr>
          <w:i/>
          <w:iCs/>
          <w:sz w:val="16"/>
          <w:szCs w:val="16"/>
        </w:rPr>
        <w:t xml:space="preserve"> 30, 2021</w:t>
      </w:r>
      <w:r w:rsidRPr="00364347">
        <w:rPr>
          <w:i/>
          <w:iCs/>
          <w:sz w:val="16"/>
          <w:szCs w:val="16"/>
        </w:rPr>
        <w:t>.</w:t>
      </w:r>
    </w:p>
  </w:footnote>
  <w:footnote w:id="24">
    <w:p w14:paraId="1CF53D3A" w14:textId="52528C84" w:rsidR="006C7B04" w:rsidRPr="00BF5CE2" w:rsidRDefault="006C7B04">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22"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w:t>
      </w:r>
      <w:r w:rsidR="00922AF7">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2B29C7">
        <w:rPr>
          <w:rFonts w:cstheme="minorHAnsi"/>
          <w:i/>
          <w:iCs/>
          <w:color w:val="222222"/>
          <w:sz w:val="16"/>
          <w:szCs w:val="16"/>
          <w:shd w:val="clear" w:color="auto" w:fill="FFFFFF"/>
        </w:rPr>
        <w:t>.</w:t>
      </w:r>
    </w:p>
  </w:footnote>
  <w:footnote w:id="25">
    <w:p w14:paraId="054982F6" w14:textId="323482FE" w:rsidR="006C7B04" w:rsidRPr="005D3CEF" w:rsidRDefault="006C7B04">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23"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922AF7">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364347">
        <w:rPr>
          <w:rFonts w:cstheme="minorHAnsi"/>
          <w:i/>
          <w:iCs/>
          <w:color w:val="222222"/>
          <w:sz w:val="16"/>
          <w:szCs w:val="16"/>
          <w:shd w:val="clear" w:color="auto" w:fill="FFFFFF"/>
        </w:rPr>
        <w:t>.</w:t>
      </w:r>
    </w:p>
  </w:footnote>
  <w:footnote w:id="26">
    <w:p w14:paraId="4A7DBD07" w14:textId="0D4E4F17" w:rsidR="006C7B04" w:rsidRPr="00E72196" w:rsidRDefault="006C7B04"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24"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922AF7">
        <w:rPr>
          <w:rFonts w:cstheme="minorHAnsi"/>
          <w:i/>
          <w:iCs/>
          <w:color w:val="222222"/>
          <w:sz w:val="16"/>
          <w:szCs w:val="16"/>
          <w:shd w:val="clear" w:color="auto" w:fill="FFFFFF"/>
        </w:rPr>
        <w:t>Apr</w:t>
      </w:r>
      <w:r>
        <w:rPr>
          <w:rFonts w:cstheme="minorHAnsi"/>
          <w:i/>
          <w:iCs/>
          <w:color w:val="222222"/>
          <w:sz w:val="16"/>
          <w:szCs w:val="16"/>
          <w:shd w:val="clear" w:color="auto" w:fill="FFFFFF"/>
        </w:rPr>
        <w:t xml:space="preserve"> 30, 2021</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6C7B04" w:rsidRPr="00460436" w:rsidRDefault="006C7B04"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11"/>
    <w:rsid w:val="0000055B"/>
    <w:rsid w:val="000017CB"/>
    <w:rsid w:val="000048BB"/>
    <w:rsid w:val="00005111"/>
    <w:rsid w:val="00014CBA"/>
    <w:rsid w:val="00021EA4"/>
    <w:rsid w:val="00022BB4"/>
    <w:rsid w:val="00023FB9"/>
    <w:rsid w:val="000248D0"/>
    <w:rsid w:val="00024E64"/>
    <w:rsid w:val="0002602B"/>
    <w:rsid w:val="0002760A"/>
    <w:rsid w:val="00027E1E"/>
    <w:rsid w:val="00030ECA"/>
    <w:rsid w:val="0003136B"/>
    <w:rsid w:val="000322F4"/>
    <w:rsid w:val="00033B75"/>
    <w:rsid w:val="00035810"/>
    <w:rsid w:val="00035F0C"/>
    <w:rsid w:val="0003611B"/>
    <w:rsid w:val="0004025D"/>
    <w:rsid w:val="0004306B"/>
    <w:rsid w:val="00046A04"/>
    <w:rsid w:val="00047034"/>
    <w:rsid w:val="00047E74"/>
    <w:rsid w:val="0005198D"/>
    <w:rsid w:val="00052F94"/>
    <w:rsid w:val="00053E46"/>
    <w:rsid w:val="0005726F"/>
    <w:rsid w:val="00057711"/>
    <w:rsid w:val="00057B78"/>
    <w:rsid w:val="00060AA5"/>
    <w:rsid w:val="00061DAA"/>
    <w:rsid w:val="000644DB"/>
    <w:rsid w:val="000650B3"/>
    <w:rsid w:val="00065E14"/>
    <w:rsid w:val="0007056A"/>
    <w:rsid w:val="00071875"/>
    <w:rsid w:val="00072C36"/>
    <w:rsid w:val="000738AD"/>
    <w:rsid w:val="00074123"/>
    <w:rsid w:val="000742F7"/>
    <w:rsid w:val="0007515A"/>
    <w:rsid w:val="00076850"/>
    <w:rsid w:val="000807FF"/>
    <w:rsid w:val="00084604"/>
    <w:rsid w:val="00084608"/>
    <w:rsid w:val="00084C45"/>
    <w:rsid w:val="00086DBA"/>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1653"/>
    <w:rsid w:val="000B42F9"/>
    <w:rsid w:val="000B4F85"/>
    <w:rsid w:val="000B5DA2"/>
    <w:rsid w:val="000B6EBB"/>
    <w:rsid w:val="000C1495"/>
    <w:rsid w:val="000C19DD"/>
    <w:rsid w:val="000C2E7D"/>
    <w:rsid w:val="000C6EEB"/>
    <w:rsid w:val="000C71C7"/>
    <w:rsid w:val="000D3995"/>
    <w:rsid w:val="000D47AB"/>
    <w:rsid w:val="000D4973"/>
    <w:rsid w:val="000D5719"/>
    <w:rsid w:val="000D646D"/>
    <w:rsid w:val="000D76FA"/>
    <w:rsid w:val="000D7BDC"/>
    <w:rsid w:val="000E1BAA"/>
    <w:rsid w:val="000E1DDC"/>
    <w:rsid w:val="000E3192"/>
    <w:rsid w:val="000E5860"/>
    <w:rsid w:val="000E6060"/>
    <w:rsid w:val="000E6A61"/>
    <w:rsid w:val="000F1648"/>
    <w:rsid w:val="000F4AC6"/>
    <w:rsid w:val="000F59FF"/>
    <w:rsid w:val="001009B9"/>
    <w:rsid w:val="00100DF8"/>
    <w:rsid w:val="00102080"/>
    <w:rsid w:val="0010260B"/>
    <w:rsid w:val="00105413"/>
    <w:rsid w:val="00105A55"/>
    <w:rsid w:val="00107AB4"/>
    <w:rsid w:val="001116CA"/>
    <w:rsid w:val="00111911"/>
    <w:rsid w:val="00111974"/>
    <w:rsid w:val="00113C90"/>
    <w:rsid w:val="001149CD"/>
    <w:rsid w:val="00115717"/>
    <w:rsid w:val="00116B91"/>
    <w:rsid w:val="00117BB0"/>
    <w:rsid w:val="00121E2F"/>
    <w:rsid w:val="00122842"/>
    <w:rsid w:val="001235D8"/>
    <w:rsid w:val="001277B9"/>
    <w:rsid w:val="00130055"/>
    <w:rsid w:val="00131885"/>
    <w:rsid w:val="001345CD"/>
    <w:rsid w:val="00134A21"/>
    <w:rsid w:val="00136F0C"/>
    <w:rsid w:val="00140712"/>
    <w:rsid w:val="00140763"/>
    <w:rsid w:val="00140FEE"/>
    <w:rsid w:val="001451F8"/>
    <w:rsid w:val="001460CC"/>
    <w:rsid w:val="001475FF"/>
    <w:rsid w:val="0015037B"/>
    <w:rsid w:val="001511FF"/>
    <w:rsid w:val="00153FBB"/>
    <w:rsid w:val="001545F2"/>
    <w:rsid w:val="00155E88"/>
    <w:rsid w:val="00156FE4"/>
    <w:rsid w:val="0016088B"/>
    <w:rsid w:val="00162E77"/>
    <w:rsid w:val="00163F37"/>
    <w:rsid w:val="00164566"/>
    <w:rsid w:val="00166778"/>
    <w:rsid w:val="0016688A"/>
    <w:rsid w:val="00166C08"/>
    <w:rsid w:val="00166F90"/>
    <w:rsid w:val="00171C8E"/>
    <w:rsid w:val="00172307"/>
    <w:rsid w:val="001737B6"/>
    <w:rsid w:val="001744C6"/>
    <w:rsid w:val="0017465F"/>
    <w:rsid w:val="00174B44"/>
    <w:rsid w:val="00174BCD"/>
    <w:rsid w:val="00174CC3"/>
    <w:rsid w:val="001756EC"/>
    <w:rsid w:val="0017576B"/>
    <w:rsid w:val="00176C00"/>
    <w:rsid w:val="00176EBE"/>
    <w:rsid w:val="001773AA"/>
    <w:rsid w:val="0018096F"/>
    <w:rsid w:val="00180CA9"/>
    <w:rsid w:val="001819E6"/>
    <w:rsid w:val="00183B61"/>
    <w:rsid w:val="00186318"/>
    <w:rsid w:val="00186873"/>
    <w:rsid w:val="001868CB"/>
    <w:rsid w:val="00187669"/>
    <w:rsid w:val="00193436"/>
    <w:rsid w:val="00195B12"/>
    <w:rsid w:val="001A3FBA"/>
    <w:rsid w:val="001A4F9E"/>
    <w:rsid w:val="001A5EDF"/>
    <w:rsid w:val="001A6C86"/>
    <w:rsid w:val="001B1490"/>
    <w:rsid w:val="001B4B76"/>
    <w:rsid w:val="001C0418"/>
    <w:rsid w:val="001C0F2A"/>
    <w:rsid w:val="001C1070"/>
    <w:rsid w:val="001C14A1"/>
    <w:rsid w:val="001C2541"/>
    <w:rsid w:val="001C38B9"/>
    <w:rsid w:val="001C7617"/>
    <w:rsid w:val="001D7D8D"/>
    <w:rsid w:val="001E04F8"/>
    <w:rsid w:val="001E15B0"/>
    <w:rsid w:val="001E26E8"/>
    <w:rsid w:val="001E42A6"/>
    <w:rsid w:val="001E6FCC"/>
    <w:rsid w:val="001E7445"/>
    <w:rsid w:val="001F0F6E"/>
    <w:rsid w:val="001F4E3D"/>
    <w:rsid w:val="001F7970"/>
    <w:rsid w:val="0020145F"/>
    <w:rsid w:val="00203609"/>
    <w:rsid w:val="00204D9D"/>
    <w:rsid w:val="0021377C"/>
    <w:rsid w:val="00217AD5"/>
    <w:rsid w:val="00220B63"/>
    <w:rsid w:val="002218BC"/>
    <w:rsid w:val="002219B5"/>
    <w:rsid w:val="0022226D"/>
    <w:rsid w:val="002308A9"/>
    <w:rsid w:val="00230D29"/>
    <w:rsid w:val="00231FA3"/>
    <w:rsid w:val="00232336"/>
    <w:rsid w:val="00234F94"/>
    <w:rsid w:val="00235D03"/>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4176"/>
    <w:rsid w:val="0025469C"/>
    <w:rsid w:val="00255530"/>
    <w:rsid w:val="00255C32"/>
    <w:rsid w:val="0025666D"/>
    <w:rsid w:val="00257944"/>
    <w:rsid w:val="002608F3"/>
    <w:rsid w:val="0026329B"/>
    <w:rsid w:val="00265131"/>
    <w:rsid w:val="0026599C"/>
    <w:rsid w:val="002664F3"/>
    <w:rsid w:val="002731EF"/>
    <w:rsid w:val="0027585A"/>
    <w:rsid w:val="002775DB"/>
    <w:rsid w:val="002817E1"/>
    <w:rsid w:val="0028237E"/>
    <w:rsid w:val="00283D6F"/>
    <w:rsid w:val="00285F67"/>
    <w:rsid w:val="00291763"/>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C0EC8"/>
    <w:rsid w:val="002C240B"/>
    <w:rsid w:val="002C3C67"/>
    <w:rsid w:val="002C429F"/>
    <w:rsid w:val="002C5E52"/>
    <w:rsid w:val="002C601A"/>
    <w:rsid w:val="002C69A4"/>
    <w:rsid w:val="002D4C10"/>
    <w:rsid w:val="002D5CC3"/>
    <w:rsid w:val="002D660A"/>
    <w:rsid w:val="002E0DC9"/>
    <w:rsid w:val="002E2644"/>
    <w:rsid w:val="002E3213"/>
    <w:rsid w:val="002E3647"/>
    <w:rsid w:val="002E4494"/>
    <w:rsid w:val="002E58CF"/>
    <w:rsid w:val="002E6FDE"/>
    <w:rsid w:val="002E7ACF"/>
    <w:rsid w:val="002F0CDA"/>
    <w:rsid w:val="002F1660"/>
    <w:rsid w:val="002F1B2A"/>
    <w:rsid w:val="002F1B4B"/>
    <w:rsid w:val="002F1C7B"/>
    <w:rsid w:val="002F3682"/>
    <w:rsid w:val="002F3ADD"/>
    <w:rsid w:val="002F3CE6"/>
    <w:rsid w:val="002F6282"/>
    <w:rsid w:val="002F63F8"/>
    <w:rsid w:val="002F7417"/>
    <w:rsid w:val="003028B3"/>
    <w:rsid w:val="00304B4E"/>
    <w:rsid w:val="00306B1D"/>
    <w:rsid w:val="003071CD"/>
    <w:rsid w:val="00307A87"/>
    <w:rsid w:val="0031179D"/>
    <w:rsid w:val="00311E77"/>
    <w:rsid w:val="00314985"/>
    <w:rsid w:val="003167AC"/>
    <w:rsid w:val="00316CBD"/>
    <w:rsid w:val="00316E8F"/>
    <w:rsid w:val="00317448"/>
    <w:rsid w:val="003175DC"/>
    <w:rsid w:val="00321AA2"/>
    <w:rsid w:val="00322C58"/>
    <w:rsid w:val="00323C75"/>
    <w:rsid w:val="00327700"/>
    <w:rsid w:val="0033052C"/>
    <w:rsid w:val="003316E9"/>
    <w:rsid w:val="00331CF3"/>
    <w:rsid w:val="00332197"/>
    <w:rsid w:val="00334DE4"/>
    <w:rsid w:val="00336F2C"/>
    <w:rsid w:val="003376CD"/>
    <w:rsid w:val="00337BD8"/>
    <w:rsid w:val="00340B8A"/>
    <w:rsid w:val="003414E7"/>
    <w:rsid w:val="00346350"/>
    <w:rsid w:val="003477B7"/>
    <w:rsid w:val="003479C3"/>
    <w:rsid w:val="00353F0A"/>
    <w:rsid w:val="00354195"/>
    <w:rsid w:val="00354414"/>
    <w:rsid w:val="0035542E"/>
    <w:rsid w:val="00360100"/>
    <w:rsid w:val="00361E70"/>
    <w:rsid w:val="00362202"/>
    <w:rsid w:val="00363E78"/>
    <w:rsid w:val="00364347"/>
    <w:rsid w:val="003643F8"/>
    <w:rsid w:val="0036641E"/>
    <w:rsid w:val="003711BF"/>
    <w:rsid w:val="00371414"/>
    <w:rsid w:val="00372F3C"/>
    <w:rsid w:val="00375D7A"/>
    <w:rsid w:val="003802E7"/>
    <w:rsid w:val="003812D0"/>
    <w:rsid w:val="0038144F"/>
    <w:rsid w:val="00382C86"/>
    <w:rsid w:val="00385105"/>
    <w:rsid w:val="00386023"/>
    <w:rsid w:val="00387C82"/>
    <w:rsid w:val="0039196F"/>
    <w:rsid w:val="00392D01"/>
    <w:rsid w:val="00393B78"/>
    <w:rsid w:val="0039421C"/>
    <w:rsid w:val="00394236"/>
    <w:rsid w:val="00395B3E"/>
    <w:rsid w:val="00396E51"/>
    <w:rsid w:val="0039736B"/>
    <w:rsid w:val="00397F57"/>
    <w:rsid w:val="003A0447"/>
    <w:rsid w:val="003A390C"/>
    <w:rsid w:val="003A3D8A"/>
    <w:rsid w:val="003A4BCC"/>
    <w:rsid w:val="003A5130"/>
    <w:rsid w:val="003A679B"/>
    <w:rsid w:val="003B0615"/>
    <w:rsid w:val="003B0B22"/>
    <w:rsid w:val="003B2BFB"/>
    <w:rsid w:val="003B4D22"/>
    <w:rsid w:val="003C1A72"/>
    <w:rsid w:val="003C1F24"/>
    <w:rsid w:val="003C4CAF"/>
    <w:rsid w:val="003D112A"/>
    <w:rsid w:val="003D3C51"/>
    <w:rsid w:val="003D4159"/>
    <w:rsid w:val="003E18DF"/>
    <w:rsid w:val="003E282E"/>
    <w:rsid w:val="003E3E2D"/>
    <w:rsid w:val="003E4ACB"/>
    <w:rsid w:val="003E5CFB"/>
    <w:rsid w:val="003F2FE7"/>
    <w:rsid w:val="003F5061"/>
    <w:rsid w:val="00401A65"/>
    <w:rsid w:val="0040211C"/>
    <w:rsid w:val="00403355"/>
    <w:rsid w:val="0040653A"/>
    <w:rsid w:val="0041138E"/>
    <w:rsid w:val="00411404"/>
    <w:rsid w:val="00411A4C"/>
    <w:rsid w:val="004134F4"/>
    <w:rsid w:val="00413EE3"/>
    <w:rsid w:val="00421F60"/>
    <w:rsid w:val="0042476E"/>
    <w:rsid w:val="00424E74"/>
    <w:rsid w:val="00426D59"/>
    <w:rsid w:val="00427110"/>
    <w:rsid w:val="0042719D"/>
    <w:rsid w:val="0043016A"/>
    <w:rsid w:val="00440FEB"/>
    <w:rsid w:val="00442163"/>
    <w:rsid w:val="00442565"/>
    <w:rsid w:val="00442A7A"/>
    <w:rsid w:val="00442BF6"/>
    <w:rsid w:val="00443A15"/>
    <w:rsid w:val="00445A11"/>
    <w:rsid w:val="00446C08"/>
    <w:rsid w:val="004476DE"/>
    <w:rsid w:val="00447E7F"/>
    <w:rsid w:val="004506CC"/>
    <w:rsid w:val="0045095D"/>
    <w:rsid w:val="0045097E"/>
    <w:rsid w:val="004513EB"/>
    <w:rsid w:val="00451755"/>
    <w:rsid w:val="00453708"/>
    <w:rsid w:val="00454BEB"/>
    <w:rsid w:val="00454F4B"/>
    <w:rsid w:val="0045550A"/>
    <w:rsid w:val="00457E1D"/>
    <w:rsid w:val="00460436"/>
    <w:rsid w:val="00460DE2"/>
    <w:rsid w:val="00460E43"/>
    <w:rsid w:val="00463560"/>
    <w:rsid w:val="00466612"/>
    <w:rsid w:val="00466861"/>
    <w:rsid w:val="00467AB1"/>
    <w:rsid w:val="004709B0"/>
    <w:rsid w:val="004759DB"/>
    <w:rsid w:val="004778D8"/>
    <w:rsid w:val="004907DA"/>
    <w:rsid w:val="00490AFD"/>
    <w:rsid w:val="0049182B"/>
    <w:rsid w:val="00491B4B"/>
    <w:rsid w:val="00493CF1"/>
    <w:rsid w:val="00494933"/>
    <w:rsid w:val="004965CE"/>
    <w:rsid w:val="00496E13"/>
    <w:rsid w:val="004A0649"/>
    <w:rsid w:val="004A0947"/>
    <w:rsid w:val="004A0ABB"/>
    <w:rsid w:val="004A4BD1"/>
    <w:rsid w:val="004B047B"/>
    <w:rsid w:val="004B2BFB"/>
    <w:rsid w:val="004B2DF4"/>
    <w:rsid w:val="004B3923"/>
    <w:rsid w:val="004B3B5E"/>
    <w:rsid w:val="004B6D7A"/>
    <w:rsid w:val="004B7D92"/>
    <w:rsid w:val="004C20AB"/>
    <w:rsid w:val="004C587A"/>
    <w:rsid w:val="004C6B76"/>
    <w:rsid w:val="004D0515"/>
    <w:rsid w:val="004D099A"/>
    <w:rsid w:val="004D1C9D"/>
    <w:rsid w:val="004D1DA4"/>
    <w:rsid w:val="004E1574"/>
    <w:rsid w:val="004E2AB3"/>
    <w:rsid w:val="004E2C09"/>
    <w:rsid w:val="004E3393"/>
    <w:rsid w:val="004E4A45"/>
    <w:rsid w:val="004E4B6F"/>
    <w:rsid w:val="004E5EC0"/>
    <w:rsid w:val="004E7265"/>
    <w:rsid w:val="004F1527"/>
    <w:rsid w:val="004F307A"/>
    <w:rsid w:val="004F330B"/>
    <w:rsid w:val="004F3ADA"/>
    <w:rsid w:val="004F55C9"/>
    <w:rsid w:val="004F67A9"/>
    <w:rsid w:val="004F73C7"/>
    <w:rsid w:val="00502B32"/>
    <w:rsid w:val="00504F45"/>
    <w:rsid w:val="005117CA"/>
    <w:rsid w:val="005127D3"/>
    <w:rsid w:val="00515DB3"/>
    <w:rsid w:val="00515E9D"/>
    <w:rsid w:val="00516EDD"/>
    <w:rsid w:val="005200CA"/>
    <w:rsid w:val="0052077C"/>
    <w:rsid w:val="00521F1D"/>
    <w:rsid w:val="00525C1B"/>
    <w:rsid w:val="005261C1"/>
    <w:rsid w:val="00532A06"/>
    <w:rsid w:val="005356B5"/>
    <w:rsid w:val="00536754"/>
    <w:rsid w:val="00536B00"/>
    <w:rsid w:val="005378C5"/>
    <w:rsid w:val="00541D29"/>
    <w:rsid w:val="005425D7"/>
    <w:rsid w:val="00542F5A"/>
    <w:rsid w:val="00544623"/>
    <w:rsid w:val="005475F2"/>
    <w:rsid w:val="005505E5"/>
    <w:rsid w:val="00550C7C"/>
    <w:rsid w:val="005516D5"/>
    <w:rsid w:val="00551864"/>
    <w:rsid w:val="00554121"/>
    <w:rsid w:val="005554F5"/>
    <w:rsid w:val="0055555A"/>
    <w:rsid w:val="005563D4"/>
    <w:rsid w:val="00556EAD"/>
    <w:rsid w:val="00557239"/>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4B8E"/>
    <w:rsid w:val="00587C5A"/>
    <w:rsid w:val="00590322"/>
    <w:rsid w:val="005917C1"/>
    <w:rsid w:val="00594800"/>
    <w:rsid w:val="00594B4A"/>
    <w:rsid w:val="005954B1"/>
    <w:rsid w:val="005971C6"/>
    <w:rsid w:val="005A693F"/>
    <w:rsid w:val="005B1168"/>
    <w:rsid w:val="005B1ACA"/>
    <w:rsid w:val="005B40E5"/>
    <w:rsid w:val="005C021F"/>
    <w:rsid w:val="005C0423"/>
    <w:rsid w:val="005C0A6E"/>
    <w:rsid w:val="005C0D2D"/>
    <w:rsid w:val="005C2215"/>
    <w:rsid w:val="005C226C"/>
    <w:rsid w:val="005C2F47"/>
    <w:rsid w:val="005C493F"/>
    <w:rsid w:val="005C532B"/>
    <w:rsid w:val="005C6CD5"/>
    <w:rsid w:val="005C771E"/>
    <w:rsid w:val="005D06C9"/>
    <w:rsid w:val="005D1E0A"/>
    <w:rsid w:val="005D1E7F"/>
    <w:rsid w:val="005D3CEF"/>
    <w:rsid w:val="005D43B8"/>
    <w:rsid w:val="005D5553"/>
    <w:rsid w:val="005D6316"/>
    <w:rsid w:val="005E19C2"/>
    <w:rsid w:val="005E306A"/>
    <w:rsid w:val="005E3622"/>
    <w:rsid w:val="005E56AE"/>
    <w:rsid w:val="005E67EF"/>
    <w:rsid w:val="005E797B"/>
    <w:rsid w:val="005E7A94"/>
    <w:rsid w:val="005F07E9"/>
    <w:rsid w:val="005F1D7F"/>
    <w:rsid w:val="005F5744"/>
    <w:rsid w:val="005F6785"/>
    <w:rsid w:val="006055F4"/>
    <w:rsid w:val="006068F7"/>
    <w:rsid w:val="00610140"/>
    <w:rsid w:val="0061080D"/>
    <w:rsid w:val="00610894"/>
    <w:rsid w:val="0061200D"/>
    <w:rsid w:val="006130EE"/>
    <w:rsid w:val="00615B70"/>
    <w:rsid w:val="006167DB"/>
    <w:rsid w:val="00617DFF"/>
    <w:rsid w:val="00617E5C"/>
    <w:rsid w:val="00620094"/>
    <w:rsid w:val="00621173"/>
    <w:rsid w:val="0062162D"/>
    <w:rsid w:val="006231CF"/>
    <w:rsid w:val="00623672"/>
    <w:rsid w:val="0062444A"/>
    <w:rsid w:val="00624AEF"/>
    <w:rsid w:val="0062659E"/>
    <w:rsid w:val="00626DAC"/>
    <w:rsid w:val="00627C19"/>
    <w:rsid w:val="00627DE7"/>
    <w:rsid w:val="006314B9"/>
    <w:rsid w:val="00631555"/>
    <w:rsid w:val="00632F4E"/>
    <w:rsid w:val="006331A2"/>
    <w:rsid w:val="006342D9"/>
    <w:rsid w:val="00634658"/>
    <w:rsid w:val="00634787"/>
    <w:rsid w:val="00640C9C"/>
    <w:rsid w:val="00640DD5"/>
    <w:rsid w:val="00643797"/>
    <w:rsid w:val="006439EA"/>
    <w:rsid w:val="00643FBF"/>
    <w:rsid w:val="00644630"/>
    <w:rsid w:val="006451FA"/>
    <w:rsid w:val="0064538F"/>
    <w:rsid w:val="00650430"/>
    <w:rsid w:val="00650582"/>
    <w:rsid w:val="00651AC2"/>
    <w:rsid w:val="00654B02"/>
    <w:rsid w:val="006553D1"/>
    <w:rsid w:val="006575D2"/>
    <w:rsid w:val="00657642"/>
    <w:rsid w:val="00660A13"/>
    <w:rsid w:val="00660C7A"/>
    <w:rsid w:val="00660C8A"/>
    <w:rsid w:val="006619DC"/>
    <w:rsid w:val="006646E8"/>
    <w:rsid w:val="006663D0"/>
    <w:rsid w:val="00670FB1"/>
    <w:rsid w:val="0067215A"/>
    <w:rsid w:val="00673A89"/>
    <w:rsid w:val="0067456E"/>
    <w:rsid w:val="006748EE"/>
    <w:rsid w:val="00675F26"/>
    <w:rsid w:val="00682B7E"/>
    <w:rsid w:val="00690C93"/>
    <w:rsid w:val="0069122E"/>
    <w:rsid w:val="00691D14"/>
    <w:rsid w:val="00694624"/>
    <w:rsid w:val="00695441"/>
    <w:rsid w:val="00695980"/>
    <w:rsid w:val="00696388"/>
    <w:rsid w:val="006970E9"/>
    <w:rsid w:val="006A01A0"/>
    <w:rsid w:val="006A0819"/>
    <w:rsid w:val="006A114D"/>
    <w:rsid w:val="006A5321"/>
    <w:rsid w:val="006A62EE"/>
    <w:rsid w:val="006A687C"/>
    <w:rsid w:val="006A6BFF"/>
    <w:rsid w:val="006B394A"/>
    <w:rsid w:val="006B3D25"/>
    <w:rsid w:val="006B792C"/>
    <w:rsid w:val="006C08FA"/>
    <w:rsid w:val="006C28D8"/>
    <w:rsid w:val="006C2DAB"/>
    <w:rsid w:val="006C6752"/>
    <w:rsid w:val="006C7116"/>
    <w:rsid w:val="006C7B04"/>
    <w:rsid w:val="006D2660"/>
    <w:rsid w:val="006D3873"/>
    <w:rsid w:val="006D3877"/>
    <w:rsid w:val="006D4E8F"/>
    <w:rsid w:val="006D518C"/>
    <w:rsid w:val="006D579F"/>
    <w:rsid w:val="006E0830"/>
    <w:rsid w:val="006E4B4F"/>
    <w:rsid w:val="006E5760"/>
    <w:rsid w:val="006E608A"/>
    <w:rsid w:val="006E621A"/>
    <w:rsid w:val="006E69A7"/>
    <w:rsid w:val="006E6EAA"/>
    <w:rsid w:val="006F060A"/>
    <w:rsid w:val="006F0678"/>
    <w:rsid w:val="006F1B14"/>
    <w:rsid w:val="006F3E36"/>
    <w:rsid w:val="006F49C7"/>
    <w:rsid w:val="006F4DB7"/>
    <w:rsid w:val="006F6733"/>
    <w:rsid w:val="006F7FB2"/>
    <w:rsid w:val="00700166"/>
    <w:rsid w:val="00701D95"/>
    <w:rsid w:val="00703D80"/>
    <w:rsid w:val="007062B8"/>
    <w:rsid w:val="00707B5E"/>
    <w:rsid w:val="007102D3"/>
    <w:rsid w:val="007110AF"/>
    <w:rsid w:val="007147D7"/>
    <w:rsid w:val="00714B74"/>
    <w:rsid w:val="00724C08"/>
    <w:rsid w:val="0072697B"/>
    <w:rsid w:val="00730BC7"/>
    <w:rsid w:val="00730C3D"/>
    <w:rsid w:val="007329E1"/>
    <w:rsid w:val="0073598E"/>
    <w:rsid w:val="007361CC"/>
    <w:rsid w:val="0073715A"/>
    <w:rsid w:val="00737D58"/>
    <w:rsid w:val="00740863"/>
    <w:rsid w:val="0074137C"/>
    <w:rsid w:val="00741DA8"/>
    <w:rsid w:val="00742E84"/>
    <w:rsid w:val="00743683"/>
    <w:rsid w:val="00743A12"/>
    <w:rsid w:val="0075479C"/>
    <w:rsid w:val="00755B70"/>
    <w:rsid w:val="00756248"/>
    <w:rsid w:val="007568C6"/>
    <w:rsid w:val="00756A49"/>
    <w:rsid w:val="007602B9"/>
    <w:rsid w:val="00761D36"/>
    <w:rsid w:val="0076272C"/>
    <w:rsid w:val="007635CE"/>
    <w:rsid w:val="0076678E"/>
    <w:rsid w:val="0076717F"/>
    <w:rsid w:val="0077027E"/>
    <w:rsid w:val="00770759"/>
    <w:rsid w:val="007736DF"/>
    <w:rsid w:val="00773AC4"/>
    <w:rsid w:val="00773B5B"/>
    <w:rsid w:val="00773E0E"/>
    <w:rsid w:val="007807DE"/>
    <w:rsid w:val="00782F5F"/>
    <w:rsid w:val="0078488C"/>
    <w:rsid w:val="00791F5C"/>
    <w:rsid w:val="007929DB"/>
    <w:rsid w:val="00792E5D"/>
    <w:rsid w:val="00795569"/>
    <w:rsid w:val="0079609A"/>
    <w:rsid w:val="007A0574"/>
    <w:rsid w:val="007A0E93"/>
    <w:rsid w:val="007A5255"/>
    <w:rsid w:val="007A770A"/>
    <w:rsid w:val="007A7FCF"/>
    <w:rsid w:val="007B0C0E"/>
    <w:rsid w:val="007B0FB5"/>
    <w:rsid w:val="007B178B"/>
    <w:rsid w:val="007B3A9E"/>
    <w:rsid w:val="007B5780"/>
    <w:rsid w:val="007B5CA1"/>
    <w:rsid w:val="007B7D73"/>
    <w:rsid w:val="007C1E79"/>
    <w:rsid w:val="007C4944"/>
    <w:rsid w:val="007C54CB"/>
    <w:rsid w:val="007D4FF9"/>
    <w:rsid w:val="007E3ED3"/>
    <w:rsid w:val="007E5B14"/>
    <w:rsid w:val="007E7320"/>
    <w:rsid w:val="007E76B7"/>
    <w:rsid w:val="007F04AE"/>
    <w:rsid w:val="007F1968"/>
    <w:rsid w:val="007F34A5"/>
    <w:rsid w:val="007F58C3"/>
    <w:rsid w:val="007F590E"/>
    <w:rsid w:val="007F5A38"/>
    <w:rsid w:val="007F5D12"/>
    <w:rsid w:val="007F67C3"/>
    <w:rsid w:val="0080028D"/>
    <w:rsid w:val="0080052B"/>
    <w:rsid w:val="00805C12"/>
    <w:rsid w:val="0080666E"/>
    <w:rsid w:val="00811606"/>
    <w:rsid w:val="00811FA7"/>
    <w:rsid w:val="008129B2"/>
    <w:rsid w:val="00813396"/>
    <w:rsid w:val="008155BA"/>
    <w:rsid w:val="008162B7"/>
    <w:rsid w:val="00816313"/>
    <w:rsid w:val="00816C0F"/>
    <w:rsid w:val="00817FEC"/>
    <w:rsid w:val="00822038"/>
    <w:rsid w:val="00822897"/>
    <w:rsid w:val="008231D2"/>
    <w:rsid w:val="00823A4E"/>
    <w:rsid w:val="00823E2B"/>
    <w:rsid w:val="00826AE7"/>
    <w:rsid w:val="00826F0B"/>
    <w:rsid w:val="008339F4"/>
    <w:rsid w:val="00833A07"/>
    <w:rsid w:val="00835434"/>
    <w:rsid w:val="00836176"/>
    <w:rsid w:val="00837DF2"/>
    <w:rsid w:val="00842094"/>
    <w:rsid w:val="0084463F"/>
    <w:rsid w:val="0084528D"/>
    <w:rsid w:val="00850A64"/>
    <w:rsid w:val="00855A46"/>
    <w:rsid w:val="008564EA"/>
    <w:rsid w:val="00857079"/>
    <w:rsid w:val="00860631"/>
    <w:rsid w:val="008636F9"/>
    <w:rsid w:val="00865CE8"/>
    <w:rsid w:val="008664EB"/>
    <w:rsid w:val="00870469"/>
    <w:rsid w:val="00873466"/>
    <w:rsid w:val="008741C2"/>
    <w:rsid w:val="00874DE9"/>
    <w:rsid w:val="00875F25"/>
    <w:rsid w:val="0087715C"/>
    <w:rsid w:val="00877D3C"/>
    <w:rsid w:val="00882E60"/>
    <w:rsid w:val="008845A9"/>
    <w:rsid w:val="008860FC"/>
    <w:rsid w:val="00886D3A"/>
    <w:rsid w:val="008874C1"/>
    <w:rsid w:val="00890513"/>
    <w:rsid w:val="0089070C"/>
    <w:rsid w:val="00890B68"/>
    <w:rsid w:val="00891094"/>
    <w:rsid w:val="0089260E"/>
    <w:rsid w:val="00892D49"/>
    <w:rsid w:val="008932A3"/>
    <w:rsid w:val="00893CB8"/>
    <w:rsid w:val="00894FB2"/>
    <w:rsid w:val="00895BD8"/>
    <w:rsid w:val="0089655B"/>
    <w:rsid w:val="00896D03"/>
    <w:rsid w:val="008972D1"/>
    <w:rsid w:val="00897BC8"/>
    <w:rsid w:val="008A0838"/>
    <w:rsid w:val="008A13E7"/>
    <w:rsid w:val="008A3F35"/>
    <w:rsid w:val="008A581A"/>
    <w:rsid w:val="008A5F7F"/>
    <w:rsid w:val="008A63E2"/>
    <w:rsid w:val="008A6630"/>
    <w:rsid w:val="008A6DB9"/>
    <w:rsid w:val="008A7D83"/>
    <w:rsid w:val="008B0154"/>
    <w:rsid w:val="008B1963"/>
    <w:rsid w:val="008B20D0"/>
    <w:rsid w:val="008B24F2"/>
    <w:rsid w:val="008B2769"/>
    <w:rsid w:val="008B37F0"/>
    <w:rsid w:val="008B3E4E"/>
    <w:rsid w:val="008B41BC"/>
    <w:rsid w:val="008B4702"/>
    <w:rsid w:val="008B65B4"/>
    <w:rsid w:val="008C0F54"/>
    <w:rsid w:val="008C1C56"/>
    <w:rsid w:val="008C5503"/>
    <w:rsid w:val="008C5726"/>
    <w:rsid w:val="008C798A"/>
    <w:rsid w:val="008D1C86"/>
    <w:rsid w:val="008D1F55"/>
    <w:rsid w:val="008D6371"/>
    <w:rsid w:val="008E1296"/>
    <w:rsid w:val="008E270A"/>
    <w:rsid w:val="008E72E3"/>
    <w:rsid w:val="008F4B7D"/>
    <w:rsid w:val="008F4B82"/>
    <w:rsid w:val="00903125"/>
    <w:rsid w:val="009130AF"/>
    <w:rsid w:val="00913825"/>
    <w:rsid w:val="009141C1"/>
    <w:rsid w:val="009148CA"/>
    <w:rsid w:val="00914EA8"/>
    <w:rsid w:val="0091664E"/>
    <w:rsid w:val="009169A4"/>
    <w:rsid w:val="009170B7"/>
    <w:rsid w:val="00920236"/>
    <w:rsid w:val="009219D9"/>
    <w:rsid w:val="0092287E"/>
    <w:rsid w:val="00922AF7"/>
    <w:rsid w:val="0092347C"/>
    <w:rsid w:val="0092472D"/>
    <w:rsid w:val="009255E9"/>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5E7"/>
    <w:rsid w:val="0094654A"/>
    <w:rsid w:val="0094736B"/>
    <w:rsid w:val="0095004D"/>
    <w:rsid w:val="009515AA"/>
    <w:rsid w:val="00951DAA"/>
    <w:rsid w:val="009524D9"/>
    <w:rsid w:val="00952AF7"/>
    <w:rsid w:val="00952C1C"/>
    <w:rsid w:val="00953DDB"/>
    <w:rsid w:val="00955094"/>
    <w:rsid w:val="0095772B"/>
    <w:rsid w:val="00960B49"/>
    <w:rsid w:val="009648C3"/>
    <w:rsid w:val="00964DD4"/>
    <w:rsid w:val="009669F1"/>
    <w:rsid w:val="00966BA6"/>
    <w:rsid w:val="0096732C"/>
    <w:rsid w:val="009675A9"/>
    <w:rsid w:val="009714E6"/>
    <w:rsid w:val="00971553"/>
    <w:rsid w:val="009717A1"/>
    <w:rsid w:val="009774D1"/>
    <w:rsid w:val="00977737"/>
    <w:rsid w:val="00981C70"/>
    <w:rsid w:val="00982654"/>
    <w:rsid w:val="00982B60"/>
    <w:rsid w:val="009878F0"/>
    <w:rsid w:val="00987AB7"/>
    <w:rsid w:val="00987FB6"/>
    <w:rsid w:val="00990761"/>
    <w:rsid w:val="00992467"/>
    <w:rsid w:val="00996664"/>
    <w:rsid w:val="009972A2"/>
    <w:rsid w:val="0099783F"/>
    <w:rsid w:val="009A0B29"/>
    <w:rsid w:val="009A106A"/>
    <w:rsid w:val="009A13D9"/>
    <w:rsid w:val="009A1711"/>
    <w:rsid w:val="009A181B"/>
    <w:rsid w:val="009A36DD"/>
    <w:rsid w:val="009A4508"/>
    <w:rsid w:val="009A6A40"/>
    <w:rsid w:val="009B1B6B"/>
    <w:rsid w:val="009B2A0E"/>
    <w:rsid w:val="009B5606"/>
    <w:rsid w:val="009B603A"/>
    <w:rsid w:val="009B7956"/>
    <w:rsid w:val="009C057C"/>
    <w:rsid w:val="009C0945"/>
    <w:rsid w:val="009C0F33"/>
    <w:rsid w:val="009C1E6B"/>
    <w:rsid w:val="009C4651"/>
    <w:rsid w:val="009C5CDE"/>
    <w:rsid w:val="009C74AB"/>
    <w:rsid w:val="009D26B5"/>
    <w:rsid w:val="009D3151"/>
    <w:rsid w:val="009D5A7B"/>
    <w:rsid w:val="009E013E"/>
    <w:rsid w:val="009E44F2"/>
    <w:rsid w:val="009E4A2E"/>
    <w:rsid w:val="009E4D8D"/>
    <w:rsid w:val="009E6453"/>
    <w:rsid w:val="009F1C9C"/>
    <w:rsid w:val="009F272A"/>
    <w:rsid w:val="009F2830"/>
    <w:rsid w:val="009F3181"/>
    <w:rsid w:val="009F6EB6"/>
    <w:rsid w:val="009F790B"/>
    <w:rsid w:val="009F7EB5"/>
    <w:rsid w:val="00A01E81"/>
    <w:rsid w:val="00A04AD3"/>
    <w:rsid w:val="00A073CB"/>
    <w:rsid w:val="00A07D5A"/>
    <w:rsid w:val="00A11CAC"/>
    <w:rsid w:val="00A14CD4"/>
    <w:rsid w:val="00A223EC"/>
    <w:rsid w:val="00A262DF"/>
    <w:rsid w:val="00A2684A"/>
    <w:rsid w:val="00A27EB6"/>
    <w:rsid w:val="00A30440"/>
    <w:rsid w:val="00A325AB"/>
    <w:rsid w:val="00A41316"/>
    <w:rsid w:val="00A45F59"/>
    <w:rsid w:val="00A500A1"/>
    <w:rsid w:val="00A5218C"/>
    <w:rsid w:val="00A52469"/>
    <w:rsid w:val="00A52E02"/>
    <w:rsid w:val="00A57EA4"/>
    <w:rsid w:val="00A60213"/>
    <w:rsid w:val="00A6114B"/>
    <w:rsid w:val="00A615E8"/>
    <w:rsid w:val="00A61C0E"/>
    <w:rsid w:val="00A645D8"/>
    <w:rsid w:val="00A670FB"/>
    <w:rsid w:val="00A72343"/>
    <w:rsid w:val="00A730DC"/>
    <w:rsid w:val="00A75687"/>
    <w:rsid w:val="00A76F02"/>
    <w:rsid w:val="00A77399"/>
    <w:rsid w:val="00A77981"/>
    <w:rsid w:val="00A82B9E"/>
    <w:rsid w:val="00A841DE"/>
    <w:rsid w:val="00A8559D"/>
    <w:rsid w:val="00A931A3"/>
    <w:rsid w:val="00A9408A"/>
    <w:rsid w:val="00A96795"/>
    <w:rsid w:val="00A96A6A"/>
    <w:rsid w:val="00A96E27"/>
    <w:rsid w:val="00A97343"/>
    <w:rsid w:val="00AA1DAF"/>
    <w:rsid w:val="00AA236F"/>
    <w:rsid w:val="00AA2E90"/>
    <w:rsid w:val="00AA37BC"/>
    <w:rsid w:val="00AA651C"/>
    <w:rsid w:val="00AA7A1B"/>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4E03"/>
    <w:rsid w:val="00AE53C0"/>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97B"/>
    <w:rsid w:val="00B13FE9"/>
    <w:rsid w:val="00B14691"/>
    <w:rsid w:val="00B162CD"/>
    <w:rsid w:val="00B23279"/>
    <w:rsid w:val="00B2531F"/>
    <w:rsid w:val="00B2585A"/>
    <w:rsid w:val="00B25898"/>
    <w:rsid w:val="00B25B77"/>
    <w:rsid w:val="00B2629D"/>
    <w:rsid w:val="00B31011"/>
    <w:rsid w:val="00B316F7"/>
    <w:rsid w:val="00B34926"/>
    <w:rsid w:val="00B370B2"/>
    <w:rsid w:val="00B401C1"/>
    <w:rsid w:val="00B40456"/>
    <w:rsid w:val="00B40AF8"/>
    <w:rsid w:val="00B426C6"/>
    <w:rsid w:val="00B432FD"/>
    <w:rsid w:val="00B44219"/>
    <w:rsid w:val="00B45F40"/>
    <w:rsid w:val="00B524BD"/>
    <w:rsid w:val="00B53037"/>
    <w:rsid w:val="00B5315D"/>
    <w:rsid w:val="00B55FC5"/>
    <w:rsid w:val="00B60178"/>
    <w:rsid w:val="00B60EC4"/>
    <w:rsid w:val="00B60ED6"/>
    <w:rsid w:val="00B61DE8"/>
    <w:rsid w:val="00B634D4"/>
    <w:rsid w:val="00B650A2"/>
    <w:rsid w:val="00B65667"/>
    <w:rsid w:val="00B66CC0"/>
    <w:rsid w:val="00B7053E"/>
    <w:rsid w:val="00B71FC4"/>
    <w:rsid w:val="00B748E1"/>
    <w:rsid w:val="00B767AE"/>
    <w:rsid w:val="00B76BDF"/>
    <w:rsid w:val="00B76D6D"/>
    <w:rsid w:val="00B80D2B"/>
    <w:rsid w:val="00B82B8B"/>
    <w:rsid w:val="00B84330"/>
    <w:rsid w:val="00B875CA"/>
    <w:rsid w:val="00B87F2A"/>
    <w:rsid w:val="00B94E68"/>
    <w:rsid w:val="00B97C78"/>
    <w:rsid w:val="00BA05F4"/>
    <w:rsid w:val="00BA13A5"/>
    <w:rsid w:val="00BA1CC0"/>
    <w:rsid w:val="00BA5F96"/>
    <w:rsid w:val="00BA7A2C"/>
    <w:rsid w:val="00BB096A"/>
    <w:rsid w:val="00BB142E"/>
    <w:rsid w:val="00BB226D"/>
    <w:rsid w:val="00BB24FD"/>
    <w:rsid w:val="00BB34CA"/>
    <w:rsid w:val="00BB3B00"/>
    <w:rsid w:val="00BB3B04"/>
    <w:rsid w:val="00BB5FF4"/>
    <w:rsid w:val="00BC00A7"/>
    <w:rsid w:val="00BC04D5"/>
    <w:rsid w:val="00BC4BE2"/>
    <w:rsid w:val="00BC6211"/>
    <w:rsid w:val="00BC7E45"/>
    <w:rsid w:val="00BD0BA8"/>
    <w:rsid w:val="00BD1AF4"/>
    <w:rsid w:val="00BD32FB"/>
    <w:rsid w:val="00BD3693"/>
    <w:rsid w:val="00BD3FA1"/>
    <w:rsid w:val="00BD7CA7"/>
    <w:rsid w:val="00BE1260"/>
    <w:rsid w:val="00BE3AB7"/>
    <w:rsid w:val="00BE41AA"/>
    <w:rsid w:val="00BE4FA9"/>
    <w:rsid w:val="00BE7F85"/>
    <w:rsid w:val="00BF0B27"/>
    <w:rsid w:val="00BF33EF"/>
    <w:rsid w:val="00BF363C"/>
    <w:rsid w:val="00BF5CE2"/>
    <w:rsid w:val="00BF72BA"/>
    <w:rsid w:val="00C01B26"/>
    <w:rsid w:val="00C01B39"/>
    <w:rsid w:val="00C01ECD"/>
    <w:rsid w:val="00C02783"/>
    <w:rsid w:val="00C04D0B"/>
    <w:rsid w:val="00C05052"/>
    <w:rsid w:val="00C07579"/>
    <w:rsid w:val="00C10F0A"/>
    <w:rsid w:val="00C12EFE"/>
    <w:rsid w:val="00C14310"/>
    <w:rsid w:val="00C1528C"/>
    <w:rsid w:val="00C17C3A"/>
    <w:rsid w:val="00C228CA"/>
    <w:rsid w:val="00C22EE7"/>
    <w:rsid w:val="00C253A1"/>
    <w:rsid w:val="00C27776"/>
    <w:rsid w:val="00C27961"/>
    <w:rsid w:val="00C27E06"/>
    <w:rsid w:val="00C309DE"/>
    <w:rsid w:val="00C3450D"/>
    <w:rsid w:val="00C35B2B"/>
    <w:rsid w:val="00C36857"/>
    <w:rsid w:val="00C40E95"/>
    <w:rsid w:val="00C41006"/>
    <w:rsid w:val="00C45B53"/>
    <w:rsid w:val="00C4790A"/>
    <w:rsid w:val="00C47DFF"/>
    <w:rsid w:val="00C50538"/>
    <w:rsid w:val="00C50E71"/>
    <w:rsid w:val="00C54129"/>
    <w:rsid w:val="00C56AE3"/>
    <w:rsid w:val="00C610B0"/>
    <w:rsid w:val="00C6227C"/>
    <w:rsid w:val="00C66CC9"/>
    <w:rsid w:val="00C675E2"/>
    <w:rsid w:val="00C70F5B"/>
    <w:rsid w:val="00C737DC"/>
    <w:rsid w:val="00C742C8"/>
    <w:rsid w:val="00C82545"/>
    <w:rsid w:val="00C828B0"/>
    <w:rsid w:val="00C83561"/>
    <w:rsid w:val="00C84709"/>
    <w:rsid w:val="00C879D3"/>
    <w:rsid w:val="00C90043"/>
    <w:rsid w:val="00C90C6F"/>
    <w:rsid w:val="00C91D90"/>
    <w:rsid w:val="00C91F35"/>
    <w:rsid w:val="00C9379B"/>
    <w:rsid w:val="00C937ED"/>
    <w:rsid w:val="00C94CE9"/>
    <w:rsid w:val="00C9694F"/>
    <w:rsid w:val="00C978AB"/>
    <w:rsid w:val="00CA07E7"/>
    <w:rsid w:val="00CA112C"/>
    <w:rsid w:val="00CA2DA3"/>
    <w:rsid w:val="00CA2F0C"/>
    <w:rsid w:val="00CA4851"/>
    <w:rsid w:val="00CA74AC"/>
    <w:rsid w:val="00CB0612"/>
    <w:rsid w:val="00CB10F1"/>
    <w:rsid w:val="00CB1375"/>
    <w:rsid w:val="00CB2772"/>
    <w:rsid w:val="00CB3DAF"/>
    <w:rsid w:val="00CB60B6"/>
    <w:rsid w:val="00CB629F"/>
    <w:rsid w:val="00CB6A6E"/>
    <w:rsid w:val="00CB6EF4"/>
    <w:rsid w:val="00CC118C"/>
    <w:rsid w:val="00CC1A11"/>
    <w:rsid w:val="00CC1BC1"/>
    <w:rsid w:val="00CC6B03"/>
    <w:rsid w:val="00CD0AEC"/>
    <w:rsid w:val="00CD10EB"/>
    <w:rsid w:val="00CD1E76"/>
    <w:rsid w:val="00CD2441"/>
    <w:rsid w:val="00CD32D6"/>
    <w:rsid w:val="00CD3C44"/>
    <w:rsid w:val="00CD3F6E"/>
    <w:rsid w:val="00CD40BC"/>
    <w:rsid w:val="00CD4B81"/>
    <w:rsid w:val="00CD643D"/>
    <w:rsid w:val="00CE2A21"/>
    <w:rsid w:val="00CE3F54"/>
    <w:rsid w:val="00CE3F8F"/>
    <w:rsid w:val="00CE4A3E"/>
    <w:rsid w:val="00CE6CB2"/>
    <w:rsid w:val="00CF06AE"/>
    <w:rsid w:val="00CF10AF"/>
    <w:rsid w:val="00CF321C"/>
    <w:rsid w:val="00CF3496"/>
    <w:rsid w:val="00CF4274"/>
    <w:rsid w:val="00CF5A27"/>
    <w:rsid w:val="00CF5CE8"/>
    <w:rsid w:val="00CF6B8A"/>
    <w:rsid w:val="00D01E9D"/>
    <w:rsid w:val="00D02679"/>
    <w:rsid w:val="00D0278F"/>
    <w:rsid w:val="00D038EC"/>
    <w:rsid w:val="00D03F0F"/>
    <w:rsid w:val="00D05474"/>
    <w:rsid w:val="00D20BA9"/>
    <w:rsid w:val="00D22BFC"/>
    <w:rsid w:val="00D22D6A"/>
    <w:rsid w:val="00D24C85"/>
    <w:rsid w:val="00D30343"/>
    <w:rsid w:val="00D31166"/>
    <w:rsid w:val="00D325EC"/>
    <w:rsid w:val="00D36137"/>
    <w:rsid w:val="00D3650D"/>
    <w:rsid w:val="00D36CBD"/>
    <w:rsid w:val="00D377A4"/>
    <w:rsid w:val="00D42A9D"/>
    <w:rsid w:val="00D44971"/>
    <w:rsid w:val="00D465D5"/>
    <w:rsid w:val="00D501BC"/>
    <w:rsid w:val="00D5240C"/>
    <w:rsid w:val="00D54945"/>
    <w:rsid w:val="00D55969"/>
    <w:rsid w:val="00D567AB"/>
    <w:rsid w:val="00D571C6"/>
    <w:rsid w:val="00D5786C"/>
    <w:rsid w:val="00D57C94"/>
    <w:rsid w:val="00D57F60"/>
    <w:rsid w:val="00D6175A"/>
    <w:rsid w:val="00D644B7"/>
    <w:rsid w:val="00D647F2"/>
    <w:rsid w:val="00D651FB"/>
    <w:rsid w:val="00D67485"/>
    <w:rsid w:val="00D7058E"/>
    <w:rsid w:val="00D708F8"/>
    <w:rsid w:val="00D70F48"/>
    <w:rsid w:val="00D74F6D"/>
    <w:rsid w:val="00D75AA6"/>
    <w:rsid w:val="00D76538"/>
    <w:rsid w:val="00D76D32"/>
    <w:rsid w:val="00D80300"/>
    <w:rsid w:val="00D839AA"/>
    <w:rsid w:val="00D848EE"/>
    <w:rsid w:val="00D851AB"/>
    <w:rsid w:val="00D8538D"/>
    <w:rsid w:val="00D92313"/>
    <w:rsid w:val="00D928C8"/>
    <w:rsid w:val="00D93550"/>
    <w:rsid w:val="00D9587F"/>
    <w:rsid w:val="00DA23B0"/>
    <w:rsid w:val="00DA394E"/>
    <w:rsid w:val="00DA3959"/>
    <w:rsid w:val="00DA5A96"/>
    <w:rsid w:val="00DB12EF"/>
    <w:rsid w:val="00DB663A"/>
    <w:rsid w:val="00DC072B"/>
    <w:rsid w:val="00DC1920"/>
    <w:rsid w:val="00DC79F9"/>
    <w:rsid w:val="00DD1D52"/>
    <w:rsid w:val="00DD257B"/>
    <w:rsid w:val="00DE2554"/>
    <w:rsid w:val="00DE61F3"/>
    <w:rsid w:val="00DE7623"/>
    <w:rsid w:val="00DF39E8"/>
    <w:rsid w:val="00DF482B"/>
    <w:rsid w:val="00DF67C7"/>
    <w:rsid w:val="00DF7314"/>
    <w:rsid w:val="00E04D6B"/>
    <w:rsid w:val="00E13679"/>
    <w:rsid w:val="00E14E12"/>
    <w:rsid w:val="00E171BC"/>
    <w:rsid w:val="00E2212C"/>
    <w:rsid w:val="00E2306A"/>
    <w:rsid w:val="00E23CA2"/>
    <w:rsid w:val="00E24F81"/>
    <w:rsid w:val="00E2557A"/>
    <w:rsid w:val="00E2559D"/>
    <w:rsid w:val="00E27261"/>
    <w:rsid w:val="00E274D8"/>
    <w:rsid w:val="00E33ACE"/>
    <w:rsid w:val="00E342CC"/>
    <w:rsid w:val="00E36C66"/>
    <w:rsid w:val="00E37950"/>
    <w:rsid w:val="00E37A8F"/>
    <w:rsid w:val="00E40C93"/>
    <w:rsid w:val="00E4247E"/>
    <w:rsid w:val="00E42B68"/>
    <w:rsid w:val="00E43703"/>
    <w:rsid w:val="00E43C26"/>
    <w:rsid w:val="00E43FA8"/>
    <w:rsid w:val="00E44639"/>
    <w:rsid w:val="00E46574"/>
    <w:rsid w:val="00E46AEC"/>
    <w:rsid w:val="00E46CEA"/>
    <w:rsid w:val="00E4702E"/>
    <w:rsid w:val="00E474F0"/>
    <w:rsid w:val="00E47A9A"/>
    <w:rsid w:val="00E50993"/>
    <w:rsid w:val="00E516F3"/>
    <w:rsid w:val="00E528F7"/>
    <w:rsid w:val="00E528F9"/>
    <w:rsid w:val="00E536DC"/>
    <w:rsid w:val="00E55684"/>
    <w:rsid w:val="00E602D0"/>
    <w:rsid w:val="00E603C8"/>
    <w:rsid w:val="00E64DB8"/>
    <w:rsid w:val="00E64EB9"/>
    <w:rsid w:val="00E64F4D"/>
    <w:rsid w:val="00E6613F"/>
    <w:rsid w:val="00E6770F"/>
    <w:rsid w:val="00E71440"/>
    <w:rsid w:val="00E72196"/>
    <w:rsid w:val="00E72615"/>
    <w:rsid w:val="00E736EF"/>
    <w:rsid w:val="00E742A9"/>
    <w:rsid w:val="00E742C0"/>
    <w:rsid w:val="00E753C8"/>
    <w:rsid w:val="00E75858"/>
    <w:rsid w:val="00E75ECD"/>
    <w:rsid w:val="00E76F05"/>
    <w:rsid w:val="00E848E3"/>
    <w:rsid w:val="00E86A90"/>
    <w:rsid w:val="00E90A2C"/>
    <w:rsid w:val="00E9112A"/>
    <w:rsid w:val="00E94C91"/>
    <w:rsid w:val="00E95F9A"/>
    <w:rsid w:val="00E976A2"/>
    <w:rsid w:val="00E97CBF"/>
    <w:rsid w:val="00EA58FE"/>
    <w:rsid w:val="00EA6897"/>
    <w:rsid w:val="00EA6EF0"/>
    <w:rsid w:val="00EB0855"/>
    <w:rsid w:val="00EB0FF8"/>
    <w:rsid w:val="00EB1C37"/>
    <w:rsid w:val="00EB3490"/>
    <w:rsid w:val="00EB4F0F"/>
    <w:rsid w:val="00EB6A2E"/>
    <w:rsid w:val="00EC41C3"/>
    <w:rsid w:val="00EC7DBC"/>
    <w:rsid w:val="00EC7F7D"/>
    <w:rsid w:val="00ED2780"/>
    <w:rsid w:val="00ED3258"/>
    <w:rsid w:val="00ED3491"/>
    <w:rsid w:val="00ED6446"/>
    <w:rsid w:val="00ED688E"/>
    <w:rsid w:val="00EE17DC"/>
    <w:rsid w:val="00EE18B8"/>
    <w:rsid w:val="00EE2870"/>
    <w:rsid w:val="00EE48CC"/>
    <w:rsid w:val="00EE617F"/>
    <w:rsid w:val="00EF008E"/>
    <w:rsid w:val="00EF1834"/>
    <w:rsid w:val="00EF1A73"/>
    <w:rsid w:val="00EF589B"/>
    <w:rsid w:val="00EF66C8"/>
    <w:rsid w:val="00EF6CF6"/>
    <w:rsid w:val="00EF7D2D"/>
    <w:rsid w:val="00F02B3A"/>
    <w:rsid w:val="00F03302"/>
    <w:rsid w:val="00F03716"/>
    <w:rsid w:val="00F048C4"/>
    <w:rsid w:val="00F04BC9"/>
    <w:rsid w:val="00F11B2B"/>
    <w:rsid w:val="00F14BBD"/>
    <w:rsid w:val="00F17A53"/>
    <w:rsid w:val="00F205E9"/>
    <w:rsid w:val="00F20F1B"/>
    <w:rsid w:val="00F24605"/>
    <w:rsid w:val="00F253B2"/>
    <w:rsid w:val="00F25470"/>
    <w:rsid w:val="00F27237"/>
    <w:rsid w:val="00F277D7"/>
    <w:rsid w:val="00F2792C"/>
    <w:rsid w:val="00F27E28"/>
    <w:rsid w:val="00F307A2"/>
    <w:rsid w:val="00F30EF8"/>
    <w:rsid w:val="00F3248D"/>
    <w:rsid w:val="00F32C8E"/>
    <w:rsid w:val="00F333DD"/>
    <w:rsid w:val="00F34226"/>
    <w:rsid w:val="00F3628D"/>
    <w:rsid w:val="00F363E0"/>
    <w:rsid w:val="00F36E82"/>
    <w:rsid w:val="00F404DF"/>
    <w:rsid w:val="00F417FC"/>
    <w:rsid w:val="00F424B0"/>
    <w:rsid w:val="00F43F3B"/>
    <w:rsid w:val="00F44A8F"/>
    <w:rsid w:val="00F546BC"/>
    <w:rsid w:val="00F60507"/>
    <w:rsid w:val="00F60736"/>
    <w:rsid w:val="00F61C69"/>
    <w:rsid w:val="00F63839"/>
    <w:rsid w:val="00F6459B"/>
    <w:rsid w:val="00F66FF2"/>
    <w:rsid w:val="00F67FB8"/>
    <w:rsid w:val="00F70A8F"/>
    <w:rsid w:val="00F7139A"/>
    <w:rsid w:val="00F719B1"/>
    <w:rsid w:val="00F71D53"/>
    <w:rsid w:val="00F72052"/>
    <w:rsid w:val="00F74174"/>
    <w:rsid w:val="00F75079"/>
    <w:rsid w:val="00F76A99"/>
    <w:rsid w:val="00F77FAF"/>
    <w:rsid w:val="00F80395"/>
    <w:rsid w:val="00F81F49"/>
    <w:rsid w:val="00F8456D"/>
    <w:rsid w:val="00F8763E"/>
    <w:rsid w:val="00F90D02"/>
    <w:rsid w:val="00F92FD1"/>
    <w:rsid w:val="00F93467"/>
    <w:rsid w:val="00F94484"/>
    <w:rsid w:val="00F96716"/>
    <w:rsid w:val="00F97AF0"/>
    <w:rsid w:val="00F97E01"/>
    <w:rsid w:val="00FA1D86"/>
    <w:rsid w:val="00FA283E"/>
    <w:rsid w:val="00FA62A0"/>
    <w:rsid w:val="00FA71AC"/>
    <w:rsid w:val="00FB02AC"/>
    <w:rsid w:val="00FB0F9F"/>
    <w:rsid w:val="00FB4C93"/>
    <w:rsid w:val="00FB745B"/>
    <w:rsid w:val="00FB7EF9"/>
    <w:rsid w:val="00FC013E"/>
    <w:rsid w:val="00FC2844"/>
    <w:rsid w:val="00FC293A"/>
    <w:rsid w:val="00FC3BE2"/>
    <w:rsid w:val="00FC4EEE"/>
    <w:rsid w:val="00FD0160"/>
    <w:rsid w:val="00FD0B0D"/>
    <w:rsid w:val="00FD23DE"/>
    <w:rsid w:val="00FD2C77"/>
    <w:rsid w:val="00FD35EB"/>
    <w:rsid w:val="00FD3700"/>
    <w:rsid w:val="00FD4516"/>
    <w:rsid w:val="00FD4C3E"/>
    <w:rsid w:val="00FD6064"/>
    <w:rsid w:val="00FD6E1A"/>
    <w:rsid w:val="00FE0A5A"/>
    <w:rsid w:val="00FE184D"/>
    <w:rsid w:val="00FE3845"/>
    <w:rsid w:val="00FE4D42"/>
    <w:rsid w:val="00FE5113"/>
    <w:rsid w:val="00FE5B60"/>
    <w:rsid w:val="00FE67AA"/>
    <w:rsid w:val="00FF3086"/>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semiHidden/>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basedOn w:val="Normal"/>
    <w:link w:val="FootnoteTextChar"/>
    <w:uiPriority w:val="99"/>
    <w:semiHidden/>
    <w:unhideWhenUsed/>
    <w:rsid w:val="00D6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semiHidden/>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styleId="UnresolvedMention">
    <w:name w:val="Unresolved Mention"/>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semiHidden/>
    <w:rsid w:val="0011191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tagnifi.com"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fred.stlouisfed.org/series/BAA" TargetMode="External"/><Relationship Id="rId13" Type="http://schemas.openxmlformats.org/officeDocument/2006/relationships/hyperlink" Target="https://fred.stlouisfed.org/series/PPIACO" TargetMode="External"/><Relationship Id="rId18" Type="http://schemas.openxmlformats.org/officeDocument/2006/relationships/hyperlink" Target="https://fred.stlouisfed.org/series/PCE" TargetMode="External"/><Relationship Id="rId3" Type="http://schemas.openxmlformats.org/officeDocument/2006/relationships/hyperlink" Target="https://fred.stlouisfed.org/series/DTWEXBGS" TargetMode="External"/><Relationship Id="rId21" Type="http://schemas.openxmlformats.org/officeDocument/2006/relationships/hyperlink" Target="https://fred.stlouisfed.org/series/VIXCLS" TargetMode="External"/><Relationship Id="rId7" Type="http://schemas.openxmlformats.org/officeDocument/2006/relationships/hyperlink" Target="https://fred.stlouisfed.org/series/DGS10" TargetMode="External"/><Relationship Id="rId12" Type="http://schemas.openxmlformats.org/officeDocument/2006/relationships/hyperlink" Target="https://www.newyorkfed.org/microeconomics/sce" TargetMode="External"/><Relationship Id="rId17" Type="http://schemas.openxmlformats.org/officeDocument/2006/relationships/hyperlink" Target="https://fred.stlouisfed.org/series/SPCS20RSA" TargetMode="External"/><Relationship Id="rId2" Type="http://schemas.openxmlformats.org/officeDocument/2006/relationships/hyperlink" Target="https://covid.cdc.gov/covid-data-tracker/" TargetMode="External"/><Relationship Id="rId16" Type="http://schemas.openxmlformats.org/officeDocument/2006/relationships/hyperlink" Target="https://fred.stlouisfed.org/series/MORTGAGE30US" TargetMode="External"/><Relationship Id="rId20" Type="http://schemas.openxmlformats.org/officeDocument/2006/relationships/hyperlink" Target="https://fred.stlouisfed.org/series/UMCSENT" TargetMode="External"/><Relationship Id="rId1" Type="http://schemas.openxmlformats.org/officeDocument/2006/relationships/hyperlink" Target="https://www.nber.org/research/data/us-business-cycle-expansions-and-contractions" TargetMode="External"/><Relationship Id="rId6" Type="http://schemas.openxmlformats.org/officeDocument/2006/relationships/hyperlink" Target="https://fred.stlouisfed.org/series/FEDFUNDS" TargetMode="External"/><Relationship Id="rId11" Type="http://schemas.openxmlformats.org/officeDocument/2006/relationships/hyperlink" Target="https://fred.stlouisfed.org/series/CPIAUCSL" TargetMode="External"/><Relationship Id="rId24" Type="http://schemas.openxmlformats.org/officeDocument/2006/relationships/hyperlink" Target="https://fred.stlouisfed.org/series/UNRATECTM" TargetMode="External"/><Relationship Id="rId5" Type="http://schemas.openxmlformats.org/officeDocument/2006/relationships/hyperlink" Target="https://fred.stlouisfed.org/series/INDPRO" TargetMode="External"/><Relationship Id="rId15" Type="http://schemas.openxmlformats.org/officeDocument/2006/relationships/hyperlink" Target="https://fred.stlouisfed.org/series/HOUST" TargetMode="External"/><Relationship Id="rId23" Type="http://schemas.openxmlformats.org/officeDocument/2006/relationships/hyperlink" Target="https://fred.stlouisfed.org/series/PCECTPICTM" TargetMode="External"/><Relationship Id="rId10" Type="http://schemas.openxmlformats.org/officeDocument/2006/relationships/hyperlink" Target="https://fred.stlouisfed.org/series/UNRATE" TargetMode="External"/><Relationship Id="rId19" Type="http://schemas.openxmlformats.org/officeDocument/2006/relationships/hyperlink" Target="https://fred.stlouisfed.org/series/ALTSALES" TargetMode="External"/><Relationship Id="rId4" Type="http://schemas.openxmlformats.org/officeDocument/2006/relationships/hyperlink" Target="https://fred.stlouisfed.org/series/GDPC1" TargetMode="External"/><Relationship Id="rId9" Type="http://schemas.openxmlformats.org/officeDocument/2006/relationships/hyperlink" Target="https://fred.stlouisfed.org/series/PAYEMS" TargetMode="External"/><Relationship Id="rId14" Type="http://schemas.openxmlformats.org/officeDocument/2006/relationships/hyperlink" Target="https://fred.stlouisfed.org/series/MCOILWTICO" TargetMode="External"/><Relationship Id="rId22" Type="http://schemas.openxmlformats.org/officeDocument/2006/relationships/hyperlink" Target="https://fred.stlouisfed.org/series/GDPC1C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5D0FE-261B-0D4D-90C2-18A6E4BF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2736</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3</cp:revision>
  <cp:lastPrinted>2021-05-05T13:24:00Z</cp:lastPrinted>
  <dcterms:created xsi:type="dcterms:W3CDTF">2021-05-05T13:23:00Z</dcterms:created>
  <dcterms:modified xsi:type="dcterms:W3CDTF">2021-05-05T13:24:00Z</dcterms:modified>
</cp:coreProperties>
</file>