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25127297"/>
        <w:docPartObj>
          <w:docPartGallery w:val="Cover Pages"/>
          <w:docPartUnique/>
        </w:docPartObj>
      </w:sdtPr>
      <w:sdtEndPr/>
      <w:sdtContent>
        <w:p w14:paraId="2ABEC867" w14:textId="1B3017D2" w:rsidR="000F1648" w:rsidRDefault="008B2769" w:rsidP="002E6FDE">
          <w:pPr>
            <w:jc w:val="right"/>
          </w:pPr>
          <w:r>
            <w:rPr>
              <w:noProof/>
            </w:rPr>
            <w:drawing>
              <wp:inline distT="0" distB="0" distL="0" distR="0" wp14:anchorId="44435E8E" wp14:editId="4A515C24">
                <wp:extent cx="1743075" cy="275242"/>
                <wp:effectExtent l="0" t="0" r="0" b="0"/>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gniFi Large Logo BlackFla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0997" cy="289125"/>
                        </a:xfrm>
                        <a:prstGeom prst="rect">
                          <a:avLst/>
                        </a:prstGeom>
                      </pic:spPr>
                    </pic:pic>
                  </a:graphicData>
                </a:graphic>
              </wp:inline>
            </w:drawing>
          </w:r>
        </w:p>
        <w:p w14:paraId="1F0E9DD8" w14:textId="6A3F039C" w:rsidR="006663D0" w:rsidRDefault="006663D0" w:rsidP="002E6FDE">
          <w:pPr>
            <w:jc w:val="right"/>
          </w:pPr>
        </w:p>
        <w:p w14:paraId="61E7189B" w14:textId="5A4E226B" w:rsidR="006663D0" w:rsidRDefault="00361E70" w:rsidP="00696388">
          <w:pPr>
            <w:jc w:val="right"/>
          </w:pPr>
          <w:r>
            <w:rPr>
              <w:noProof/>
            </w:rPr>
            <w:drawing>
              <wp:inline distT="0" distB="0" distL="0" distR="0" wp14:anchorId="525F52FA" wp14:editId="74E4F75B">
                <wp:extent cx="4324350" cy="4697139"/>
                <wp:effectExtent l="0" t="0" r="0"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667" t="3363" r="2564" b="5829"/>
                        <a:stretch/>
                      </pic:blipFill>
                      <pic:spPr bwMode="auto">
                        <a:xfrm>
                          <a:off x="0" y="0"/>
                          <a:ext cx="4326477" cy="4699449"/>
                        </a:xfrm>
                        <a:prstGeom prst="rect">
                          <a:avLst/>
                        </a:prstGeom>
                        <a:noFill/>
                        <a:ln>
                          <a:noFill/>
                        </a:ln>
                        <a:extLst>
                          <a:ext uri="{53640926-AAD7-44D8-BBD7-CCE9431645EC}">
                            <a14:shadowObscured xmlns:a14="http://schemas.microsoft.com/office/drawing/2010/main"/>
                          </a:ext>
                        </a:extLst>
                      </pic:spPr>
                    </pic:pic>
                  </a:graphicData>
                </a:graphic>
              </wp:inline>
            </w:drawing>
          </w:r>
          <w:r w:rsidR="00987AB7">
            <w:br/>
          </w:r>
        </w:p>
        <w:p w14:paraId="149D5EEE" w14:textId="3BE1B0C0" w:rsidR="00005111" w:rsidRDefault="006663D0" w:rsidP="002E6FDE">
          <w:pPr>
            <w:jc w:val="right"/>
            <w:rPr>
              <w:color w:val="008FD5"/>
              <w:sz w:val="64"/>
              <w:szCs w:val="64"/>
            </w:rPr>
          </w:pPr>
          <w:r w:rsidRPr="006663D0">
            <w:rPr>
              <w:color w:val="008FD5"/>
              <w:sz w:val="64"/>
              <w:szCs w:val="64"/>
            </w:rPr>
            <w:t>QUARTERLY ECONOMIC UPDATE</w:t>
          </w:r>
        </w:p>
        <w:p w14:paraId="7ADB2944" w14:textId="0DF33BD8" w:rsidR="006663D0" w:rsidRDefault="006663D0" w:rsidP="002E6FDE">
          <w:pPr>
            <w:jc w:val="right"/>
            <w:rPr>
              <w:sz w:val="36"/>
              <w:szCs w:val="36"/>
            </w:rPr>
          </w:pPr>
          <w:r w:rsidRPr="006663D0">
            <w:rPr>
              <w:sz w:val="36"/>
              <w:szCs w:val="36"/>
            </w:rPr>
            <w:t xml:space="preserve">For the </w:t>
          </w:r>
          <w:r w:rsidR="00795ECE">
            <w:rPr>
              <w:sz w:val="36"/>
              <w:szCs w:val="36"/>
            </w:rPr>
            <w:t>2</w:t>
          </w:r>
          <w:r w:rsidR="00795ECE">
            <w:rPr>
              <w:sz w:val="36"/>
              <w:szCs w:val="36"/>
              <w:vertAlign w:val="superscript"/>
            </w:rPr>
            <w:t>nd</w:t>
          </w:r>
          <w:r w:rsidR="008B41BC">
            <w:rPr>
              <w:sz w:val="36"/>
              <w:szCs w:val="36"/>
            </w:rPr>
            <w:t xml:space="preserve"> </w:t>
          </w:r>
          <w:r w:rsidR="00795ECE">
            <w:rPr>
              <w:sz w:val="36"/>
              <w:szCs w:val="36"/>
            </w:rPr>
            <w:t>Quarter of 2021</w:t>
          </w:r>
        </w:p>
        <w:p w14:paraId="45CA5FB6" w14:textId="7FC6A9D9" w:rsidR="006663D0" w:rsidRDefault="006663D0" w:rsidP="002E6FDE">
          <w:pPr>
            <w:jc w:val="right"/>
            <w:rPr>
              <w:sz w:val="36"/>
              <w:szCs w:val="36"/>
            </w:rPr>
          </w:pPr>
        </w:p>
        <w:p w14:paraId="036ED6C8" w14:textId="5EC9A59D" w:rsidR="006663D0" w:rsidRDefault="006663D0" w:rsidP="002E6FDE">
          <w:pPr>
            <w:jc w:val="right"/>
            <w:rPr>
              <w:color w:val="008FD5"/>
              <w:sz w:val="28"/>
              <w:szCs w:val="28"/>
            </w:rPr>
          </w:pPr>
          <w:r w:rsidRPr="006663D0">
            <w:rPr>
              <w:color w:val="008FD5"/>
              <w:sz w:val="28"/>
              <w:szCs w:val="28"/>
            </w:rPr>
            <w:t>Abstract</w:t>
          </w:r>
        </w:p>
        <w:p w14:paraId="78E365CD" w14:textId="1DCB5F6C" w:rsidR="006663D0" w:rsidRPr="006663D0" w:rsidRDefault="006663D0" w:rsidP="006663D0">
          <w:pPr>
            <w:jc w:val="right"/>
            <w:rPr>
              <w:sz w:val="20"/>
              <w:szCs w:val="20"/>
            </w:rPr>
          </w:pPr>
          <w:r w:rsidRPr="006663D0">
            <w:rPr>
              <w:sz w:val="20"/>
              <w:szCs w:val="20"/>
            </w:rPr>
            <w:t xml:space="preserve">Designed for business valuation professionals, </w:t>
          </w:r>
          <w:proofErr w:type="spellStart"/>
          <w:r w:rsidRPr="006663D0">
            <w:rPr>
              <w:sz w:val="20"/>
              <w:szCs w:val="20"/>
            </w:rPr>
            <w:t>TagniFi’s</w:t>
          </w:r>
          <w:proofErr w:type="spellEnd"/>
          <w:r w:rsidRPr="006663D0">
            <w:rPr>
              <w:sz w:val="20"/>
              <w:szCs w:val="20"/>
            </w:rPr>
            <w:t xml:space="preserve"> Quarterly Economic </w:t>
          </w:r>
          <w:r>
            <w:rPr>
              <w:sz w:val="20"/>
              <w:szCs w:val="20"/>
            </w:rPr>
            <w:br/>
          </w:r>
          <w:r w:rsidRPr="006663D0">
            <w:rPr>
              <w:sz w:val="20"/>
              <w:szCs w:val="20"/>
            </w:rPr>
            <w:t>Update provides timely economic data to satisfy Revenue Ruling 56-60.</w:t>
          </w:r>
        </w:p>
        <w:p w14:paraId="149D5EEF" w14:textId="0F932CBB" w:rsidR="00005111" w:rsidRDefault="00005111" w:rsidP="000F1648">
          <w:pPr>
            <w:ind w:hanging="900"/>
          </w:pPr>
          <w:r>
            <w:br w:type="page"/>
          </w:r>
        </w:p>
      </w:sdtContent>
    </w:sdt>
    <w:p w14:paraId="149D5EF0" w14:textId="77777777" w:rsidR="00217AD5" w:rsidRDefault="00005111" w:rsidP="00005111">
      <w:pPr>
        <w:pStyle w:val="Heading1"/>
      </w:pPr>
      <w:r>
        <w:lastRenderedPageBreak/>
        <w:t>Summary</w:t>
      </w:r>
    </w:p>
    <w:p w14:paraId="7C490010" w14:textId="2AAB692D" w:rsidR="00D93A8B" w:rsidRDefault="00D93A8B" w:rsidP="00D93A8B">
      <w:r>
        <w:t>The second quarter of 2021 was defined by robust consumer demand as the economy kicks back into high gear, as well as a struggle for domestic and global productive capacity to meet that demand. This combination saw an increase in output, driven by record-breaking private consumption, as well as inflationary pressure. Prices, especially manufacturing inputs, dramatically increased in Q2, partially due to productive capacity and supply chains lagging the recovery in demand. Employment has slowed in its recovery, stubbornly trending at the 30-year historical average. Though the country and the rest of the world are recovering, albeit at varying speeds</w:t>
      </w:r>
      <w:r w:rsidR="007C5517">
        <w:t>,</w:t>
      </w:r>
      <w:r>
        <w:t xml:space="preserve"> from the pandemic, the economy continues to underutilize its capacity, both in the United States and abroad. </w:t>
      </w:r>
    </w:p>
    <w:p w14:paraId="17945A41" w14:textId="7CE1944B" w:rsidR="00D93A8B" w:rsidRDefault="00D93A8B" w:rsidP="00D93A8B">
      <w:r>
        <w:t xml:space="preserve">The defining economic challenge of the near term is balancing an economic recovery with inflationary pressure. Driven by a successful vaccination rollout and economic reopening, the US has seen a positive phase shift in its recovery, particularly on the demand side, which many countries have yet to fully realize. The US trade deficit, which ballooned during the pandemic, </w:t>
      </w:r>
      <w:r w:rsidR="007C5517">
        <w:t xml:space="preserve">is partially due </w:t>
      </w:r>
      <w:r w:rsidR="00772342">
        <w:t xml:space="preserve">to </w:t>
      </w:r>
      <w:r w:rsidR="007C5517">
        <w:t>foreign consumption struggling to catch up</w:t>
      </w:r>
      <w:r>
        <w:t xml:space="preserve">. </w:t>
      </w:r>
    </w:p>
    <w:p w14:paraId="31572D95" w14:textId="2CE31290" w:rsidR="00D93A8B" w:rsidRDefault="00D93A8B" w:rsidP="00D93A8B">
      <w:r>
        <w:t xml:space="preserve">Despite cause for optimism in the first </w:t>
      </w:r>
      <w:r w:rsidR="007C5517">
        <w:t xml:space="preserve">half </w:t>
      </w:r>
      <w:r>
        <w:t xml:space="preserve">of 2021, we are not out of the woods yet regarding COVID-19. Major challenges and uncertainties remain. Vaccination rates have begun to plateau, as a sizeable portion of the population, nearly one </w:t>
      </w:r>
      <w:r w:rsidR="00EC7CB1">
        <w:t>third</w:t>
      </w:r>
      <w:r>
        <w:t xml:space="preserve">, has access but no interest in receiving a vaccine. This has led to a resurgence in cases, driven as well by more virulent variants of the virus, such as the Delta and Lambda variants. The near-term economic outlook will </w:t>
      </w:r>
      <w:r w:rsidR="007C5517">
        <w:t>largely depend</w:t>
      </w:r>
      <w:r>
        <w:t xml:space="preserve"> on the US and the rest of the world’s success in inoculating its populace from the virus while rebuilding the economy. </w:t>
      </w:r>
    </w:p>
    <w:p w14:paraId="6963DC15" w14:textId="5AAC2492" w:rsidR="006F58B0" w:rsidRDefault="006F58B0" w:rsidP="00D93A8B">
      <w:r w:rsidRPr="006F58B0">
        <w:t xml:space="preserve">Below is a summary timeline of </w:t>
      </w:r>
      <w:r>
        <w:t xml:space="preserve">key </w:t>
      </w:r>
      <w:r w:rsidRPr="006F58B0">
        <w:t xml:space="preserve">COVID-19 events in the U.S. during the </w:t>
      </w:r>
      <w:r>
        <w:t>2nd</w:t>
      </w:r>
      <w:r w:rsidRPr="006F58B0">
        <w:t xml:space="preserve"> quarter of 202</w:t>
      </w:r>
      <w:r>
        <w:t>1</w:t>
      </w:r>
      <w:r w:rsidRPr="006F58B0">
        <w:t>:</w:t>
      </w:r>
    </w:p>
    <w:tbl>
      <w:tblPr>
        <w:tblStyle w:val="GridTable3-Accent1"/>
        <w:tblW w:w="0" w:type="auto"/>
        <w:tblLook w:val="0400" w:firstRow="0" w:lastRow="0" w:firstColumn="0" w:lastColumn="0" w:noHBand="0" w:noVBand="1"/>
      </w:tblPr>
      <w:tblGrid>
        <w:gridCol w:w="2335"/>
        <w:gridCol w:w="7015"/>
      </w:tblGrid>
      <w:tr w:rsidR="006F58B0" w:rsidRPr="005D1E7F" w14:paraId="03717F31" w14:textId="77777777" w:rsidTr="005233CA">
        <w:trPr>
          <w:cnfStyle w:val="000000100000" w:firstRow="0" w:lastRow="0" w:firstColumn="0" w:lastColumn="0" w:oddVBand="0" w:evenVBand="0" w:oddHBand="1" w:evenHBand="0" w:firstRowFirstColumn="0" w:firstRowLastColumn="0" w:lastRowFirstColumn="0" w:lastRowLastColumn="0"/>
        </w:trPr>
        <w:tc>
          <w:tcPr>
            <w:tcW w:w="2335" w:type="dxa"/>
          </w:tcPr>
          <w:p w14:paraId="2A4C4CDC" w14:textId="60AE244C" w:rsidR="006F58B0" w:rsidRPr="005D1E7F" w:rsidRDefault="006F58B0" w:rsidP="005233CA">
            <w:r>
              <w:t>April 1, 2021</w:t>
            </w:r>
          </w:p>
        </w:tc>
        <w:tc>
          <w:tcPr>
            <w:tcW w:w="7015" w:type="dxa"/>
          </w:tcPr>
          <w:p w14:paraId="4C2D5DBA" w14:textId="77EFDC99" w:rsidR="006F58B0" w:rsidRPr="005D1E7F" w:rsidRDefault="006F58B0" w:rsidP="005233CA">
            <w:r w:rsidRPr="006F58B0">
              <w:t>US begins the quarter at 66,000 daily cases, 925 daily deaths. 30% of Americans are fully vaccinated.</w:t>
            </w:r>
          </w:p>
        </w:tc>
      </w:tr>
      <w:tr w:rsidR="006F58B0" w:rsidRPr="005D1E7F" w14:paraId="5120A14F" w14:textId="77777777" w:rsidTr="005233CA">
        <w:tc>
          <w:tcPr>
            <w:tcW w:w="2335" w:type="dxa"/>
          </w:tcPr>
          <w:p w14:paraId="28CA6D35" w14:textId="762AE4E0" w:rsidR="006F58B0" w:rsidRDefault="006F58B0" w:rsidP="005233CA">
            <w:r>
              <w:t>April 8, 2021</w:t>
            </w:r>
          </w:p>
        </w:tc>
        <w:tc>
          <w:tcPr>
            <w:tcW w:w="7015" w:type="dxa"/>
          </w:tcPr>
          <w:p w14:paraId="78CC4FDC" w14:textId="0BCC5323" w:rsidR="006F58B0" w:rsidRPr="006F58B0" w:rsidRDefault="006F58B0" w:rsidP="005233CA">
            <w:r w:rsidRPr="006F58B0">
              <w:t>UK Variant Now Dominant in United States</w:t>
            </w:r>
          </w:p>
        </w:tc>
      </w:tr>
      <w:tr w:rsidR="006F58B0" w:rsidRPr="005D1E7F" w14:paraId="615163C9" w14:textId="77777777" w:rsidTr="005233CA">
        <w:trPr>
          <w:cnfStyle w:val="000000100000" w:firstRow="0" w:lastRow="0" w:firstColumn="0" w:lastColumn="0" w:oddVBand="0" w:evenVBand="0" w:oddHBand="1" w:evenHBand="0" w:firstRowFirstColumn="0" w:firstRowLastColumn="0" w:lastRowFirstColumn="0" w:lastRowLastColumn="0"/>
        </w:trPr>
        <w:tc>
          <w:tcPr>
            <w:tcW w:w="2335" w:type="dxa"/>
          </w:tcPr>
          <w:p w14:paraId="56F344DC" w14:textId="6D6B5253" w:rsidR="006F58B0" w:rsidRDefault="006F58B0" w:rsidP="005233CA">
            <w:r>
              <w:t>April 18, 2021</w:t>
            </w:r>
          </w:p>
        </w:tc>
        <w:tc>
          <w:tcPr>
            <w:tcW w:w="7015" w:type="dxa"/>
          </w:tcPr>
          <w:p w14:paraId="4DA580F7" w14:textId="6EBC1719" w:rsidR="006F58B0" w:rsidRPr="006F58B0" w:rsidRDefault="006F58B0" w:rsidP="005233CA">
            <w:r w:rsidRPr="006F58B0">
              <w:t>Half of All US Adults Have Received 1 COVID-19 Dose</w:t>
            </w:r>
          </w:p>
        </w:tc>
      </w:tr>
      <w:tr w:rsidR="006F58B0" w:rsidRPr="005D1E7F" w14:paraId="47AE9083" w14:textId="77777777" w:rsidTr="005233CA">
        <w:tc>
          <w:tcPr>
            <w:tcW w:w="2335" w:type="dxa"/>
          </w:tcPr>
          <w:p w14:paraId="4F485675" w14:textId="1C433233" w:rsidR="006F58B0" w:rsidRDefault="006F58B0" w:rsidP="005233CA">
            <w:r>
              <w:t>April 23, 2021</w:t>
            </w:r>
          </w:p>
        </w:tc>
        <w:tc>
          <w:tcPr>
            <w:tcW w:w="7015" w:type="dxa"/>
          </w:tcPr>
          <w:p w14:paraId="252997BA" w14:textId="050F9A31" w:rsidR="006F58B0" w:rsidRPr="006F58B0" w:rsidRDefault="006F58B0" w:rsidP="005233CA">
            <w:r w:rsidRPr="006F58B0">
              <w:t>States See Drops in Demand for COVID-19 Vaccines</w:t>
            </w:r>
          </w:p>
        </w:tc>
      </w:tr>
      <w:tr w:rsidR="006F58B0" w:rsidRPr="005D1E7F" w14:paraId="3C13B35F" w14:textId="77777777" w:rsidTr="005233CA">
        <w:trPr>
          <w:cnfStyle w:val="000000100000" w:firstRow="0" w:lastRow="0" w:firstColumn="0" w:lastColumn="0" w:oddVBand="0" w:evenVBand="0" w:oddHBand="1" w:evenHBand="0" w:firstRowFirstColumn="0" w:firstRowLastColumn="0" w:lastRowFirstColumn="0" w:lastRowLastColumn="0"/>
        </w:trPr>
        <w:tc>
          <w:tcPr>
            <w:tcW w:w="2335" w:type="dxa"/>
          </w:tcPr>
          <w:p w14:paraId="45CA6E30" w14:textId="5D65E1C9" w:rsidR="006F58B0" w:rsidRDefault="006F58B0" w:rsidP="005233CA">
            <w:r>
              <w:t>April 27, 2021</w:t>
            </w:r>
          </w:p>
        </w:tc>
        <w:tc>
          <w:tcPr>
            <w:tcW w:w="7015" w:type="dxa"/>
          </w:tcPr>
          <w:p w14:paraId="01F200C2" w14:textId="0C6E351E" w:rsidR="006F58B0" w:rsidRPr="006F58B0" w:rsidRDefault="006F58B0" w:rsidP="005233CA">
            <w:r w:rsidRPr="006F58B0">
              <w:t>CDC Eases Mask Restrictions for Fully Vaccinated Individuals</w:t>
            </w:r>
          </w:p>
        </w:tc>
      </w:tr>
      <w:tr w:rsidR="006F58B0" w:rsidRPr="005D1E7F" w14:paraId="1DDF180D" w14:textId="77777777" w:rsidTr="005233CA">
        <w:tc>
          <w:tcPr>
            <w:tcW w:w="2335" w:type="dxa"/>
          </w:tcPr>
          <w:p w14:paraId="31148927" w14:textId="07360B65" w:rsidR="006F58B0" w:rsidRDefault="006F58B0" w:rsidP="005233CA">
            <w:r>
              <w:t>April 29, 2021</w:t>
            </w:r>
          </w:p>
        </w:tc>
        <w:tc>
          <w:tcPr>
            <w:tcW w:w="7015" w:type="dxa"/>
          </w:tcPr>
          <w:p w14:paraId="7BDE653F" w14:textId="02D0BE51" w:rsidR="006F58B0" w:rsidRPr="006F58B0" w:rsidRDefault="006F58B0" w:rsidP="005233CA">
            <w:r w:rsidRPr="006F58B0">
              <w:t>Half of US States Report Drops in COVID-19 Cases</w:t>
            </w:r>
          </w:p>
        </w:tc>
      </w:tr>
      <w:tr w:rsidR="006F58B0" w:rsidRPr="005D1E7F" w14:paraId="700056EE" w14:textId="77777777" w:rsidTr="005233CA">
        <w:trPr>
          <w:cnfStyle w:val="000000100000" w:firstRow="0" w:lastRow="0" w:firstColumn="0" w:lastColumn="0" w:oddVBand="0" w:evenVBand="0" w:oddHBand="1" w:evenHBand="0" w:firstRowFirstColumn="0" w:firstRowLastColumn="0" w:lastRowFirstColumn="0" w:lastRowLastColumn="0"/>
        </w:trPr>
        <w:tc>
          <w:tcPr>
            <w:tcW w:w="2335" w:type="dxa"/>
          </w:tcPr>
          <w:p w14:paraId="34292D61" w14:textId="0F441D8B" w:rsidR="006F58B0" w:rsidRDefault="006F58B0" w:rsidP="005233CA">
            <w:r>
              <w:t>May 1, 2021</w:t>
            </w:r>
          </w:p>
        </w:tc>
        <w:tc>
          <w:tcPr>
            <w:tcW w:w="7015" w:type="dxa"/>
          </w:tcPr>
          <w:p w14:paraId="2ABEAD05" w14:textId="4BA5BF6C" w:rsidR="006F58B0" w:rsidRDefault="006F58B0" w:rsidP="005233CA">
            <w:r w:rsidRPr="006F58B0">
              <w:t>Cases drop to 52,000 per day, 720 deaths.</w:t>
            </w:r>
          </w:p>
        </w:tc>
      </w:tr>
      <w:tr w:rsidR="00831041" w:rsidRPr="005D1E7F" w14:paraId="6CB55E4B" w14:textId="77777777" w:rsidTr="005233CA">
        <w:tc>
          <w:tcPr>
            <w:tcW w:w="2335" w:type="dxa"/>
          </w:tcPr>
          <w:p w14:paraId="1474D4A1" w14:textId="5D7413B6" w:rsidR="00831041" w:rsidRDefault="00831041" w:rsidP="005233CA">
            <w:r>
              <w:t>May 10, 2021</w:t>
            </w:r>
          </w:p>
        </w:tc>
        <w:tc>
          <w:tcPr>
            <w:tcW w:w="7015" w:type="dxa"/>
          </w:tcPr>
          <w:p w14:paraId="610DE274" w14:textId="76CE39FA" w:rsidR="00831041" w:rsidRPr="006F58B0" w:rsidRDefault="00831041" w:rsidP="005233CA">
            <w:r w:rsidRPr="00831041">
              <w:t>Pfizer/BioNTech Vaccine Approved for Adolescents</w:t>
            </w:r>
          </w:p>
        </w:tc>
      </w:tr>
      <w:tr w:rsidR="009E2682" w:rsidRPr="005D1E7F" w14:paraId="7BEECDDB" w14:textId="77777777" w:rsidTr="005233CA">
        <w:trPr>
          <w:cnfStyle w:val="000000100000" w:firstRow="0" w:lastRow="0" w:firstColumn="0" w:lastColumn="0" w:oddVBand="0" w:evenVBand="0" w:oddHBand="1" w:evenHBand="0" w:firstRowFirstColumn="0" w:firstRowLastColumn="0" w:lastRowFirstColumn="0" w:lastRowLastColumn="0"/>
        </w:trPr>
        <w:tc>
          <w:tcPr>
            <w:tcW w:w="2335" w:type="dxa"/>
          </w:tcPr>
          <w:p w14:paraId="5813D88D" w14:textId="3746C8C8" w:rsidR="006F58B0" w:rsidRPr="005D1E7F" w:rsidRDefault="006F58B0" w:rsidP="005233CA">
            <w:r>
              <w:t>May 10, 2021</w:t>
            </w:r>
          </w:p>
        </w:tc>
        <w:tc>
          <w:tcPr>
            <w:tcW w:w="7015" w:type="dxa"/>
          </w:tcPr>
          <w:p w14:paraId="0C678F3D" w14:textId="3C81861A" w:rsidR="006F58B0" w:rsidRPr="005D1E7F" w:rsidRDefault="006F58B0" w:rsidP="005233CA">
            <w:r w:rsidRPr="006F58B0">
              <w:t>FDA authorizes Pfizer vaccine for emergency use in adolescents.</w:t>
            </w:r>
          </w:p>
        </w:tc>
      </w:tr>
      <w:tr w:rsidR="006F58B0" w:rsidRPr="005D1E7F" w14:paraId="0653E161" w14:textId="77777777" w:rsidTr="005233CA">
        <w:tc>
          <w:tcPr>
            <w:tcW w:w="2335" w:type="dxa"/>
          </w:tcPr>
          <w:p w14:paraId="135C3B54" w14:textId="2A4EDBAB" w:rsidR="006F58B0" w:rsidRDefault="006F58B0" w:rsidP="005233CA">
            <w:r>
              <w:t>May 25, 2021</w:t>
            </w:r>
          </w:p>
        </w:tc>
        <w:tc>
          <w:tcPr>
            <w:tcW w:w="7015" w:type="dxa"/>
          </w:tcPr>
          <w:p w14:paraId="545CC73A" w14:textId="41AD7E8E" w:rsidR="006F58B0" w:rsidRPr="00023FB9" w:rsidRDefault="006F58B0" w:rsidP="005233CA">
            <w:r w:rsidRPr="006F58B0">
              <w:t>Half of American adults are full</w:t>
            </w:r>
            <w:r>
              <w:t>y</w:t>
            </w:r>
            <w:r w:rsidRPr="006F58B0">
              <w:t xml:space="preserve"> vaccinated.</w:t>
            </w:r>
          </w:p>
        </w:tc>
      </w:tr>
      <w:tr w:rsidR="009E2682" w:rsidRPr="005D1E7F" w14:paraId="2895602D" w14:textId="77777777" w:rsidTr="005233CA">
        <w:trPr>
          <w:cnfStyle w:val="000000100000" w:firstRow="0" w:lastRow="0" w:firstColumn="0" w:lastColumn="0" w:oddVBand="0" w:evenVBand="0" w:oddHBand="1" w:evenHBand="0" w:firstRowFirstColumn="0" w:firstRowLastColumn="0" w:lastRowFirstColumn="0" w:lastRowLastColumn="0"/>
        </w:trPr>
        <w:tc>
          <w:tcPr>
            <w:tcW w:w="2335" w:type="dxa"/>
          </w:tcPr>
          <w:p w14:paraId="5AF9E987" w14:textId="5DA9A347" w:rsidR="006F58B0" w:rsidRPr="005D1E7F" w:rsidRDefault="006F58B0" w:rsidP="005233CA">
            <w:r>
              <w:t>June 1, 2021</w:t>
            </w:r>
          </w:p>
        </w:tc>
        <w:tc>
          <w:tcPr>
            <w:tcW w:w="7015" w:type="dxa"/>
          </w:tcPr>
          <w:p w14:paraId="4080CF16" w14:textId="6093164B" w:rsidR="006F58B0" w:rsidRPr="005D1E7F" w:rsidRDefault="006F58B0" w:rsidP="005233CA">
            <w:r w:rsidRPr="006F58B0">
              <w:t>17,000 cases, 430 deaths per day.</w:t>
            </w:r>
            <w:r w:rsidR="00831041">
              <w:t xml:space="preserve"> </w:t>
            </w:r>
          </w:p>
        </w:tc>
      </w:tr>
      <w:tr w:rsidR="00831041" w:rsidRPr="005D1E7F" w14:paraId="4ECD2B36" w14:textId="77777777" w:rsidTr="005233CA">
        <w:tc>
          <w:tcPr>
            <w:tcW w:w="2335" w:type="dxa"/>
          </w:tcPr>
          <w:p w14:paraId="763756CE" w14:textId="04FADE25" w:rsidR="00831041" w:rsidRDefault="00831041" w:rsidP="005233CA">
            <w:r>
              <w:t>June 3, 2021</w:t>
            </w:r>
          </w:p>
        </w:tc>
        <w:tc>
          <w:tcPr>
            <w:tcW w:w="7015" w:type="dxa"/>
          </w:tcPr>
          <w:p w14:paraId="440A00CA" w14:textId="76168424" w:rsidR="00831041" w:rsidRPr="006F58B0" w:rsidRDefault="00831041" w:rsidP="005233CA">
            <w:r w:rsidRPr="00831041">
              <w:t>Initiative Announced to Boost Vaccine Rates</w:t>
            </w:r>
          </w:p>
        </w:tc>
      </w:tr>
      <w:tr w:rsidR="009E2682" w:rsidRPr="005D1E7F" w14:paraId="454413A2" w14:textId="77777777" w:rsidTr="005233CA">
        <w:trPr>
          <w:cnfStyle w:val="000000100000" w:firstRow="0" w:lastRow="0" w:firstColumn="0" w:lastColumn="0" w:oddVBand="0" w:evenVBand="0" w:oddHBand="1" w:evenHBand="0" w:firstRowFirstColumn="0" w:firstRowLastColumn="0" w:lastRowFirstColumn="0" w:lastRowLastColumn="0"/>
        </w:trPr>
        <w:tc>
          <w:tcPr>
            <w:tcW w:w="2335" w:type="dxa"/>
          </w:tcPr>
          <w:p w14:paraId="05976861" w14:textId="2B55AC03" w:rsidR="006F58B0" w:rsidRPr="005D1E7F" w:rsidRDefault="006F58B0" w:rsidP="005233CA">
            <w:r>
              <w:lastRenderedPageBreak/>
              <w:t>June 15, 2021</w:t>
            </w:r>
          </w:p>
        </w:tc>
        <w:tc>
          <w:tcPr>
            <w:tcW w:w="7015" w:type="dxa"/>
          </w:tcPr>
          <w:p w14:paraId="1C8C1666" w14:textId="3837F1D2" w:rsidR="006F58B0" w:rsidRPr="005D1E7F" w:rsidRDefault="006F58B0" w:rsidP="005233CA">
            <w:r w:rsidRPr="006F58B0">
              <w:t>California becomes one of the last US states to drop most coronavirus restrictions.</w:t>
            </w:r>
          </w:p>
        </w:tc>
      </w:tr>
      <w:tr w:rsidR="00831041" w:rsidRPr="005D1E7F" w14:paraId="7BCB4EEE" w14:textId="77777777" w:rsidTr="005233CA">
        <w:tc>
          <w:tcPr>
            <w:tcW w:w="2335" w:type="dxa"/>
          </w:tcPr>
          <w:p w14:paraId="46FE90CA" w14:textId="45D8D041" w:rsidR="00831041" w:rsidRDefault="00831041" w:rsidP="005233CA">
            <w:r>
              <w:t>June 23, 2021</w:t>
            </w:r>
          </w:p>
        </w:tc>
        <w:tc>
          <w:tcPr>
            <w:tcW w:w="7015" w:type="dxa"/>
          </w:tcPr>
          <w:p w14:paraId="2F055CF1" w14:textId="066FC8D5" w:rsidR="00831041" w:rsidRPr="006F58B0" w:rsidRDefault="00831041" w:rsidP="005233CA">
            <w:r w:rsidRPr="00831041">
              <w:t>Delta Variant Concerns Mount</w:t>
            </w:r>
          </w:p>
        </w:tc>
      </w:tr>
      <w:tr w:rsidR="00831041" w:rsidRPr="005D1E7F" w14:paraId="0B050EE9" w14:textId="77777777" w:rsidTr="005233CA">
        <w:trPr>
          <w:cnfStyle w:val="000000100000" w:firstRow="0" w:lastRow="0" w:firstColumn="0" w:lastColumn="0" w:oddVBand="0" w:evenVBand="0" w:oddHBand="1" w:evenHBand="0" w:firstRowFirstColumn="0" w:firstRowLastColumn="0" w:lastRowFirstColumn="0" w:lastRowLastColumn="0"/>
        </w:trPr>
        <w:tc>
          <w:tcPr>
            <w:tcW w:w="2335" w:type="dxa"/>
          </w:tcPr>
          <w:p w14:paraId="249C9F09" w14:textId="1F4D8889" w:rsidR="00831041" w:rsidRDefault="00831041" w:rsidP="005233CA">
            <w:r>
              <w:t>June 25, 2021</w:t>
            </w:r>
          </w:p>
        </w:tc>
        <w:tc>
          <w:tcPr>
            <w:tcW w:w="7015" w:type="dxa"/>
          </w:tcPr>
          <w:p w14:paraId="278DEE8B" w14:textId="6E65F3A2" w:rsidR="00831041" w:rsidRPr="00831041" w:rsidRDefault="00831041" w:rsidP="005233CA">
            <w:r w:rsidRPr="00831041">
              <w:t>COVID-19 Deaths Most Common in Unvaccinated</w:t>
            </w:r>
          </w:p>
        </w:tc>
      </w:tr>
      <w:tr w:rsidR="00831041" w:rsidRPr="005D1E7F" w14:paraId="7B30542E" w14:textId="77777777" w:rsidTr="005233CA">
        <w:tc>
          <w:tcPr>
            <w:tcW w:w="2335" w:type="dxa"/>
          </w:tcPr>
          <w:p w14:paraId="5FB1F9C1" w14:textId="5065CA9D" w:rsidR="006F58B0" w:rsidRPr="005D1E7F" w:rsidRDefault="006F58B0" w:rsidP="005233CA">
            <w:r>
              <w:t>June 30, 2021</w:t>
            </w:r>
          </w:p>
        </w:tc>
        <w:tc>
          <w:tcPr>
            <w:tcW w:w="7015" w:type="dxa"/>
          </w:tcPr>
          <w:p w14:paraId="49C73B07" w14:textId="62B3CABD" w:rsidR="006F58B0" w:rsidRPr="005D1E7F" w:rsidRDefault="006F58B0" w:rsidP="005233CA">
            <w:r w:rsidRPr="006F58B0">
              <w:t xml:space="preserve">US ends the quarter with 13,000 daily cases (80% reduction), 270 daily deaths (70% reduction).  </w:t>
            </w:r>
          </w:p>
        </w:tc>
      </w:tr>
    </w:tbl>
    <w:p w14:paraId="4896EB85" w14:textId="77777777" w:rsidR="001A21D2" w:rsidRDefault="001A21D2" w:rsidP="004D1BCA"/>
    <w:p w14:paraId="459A9CDC" w14:textId="2DC3B8D7" w:rsidR="004D1BCA" w:rsidRDefault="004D1BCA" w:rsidP="004D1BCA">
      <w:r w:rsidRPr="00A615E8">
        <w:t xml:space="preserve">In the </w:t>
      </w:r>
      <w:r>
        <w:t>second quarter of 2021</w:t>
      </w:r>
      <w:r w:rsidRPr="00A615E8">
        <w:t xml:space="preserve">, the U.S. </w:t>
      </w:r>
      <w:r>
        <w:t xml:space="preserve">economy continued to rebound from the fallout of the COVID-19 pandemic, with emergency vaccine approvals sparking hope despite surging cases and the spread of new more contagious variants. </w:t>
      </w:r>
    </w:p>
    <w:p w14:paraId="57808541" w14:textId="02A4517E" w:rsidR="004D1BCA" w:rsidRDefault="004D1BCA" w:rsidP="004D1BCA">
      <w:r w:rsidRPr="00445A11">
        <w:t xml:space="preserve">By the end of the </w:t>
      </w:r>
      <w:r>
        <w:t>first quarter of 2021</w:t>
      </w:r>
      <w:r w:rsidRPr="00445A11">
        <w:t xml:space="preserve">, </w:t>
      </w:r>
      <w:r>
        <w:t xml:space="preserve">US daily case rates fell to an average 14,000 from a peak of 282,000 near the beginning of the year. Deaths similarly fell from a high of around 3,500 per day to around 250 in late June. This recovery surpassed expectations, fueling optimism that the </w:t>
      </w:r>
      <w:r w:rsidR="007C5517">
        <w:t xml:space="preserve">recovery </w:t>
      </w:r>
      <w:r>
        <w:t xml:space="preserve">from the health crisis and resulting economic shock may move ahead of schedule. However, </w:t>
      </w:r>
      <w:r w:rsidR="007C5517">
        <w:t xml:space="preserve">though outside the scope of this Q2 report, we must note that </w:t>
      </w:r>
      <w:r>
        <w:t xml:space="preserve">July saw cases quickly surge again, driven by the far more contagious Delta variant of the coronavirus, toward 100,000 per day. Deaths increased as well, with roughly 99% of those deaths now suffered by the unvaccinated. </w:t>
      </w:r>
    </w:p>
    <w:p w14:paraId="7884E693" w14:textId="22189F52" w:rsidR="004D1BCA" w:rsidRDefault="004D1BCA" w:rsidP="004D1BCA">
      <w:r>
        <w:t xml:space="preserve">The continued economic recovery hinges on America’s ability to balance public health priorities with commercial dynamism. The best way to do that still appears to be through vaccination. However, the rate of vaccination began to flatten in Q2, inching upward once it reached 50%. To illustrate, the percentage of the population that had received the vaccine increased 14% in April, 6% in May, and less than 4% in June to end the quarter at 55%.   </w:t>
      </w:r>
    </w:p>
    <w:p w14:paraId="68372555" w14:textId="60D617DE" w:rsidR="00D93A8B" w:rsidRDefault="004D1BCA">
      <w:r>
        <w:t xml:space="preserve">Rather than logistics or supply, the limiting factor </w:t>
      </w:r>
      <w:r w:rsidR="007C5517">
        <w:t>is many Americans’ unwillingness</w:t>
      </w:r>
      <w:r>
        <w:t xml:space="preserve"> to receive the</w:t>
      </w:r>
      <w:r w:rsidR="007A4896">
        <w:t xml:space="preserve"> shot</w:t>
      </w:r>
      <w:r>
        <w:t>. The amount of public health and economic damage that the resurgence of COVID can inflict on the US will</w:t>
      </w:r>
      <w:r w:rsidR="007C5517">
        <w:t xml:space="preserve"> likely depend to some extent on </w:t>
      </w:r>
      <w:r>
        <w:t xml:space="preserve">the rate of vaccination.  </w:t>
      </w:r>
    </w:p>
    <w:p w14:paraId="380DE2B2" w14:textId="5F18943D" w:rsidR="00F03302" w:rsidRPr="00D5040E" w:rsidRDefault="00A615E8" w:rsidP="001E26E8">
      <w:pPr>
        <w:spacing w:before="160"/>
        <w:rPr>
          <w:strike/>
        </w:rPr>
      </w:pPr>
      <w:r w:rsidRPr="00795ECE">
        <w:t>The Philadelphia Fed’s coincident index</w:t>
      </w:r>
      <w:r w:rsidR="00EC7CB1" w:rsidRPr="00795ECE">
        <w:rPr>
          <w:rStyle w:val="FootnoteReference"/>
        </w:rPr>
        <w:footnoteReference w:id="1"/>
      </w:r>
      <w:r w:rsidRPr="00795ECE">
        <w:t xml:space="preserve"> of economic activity in the U.S. </w:t>
      </w:r>
      <w:r w:rsidR="003A390C" w:rsidRPr="00795ECE">
        <w:t xml:space="preserve">rose </w:t>
      </w:r>
      <w:r w:rsidR="00795ECE">
        <w:t>0.4</w:t>
      </w:r>
      <w:r w:rsidR="003A390C" w:rsidRPr="00795ECE">
        <w:t xml:space="preserve">% in </w:t>
      </w:r>
      <w:r w:rsidR="00795ECE">
        <w:t xml:space="preserve">June 2021 </w:t>
      </w:r>
      <w:r w:rsidR="00C10F0A" w:rsidRPr="00795ECE">
        <w:t xml:space="preserve">and </w:t>
      </w:r>
      <w:r w:rsidR="00E95F9A" w:rsidRPr="00795ECE">
        <w:t>1.</w:t>
      </w:r>
      <w:r w:rsidR="00795ECE">
        <w:t>3</w:t>
      </w:r>
      <w:r w:rsidR="00C10F0A" w:rsidRPr="00795ECE">
        <w:t xml:space="preserve">% </w:t>
      </w:r>
      <w:r w:rsidR="00EC7CB1">
        <w:t>during</w:t>
      </w:r>
      <w:r w:rsidRPr="00795ECE">
        <w:t xml:space="preserve"> the </w:t>
      </w:r>
      <w:r w:rsidR="00795ECE">
        <w:t>2</w:t>
      </w:r>
      <w:r w:rsidR="00795ECE" w:rsidRPr="00795ECE">
        <w:rPr>
          <w:vertAlign w:val="superscript"/>
        </w:rPr>
        <w:t>nd</w:t>
      </w:r>
      <w:r w:rsidR="00795ECE">
        <w:t xml:space="preserve"> </w:t>
      </w:r>
      <w:r w:rsidRPr="00795ECE">
        <w:t>quarter</w:t>
      </w:r>
      <w:r w:rsidR="00AF420E" w:rsidRPr="00795ECE">
        <w:t xml:space="preserve">. </w:t>
      </w:r>
      <w:r w:rsidR="00EC7CB1">
        <w:t>For the quarter</w:t>
      </w:r>
      <w:r w:rsidRPr="00795ECE">
        <w:t xml:space="preserve">, coincident indexes </w:t>
      </w:r>
      <w:r w:rsidR="00C10F0A" w:rsidRPr="00795ECE">
        <w:t>increased</w:t>
      </w:r>
      <w:r w:rsidR="003A390C" w:rsidRPr="00795ECE">
        <w:t xml:space="preserve"> in 4</w:t>
      </w:r>
      <w:r w:rsidR="00E95F9A" w:rsidRPr="00795ECE">
        <w:t>6</w:t>
      </w:r>
      <w:r w:rsidR="003A390C" w:rsidRPr="00795ECE">
        <w:t xml:space="preserve"> states</w:t>
      </w:r>
      <w:r w:rsidR="00C10F0A" w:rsidRPr="00795ECE">
        <w:t xml:space="preserve"> and</w:t>
      </w:r>
      <w:r w:rsidR="00466612" w:rsidRPr="00795ECE">
        <w:t xml:space="preserve"> </w:t>
      </w:r>
      <w:r w:rsidR="00C10F0A" w:rsidRPr="00795ECE">
        <w:t>de</w:t>
      </w:r>
      <w:r w:rsidR="003A390C" w:rsidRPr="00795ECE">
        <w:t xml:space="preserve">creased in </w:t>
      </w:r>
      <w:r w:rsidR="00E95F9A" w:rsidRPr="00795ECE">
        <w:t>4</w:t>
      </w:r>
      <w:r w:rsidRPr="00795ECE">
        <w:t xml:space="preserve">. Coincident indexes reflect </w:t>
      </w:r>
      <w:r w:rsidR="00714B74" w:rsidRPr="00795ECE">
        <w:t>unemployment, payroll employment, manufacturing hours, and wages and salaries</w:t>
      </w:r>
      <w:r w:rsidR="00A14CD4" w:rsidRPr="00795ECE">
        <w:t>.</w:t>
      </w:r>
      <w:r w:rsidR="00714B74" w:rsidRPr="00795ECE">
        <w:t xml:space="preserve"> </w:t>
      </w:r>
      <w:r w:rsidR="002857FD">
        <w:t xml:space="preserve">Unemployment, a major factor in the index, fell just 0.1% over the quarter, marking the smallest drop since the economy began recovering from the pandemic. </w:t>
      </w:r>
    </w:p>
    <w:p w14:paraId="7739DC43" w14:textId="721ECEE5" w:rsidR="00A96A6A" w:rsidRDefault="0027585A" w:rsidP="006D4E8F">
      <w:pPr>
        <w:jc w:val="center"/>
      </w:pPr>
      <w:r w:rsidRPr="0027585A">
        <w:rPr>
          <w:noProof/>
        </w:rPr>
        <w:lastRenderedPageBreak/>
        <w:t xml:space="preserve"> </w:t>
      </w:r>
      <w:r w:rsidR="00B6548E" w:rsidRPr="00B6548E">
        <w:rPr>
          <w:noProof/>
        </w:rPr>
        <w:drawing>
          <wp:inline distT="0" distB="0" distL="0" distR="0" wp14:anchorId="520D41DF" wp14:editId="2567B135">
            <wp:extent cx="5943600" cy="34245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p>
    <w:p w14:paraId="022CFF26" w14:textId="4FEFE02A" w:rsidR="003477B7" w:rsidRDefault="00CA4851" w:rsidP="008C0F54">
      <w:pPr>
        <w:spacing w:before="160"/>
      </w:pPr>
      <w:r>
        <w:t>T</w:t>
      </w:r>
      <w:r w:rsidR="009E4D8D" w:rsidRPr="00CA74AC">
        <w:t>he U.S. dollar index</w:t>
      </w:r>
      <w:r w:rsidR="00DA3959">
        <w:t xml:space="preserve"> for goods and services</w:t>
      </w:r>
      <w:r w:rsidR="00053E46">
        <w:rPr>
          <w:rStyle w:val="FootnoteReference"/>
        </w:rPr>
        <w:footnoteReference w:id="2"/>
      </w:r>
      <w:r w:rsidR="009E4D8D" w:rsidRPr="00CA74AC">
        <w:t xml:space="preserve"> </w:t>
      </w:r>
      <w:r w:rsidR="00442565">
        <w:t>fell</w:t>
      </w:r>
      <w:r w:rsidR="00DA3959">
        <w:t xml:space="preserve"> </w:t>
      </w:r>
      <w:r w:rsidR="002D78A5">
        <w:t>1.13</w:t>
      </w:r>
      <w:r w:rsidR="00442565">
        <w:t>% during</w:t>
      </w:r>
      <w:r w:rsidR="00DA3959">
        <w:t xml:space="preserve"> the </w:t>
      </w:r>
      <w:r w:rsidR="00D5040E">
        <w:t>2</w:t>
      </w:r>
      <w:r w:rsidR="00D5040E" w:rsidRPr="00D5040E">
        <w:rPr>
          <w:vertAlign w:val="superscript"/>
        </w:rPr>
        <w:t>nd</w:t>
      </w:r>
      <w:r w:rsidR="00D5040E">
        <w:t xml:space="preserve"> quarter of 2021</w:t>
      </w:r>
      <w:r>
        <w:t xml:space="preserve"> </w:t>
      </w:r>
      <w:r w:rsidR="00442565">
        <w:t xml:space="preserve">and </w:t>
      </w:r>
      <w:r w:rsidR="00B91356">
        <w:t>6.57</w:t>
      </w:r>
      <w:r w:rsidR="00442565">
        <w:t>%</w:t>
      </w:r>
      <w:r w:rsidR="009E4D8D" w:rsidRPr="00CA74AC">
        <w:t xml:space="preserve"> </w:t>
      </w:r>
      <w:r w:rsidR="00CF2402">
        <w:t>compared to</w:t>
      </w:r>
      <w:r w:rsidR="002D78A5">
        <w:t xml:space="preserve"> June of 2020</w:t>
      </w:r>
      <w:r w:rsidR="009E4D8D" w:rsidRPr="00CA74AC">
        <w:t>.</w:t>
      </w:r>
      <w:r w:rsidR="002857FD">
        <w:t xml:space="preserve"> The dollar’s steady fall reflects greater risk appetite and concerns about the ballooning American deficit, as rising inflation expectations</w:t>
      </w:r>
      <w:r w:rsidR="00E37A8F">
        <w:t>.</w:t>
      </w:r>
      <w:r w:rsidR="00EB0FF8">
        <w:t xml:space="preserve"> </w:t>
      </w:r>
      <w:r w:rsidR="003711BF">
        <w:t>Further suppressing the dollar’s value</w:t>
      </w:r>
      <w:r w:rsidR="002857FD">
        <w:t xml:space="preserve">: The </w:t>
      </w:r>
      <w:r w:rsidR="00EB0FF8">
        <w:t xml:space="preserve">U.S. </w:t>
      </w:r>
      <w:r w:rsidR="002857FD">
        <w:t xml:space="preserve">current account deficit, </w:t>
      </w:r>
      <w:r w:rsidR="003711BF">
        <w:t>which</w:t>
      </w:r>
      <w:r w:rsidR="00EB0FF8">
        <w:t xml:space="preserve"> </w:t>
      </w:r>
      <w:r w:rsidR="002857FD">
        <w:t>has grown every quarter since the</w:t>
      </w:r>
      <w:r w:rsidR="002743DC">
        <w:t xml:space="preserve"> start of 2020, approached</w:t>
      </w:r>
      <w:r w:rsidR="002857FD">
        <w:t xml:space="preserve"> $200 billion in Q1</w:t>
      </w:r>
      <w:r w:rsidR="004B2DF4">
        <w:t>.</w:t>
      </w:r>
      <w:r w:rsidR="001C7617">
        <w:t xml:space="preserve"> </w:t>
      </w:r>
    </w:p>
    <w:p w14:paraId="5FD9C9E3" w14:textId="1D18DEC5" w:rsidR="004D1C9D" w:rsidRDefault="00B6548E" w:rsidP="006D4E8F">
      <w:pPr>
        <w:jc w:val="center"/>
      </w:pPr>
      <w:r>
        <w:rPr>
          <w:noProof/>
        </w:rPr>
        <w:drawing>
          <wp:inline distT="0" distB="0" distL="0" distR="0" wp14:anchorId="4EF5839A" wp14:editId="7E299A7E">
            <wp:extent cx="4097020" cy="274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EF9" w14:textId="6237B2BB" w:rsidR="002731EF" w:rsidRPr="00BC13CC" w:rsidRDefault="001058D4" w:rsidP="001475FF">
      <w:pPr>
        <w:pStyle w:val="Heading1"/>
      </w:pPr>
      <w:r>
        <w:lastRenderedPageBreak/>
        <w:t xml:space="preserve">Q2 </w:t>
      </w:r>
      <w:r w:rsidR="002731EF" w:rsidRPr="00BC13CC">
        <w:t>Economic Highlights</w:t>
      </w:r>
    </w:p>
    <w:p w14:paraId="149D5EFA" w14:textId="791D7491" w:rsidR="002608F3" w:rsidRPr="00BC13CC" w:rsidRDefault="006C2DAB" w:rsidP="00E528F7">
      <w:pPr>
        <w:pStyle w:val="ListParagraph"/>
        <w:numPr>
          <w:ilvl w:val="0"/>
          <w:numId w:val="3"/>
        </w:numPr>
      </w:pPr>
      <w:r w:rsidRPr="00BC13CC">
        <w:t xml:space="preserve">Real GDP </w:t>
      </w:r>
      <w:r w:rsidR="00D93A8B" w:rsidRPr="00BC13CC">
        <w:t>for the 2</w:t>
      </w:r>
      <w:r w:rsidR="00D93A8B" w:rsidRPr="00BC13CC">
        <w:rPr>
          <w:vertAlign w:val="superscript"/>
        </w:rPr>
        <w:t>nd</w:t>
      </w:r>
      <w:r w:rsidR="00D571C6" w:rsidRPr="00BC13CC">
        <w:t xml:space="preserve"> quarter of </w:t>
      </w:r>
      <w:r w:rsidR="00D93A8B" w:rsidRPr="00BC13CC">
        <w:t>2021</w:t>
      </w:r>
      <w:r w:rsidR="00D571C6" w:rsidRPr="00BC13CC">
        <w:t xml:space="preserve"> grew at an annual rate of </w:t>
      </w:r>
      <w:r w:rsidR="00D93A8B" w:rsidRPr="00BC13CC">
        <w:t>6.5%, reaching an all-time high on better-than-expected consumer demand.</w:t>
      </w:r>
    </w:p>
    <w:p w14:paraId="149D5EFC" w14:textId="693A78E5" w:rsidR="00E24F81" w:rsidRPr="00BC13CC" w:rsidRDefault="00E24F81" w:rsidP="00E528F7">
      <w:pPr>
        <w:pStyle w:val="ListParagraph"/>
        <w:numPr>
          <w:ilvl w:val="0"/>
          <w:numId w:val="3"/>
        </w:numPr>
      </w:pPr>
      <w:r w:rsidRPr="00BC13CC">
        <w:t xml:space="preserve">The U.S. dollar index </w:t>
      </w:r>
      <w:r w:rsidR="00D93A8B" w:rsidRPr="00BC13CC">
        <w:t>fell 1.13</w:t>
      </w:r>
      <w:r w:rsidR="004B2DF4" w:rsidRPr="00BC13CC">
        <w:t xml:space="preserve">% during the </w:t>
      </w:r>
      <w:r w:rsidR="00D93A8B" w:rsidRPr="00BC13CC">
        <w:t>quarter and 6.</w:t>
      </w:r>
      <w:r w:rsidR="00C86473">
        <w:t>63</w:t>
      </w:r>
      <w:r w:rsidR="004B2DF4" w:rsidRPr="00BC13CC">
        <w:t>% over the last year</w:t>
      </w:r>
      <w:r w:rsidRPr="00BC13CC">
        <w:t>.</w:t>
      </w:r>
    </w:p>
    <w:p w14:paraId="149D5EFD" w14:textId="44B3DCDA" w:rsidR="0076717F" w:rsidRPr="00BC13CC" w:rsidRDefault="00E23CA2" w:rsidP="00E528F7">
      <w:pPr>
        <w:pStyle w:val="ListParagraph"/>
        <w:numPr>
          <w:ilvl w:val="0"/>
          <w:numId w:val="3"/>
        </w:numPr>
      </w:pPr>
      <w:r w:rsidRPr="00BC13CC">
        <w:t>Throughout</w:t>
      </w:r>
      <w:r w:rsidR="00E50993" w:rsidRPr="00BC13CC">
        <w:t xml:space="preserve"> </w:t>
      </w:r>
      <w:r w:rsidR="0092347C" w:rsidRPr="00BC13CC">
        <w:t xml:space="preserve">the </w:t>
      </w:r>
      <w:r w:rsidR="007C5517">
        <w:t>2</w:t>
      </w:r>
      <w:r w:rsidR="007C5517" w:rsidRPr="007C5517">
        <w:rPr>
          <w:vertAlign w:val="superscript"/>
        </w:rPr>
        <w:t>nd</w:t>
      </w:r>
      <w:r w:rsidR="00D571C6" w:rsidRPr="00BC13CC">
        <w:t xml:space="preserve"> </w:t>
      </w:r>
      <w:r w:rsidR="0092347C" w:rsidRPr="00BC13CC">
        <w:t>quarter</w:t>
      </w:r>
      <w:r w:rsidR="00E37A8F" w:rsidRPr="00BC13CC">
        <w:t>,</w:t>
      </w:r>
      <w:r w:rsidR="00E50993" w:rsidRPr="00BC13CC">
        <w:t xml:space="preserve"> the </w:t>
      </w:r>
      <w:r w:rsidR="00D93A8B" w:rsidRPr="00BC13CC">
        <w:t xml:space="preserve">effective federal funds rate stayed below 0.1%, consistent with aggressive expansionary policy since the pandemic began. </w:t>
      </w:r>
    </w:p>
    <w:p w14:paraId="149D5EFE" w14:textId="25F9C389" w:rsidR="003E4ACB" w:rsidRPr="00BC13CC" w:rsidRDefault="00D571C6" w:rsidP="00E528F7">
      <w:pPr>
        <w:pStyle w:val="ListParagraph"/>
        <w:numPr>
          <w:ilvl w:val="0"/>
          <w:numId w:val="3"/>
        </w:numPr>
      </w:pPr>
      <w:r w:rsidRPr="00BC13CC">
        <w:t>Short-term b</w:t>
      </w:r>
      <w:r w:rsidR="00FE67AA" w:rsidRPr="00BC13CC">
        <w:t xml:space="preserve">ond </w:t>
      </w:r>
      <w:r w:rsidR="001E26E8" w:rsidRPr="00BC13CC">
        <w:t>yields</w:t>
      </w:r>
      <w:r w:rsidR="003E4ACB" w:rsidRPr="00BC13CC">
        <w:t xml:space="preserve"> </w:t>
      </w:r>
      <w:r w:rsidR="00BE1260" w:rsidRPr="00BC13CC">
        <w:t>remained low</w:t>
      </w:r>
      <w:r w:rsidR="00E37A8F" w:rsidRPr="00BC13CC">
        <w:t xml:space="preserve"> </w:t>
      </w:r>
      <w:r w:rsidR="003E4ACB" w:rsidRPr="00BC13CC">
        <w:t xml:space="preserve">during the </w:t>
      </w:r>
      <w:r w:rsidR="00990761" w:rsidRPr="00BC13CC">
        <w:t>quarter,</w:t>
      </w:r>
      <w:r w:rsidR="00613599">
        <w:t xml:space="preserve"> and long-term yields lost some </w:t>
      </w:r>
      <w:r w:rsidR="009443D6">
        <w:t xml:space="preserve">of </w:t>
      </w:r>
      <w:r w:rsidR="00613599">
        <w:t xml:space="preserve">their gains. </w:t>
      </w:r>
      <w:r w:rsidR="00990761" w:rsidRPr="00BC13CC">
        <w:t>T</w:t>
      </w:r>
      <w:r w:rsidR="003E4ACB" w:rsidRPr="00BC13CC">
        <w:t>he 10-y</w:t>
      </w:r>
      <w:r w:rsidR="002F1C7B" w:rsidRPr="00BC13CC">
        <w:t xml:space="preserve">ear U.S. treasury </w:t>
      </w:r>
      <w:r w:rsidR="00990761" w:rsidRPr="00BC13CC">
        <w:t>yielded</w:t>
      </w:r>
      <w:r w:rsidR="009A6A40" w:rsidRPr="00BC13CC">
        <w:t xml:space="preserve"> </w:t>
      </w:r>
      <w:r w:rsidR="00BC13CC" w:rsidRPr="00BC13CC">
        <w:t>1.45</w:t>
      </w:r>
      <w:r w:rsidR="009A6A40" w:rsidRPr="00BC13CC">
        <w:t xml:space="preserve">% annually at the end of </w:t>
      </w:r>
      <w:r w:rsidR="00BC13CC" w:rsidRPr="00BC13CC">
        <w:t>June 2021</w:t>
      </w:r>
      <w:r w:rsidR="009A6A40" w:rsidRPr="00BC13CC">
        <w:t xml:space="preserve"> and the 30-year treasury </w:t>
      </w:r>
      <w:r w:rsidR="00990761" w:rsidRPr="00BC13CC">
        <w:t>yielded</w:t>
      </w:r>
      <w:r w:rsidR="00BC13CC" w:rsidRPr="00BC13CC">
        <w:t xml:space="preserve"> 2.06</w:t>
      </w:r>
      <w:r w:rsidR="002F1C7B" w:rsidRPr="00BC13CC">
        <w:t>%</w:t>
      </w:r>
      <w:r w:rsidR="00BC13CC" w:rsidRPr="00BC13CC">
        <w:t>, both down from the previous quarter</w:t>
      </w:r>
      <w:r w:rsidR="004D0515" w:rsidRPr="00BC13CC">
        <w:t>.</w:t>
      </w:r>
    </w:p>
    <w:p w14:paraId="2A4826B3" w14:textId="418ABAB6" w:rsidR="0069122E" w:rsidRPr="00BC13CC" w:rsidRDefault="0069122E" w:rsidP="0069122E">
      <w:pPr>
        <w:pStyle w:val="ListParagraph"/>
        <w:numPr>
          <w:ilvl w:val="0"/>
          <w:numId w:val="3"/>
        </w:numPr>
      </w:pPr>
      <w:r w:rsidRPr="00BC13CC">
        <w:t xml:space="preserve">Unemployment fell to </w:t>
      </w:r>
      <w:r w:rsidR="00C328EF" w:rsidRPr="00BC13CC">
        <w:t>5.9</w:t>
      </w:r>
      <w:r w:rsidR="00D571C6" w:rsidRPr="00BC13CC">
        <w:t>%</w:t>
      </w:r>
      <w:r w:rsidRPr="00BC13CC">
        <w:t xml:space="preserve"> in</w:t>
      </w:r>
      <w:r w:rsidR="00C328EF" w:rsidRPr="00BC13CC">
        <w:t xml:space="preserve"> June</w:t>
      </w:r>
      <w:r w:rsidRPr="00BC13CC">
        <w:t xml:space="preserve">, and </w:t>
      </w:r>
      <w:r w:rsidR="00CF666C">
        <w:t xml:space="preserve">nonfarm </w:t>
      </w:r>
      <w:r w:rsidRPr="00BC13CC">
        <w:t xml:space="preserve">payroll employment </w:t>
      </w:r>
      <w:r w:rsidR="00C328EF" w:rsidRPr="00BC13CC">
        <w:rPr>
          <w:color w:val="000000" w:themeColor="text1"/>
        </w:rPr>
        <w:t>gained</w:t>
      </w:r>
      <w:r w:rsidRPr="00BC13CC">
        <w:rPr>
          <w:color w:val="000000" w:themeColor="text1"/>
        </w:rPr>
        <w:t xml:space="preserve"> </w:t>
      </w:r>
      <w:r w:rsidR="00CF666C">
        <w:rPr>
          <w:color w:val="000000" w:themeColor="text1"/>
        </w:rPr>
        <w:t>1.7</w:t>
      </w:r>
      <w:r w:rsidR="00C328EF" w:rsidRPr="00BC13CC">
        <w:rPr>
          <w:color w:val="000000" w:themeColor="text1"/>
        </w:rPr>
        <w:t xml:space="preserve"> million</w:t>
      </w:r>
      <w:r w:rsidR="00D571C6" w:rsidRPr="00BC13CC">
        <w:rPr>
          <w:color w:val="000000" w:themeColor="text1"/>
        </w:rPr>
        <w:t xml:space="preserve"> </w:t>
      </w:r>
      <w:r w:rsidR="00C328EF" w:rsidRPr="00BC13CC">
        <w:rPr>
          <w:color w:val="000000" w:themeColor="text1"/>
        </w:rPr>
        <w:t>jobs during the 2</w:t>
      </w:r>
      <w:r w:rsidR="00C328EF" w:rsidRPr="00BC13CC">
        <w:rPr>
          <w:color w:val="000000" w:themeColor="text1"/>
          <w:vertAlign w:val="superscript"/>
        </w:rPr>
        <w:t>nd</w:t>
      </w:r>
      <w:r w:rsidR="00D571C6" w:rsidRPr="00BC13CC">
        <w:rPr>
          <w:color w:val="000000" w:themeColor="text1"/>
          <w:vertAlign w:val="superscript"/>
        </w:rPr>
        <w:t xml:space="preserve"> </w:t>
      </w:r>
      <w:r w:rsidRPr="00BC13CC">
        <w:rPr>
          <w:color w:val="000000" w:themeColor="text1"/>
        </w:rPr>
        <w:t>quarter</w:t>
      </w:r>
      <w:r w:rsidR="00CF666C">
        <w:rPr>
          <w:color w:val="000000" w:themeColor="text1"/>
        </w:rPr>
        <w:t>.</w:t>
      </w:r>
      <w:r w:rsidR="00C328EF" w:rsidRPr="00BC13CC">
        <w:t xml:space="preserve"> </w:t>
      </w:r>
    </w:p>
    <w:p w14:paraId="149D5EFF" w14:textId="1B5A25C3" w:rsidR="003E4ACB" w:rsidRPr="00BC13CC" w:rsidRDefault="007A4896" w:rsidP="00E528F7">
      <w:pPr>
        <w:pStyle w:val="ListParagraph"/>
        <w:numPr>
          <w:ilvl w:val="0"/>
          <w:numId w:val="3"/>
        </w:numPr>
      </w:pPr>
      <w:r>
        <w:t>The Consumer Price Index</w:t>
      </w:r>
      <w:r w:rsidR="006E4B4F" w:rsidRPr="00BC13CC">
        <w:t xml:space="preserve"> </w:t>
      </w:r>
      <w:r w:rsidR="00BE1260" w:rsidRPr="00BC13CC">
        <w:t xml:space="preserve">rose </w:t>
      </w:r>
      <w:r w:rsidR="00BC13CC" w:rsidRPr="00BC13CC">
        <w:t xml:space="preserve">5.32% year-over-year, driven by higher fuel costs. </w:t>
      </w:r>
    </w:p>
    <w:p w14:paraId="02DFF80C" w14:textId="7684DB14" w:rsidR="0069122E" w:rsidRPr="00BC13CC" w:rsidRDefault="0069122E" w:rsidP="0069122E">
      <w:pPr>
        <w:pStyle w:val="ListParagraph"/>
        <w:numPr>
          <w:ilvl w:val="0"/>
          <w:numId w:val="3"/>
        </w:numPr>
      </w:pPr>
      <w:r w:rsidRPr="00BC13CC">
        <w:t xml:space="preserve">Oil prices </w:t>
      </w:r>
      <w:r w:rsidR="00BC13CC" w:rsidRPr="00BC13CC">
        <w:t>continued to rise during the 2</w:t>
      </w:r>
      <w:r w:rsidR="00BC13CC" w:rsidRPr="00BC13CC">
        <w:rPr>
          <w:vertAlign w:val="superscript"/>
        </w:rPr>
        <w:t>nd</w:t>
      </w:r>
      <w:r w:rsidR="00BC13CC" w:rsidRPr="00BC13CC">
        <w:t xml:space="preserve"> quarter, ending at $73.</w:t>
      </w:r>
      <w:r w:rsidR="00E2217E">
        <w:t>52</w:t>
      </w:r>
      <w:r w:rsidR="007A4896">
        <w:t xml:space="preserve"> per barrel</w:t>
      </w:r>
      <w:r w:rsidRPr="00BC13CC">
        <w:t>.</w:t>
      </w:r>
    </w:p>
    <w:p w14:paraId="149D5F00" w14:textId="28FEB75C" w:rsidR="003E4ACB" w:rsidRPr="00BC13CC" w:rsidRDefault="00E736EF" w:rsidP="00E528F7">
      <w:pPr>
        <w:pStyle w:val="ListParagraph"/>
        <w:numPr>
          <w:ilvl w:val="0"/>
          <w:numId w:val="3"/>
        </w:numPr>
      </w:pPr>
      <w:r w:rsidRPr="00BC13CC">
        <w:t xml:space="preserve">New </w:t>
      </w:r>
      <w:r w:rsidR="00BE1260" w:rsidRPr="00BC13CC">
        <w:t xml:space="preserve">housing starts </w:t>
      </w:r>
      <w:r w:rsidR="00BC13CC" w:rsidRPr="00BC13CC">
        <w:t xml:space="preserve">fell </w:t>
      </w:r>
      <w:r w:rsidR="00CF666C">
        <w:t>2</w:t>
      </w:r>
      <w:r w:rsidR="00BC13CC" w:rsidRPr="00CF666C">
        <w:t>%</w:t>
      </w:r>
      <w:r w:rsidR="00BC13CC" w:rsidRPr="00BC13CC">
        <w:t xml:space="preserve"> compared to the first quarter but were up </w:t>
      </w:r>
      <w:r w:rsidR="00CF666C">
        <w:t>44</w:t>
      </w:r>
      <w:r w:rsidR="00BC13CC" w:rsidRPr="00CF666C">
        <w:t>%</w:t>
      </w:r>
      <w:r w:rsidR="00BC13CC" w:rsidRPr="00BC13CC">
        <w:t xml:space="preserve"> year-over-year</w:t>
      </w:r>
      <w:r w:rsidR="0035542E" w:rsidRPr="00BC13CC">
        <w:t>.</w:t>
      </w:r>
      <w:r w:rsidR="00BC13CC" w:rsidRPr="00BC13CC">
        <w:t xml:space="preserve"> </w:t>
      </w:r>
    </w:p>
    <w:p w14:paraId="149D5F03" w14:textId="1B77AE09" w:rsidR="00867D68" w:rsidRDefault="00FC013E" w:rsidP="00F94484">
      <w:pPr>
        <w:pStyle w:val="ListParagraph"/>
        <w:numPr>
          <w:ilvl w:val="0"/>
          <w:numId w:val="3"/>
        </w:numPr>
      </w:pPr>
      <w:r w:rsidRPr="00BC13CC">
        <w:t>U</w:t>
      </w:r>
      <w:r w:rsidR="00F74174" w:rsidRPr="00BC13CC">
        <w:t>.</w:t>
      </w:r>
      <w:r w:rsidRPr="00BC13CC">
        <w:t>S</w:t>
      </w:r>
      <w:r w:rsidR="00F74174" w:rsidRPr="00BC13CC">
        <w:t>.</w:t>
      </w:r>
      <w:r w:rsidRPr="00BC13CC">
        <w:t xml:space="preserve"> </w:t>
      </w:r>
      <w:r w:rsidR="00F94484" w:rsidRPr="00BC13CC">
        <w:t xml:space="preserve">capital </w:t>
      </w:r>
      <w:r w:rsidRPr="00BC13CC">
        <w:t>markets</w:t>
      </w:r>
      <w:r w:rsidR="00D928C8" w:rsidRPr="00BC13CC">
        <w:t xml:space="preserve"> </w:t>
      </w:r>
      <w:r w:rsidR="00BC13CC" w:rsidRPr="00BC13CC">
        <w:t>continued to climb through the second quarter, as the VIX fell</w:t>
      </w:r>
      <w:r w:rsidR="007B0FB5" w:rsidRPr="00BC13CC">
        <w:t>.</w:t>
      </w:r>
      <w:r w:rsidR="00990761" w:rsidRPr="00BC13CC">
        <w:t xml:space="preserve"> The NASDAQ Composite </w:t>
      </w:r>
      <w:r w:rsidR="00BC13CC">
        <w:t>led US equities at 9</w:t>
      </w:r>
      <w:r w:rsidR="00E2217E">
        <w:t>.5</w:t>
      </w:r>
      <w:r w:rsidR="00BC13CC">
        <w:t>%</w:t>
      </w:r>
      <w:r w:rsidR="00867D68">
        <w:t xml:space="preserve">, and the S&amp;P 500 and </w:t>
      </w:r>
      <w:r w:rsidR="007A4896">
        <w:t>Wilshire 5000</w:t>
      </w:r>
      <w:r w:rsidR="00867D68">
        <w:t xml:space="preserve"> Index gained 8</w:t>
      </w:r>
      <w:r w:rsidR="00E2217E">
        <w:t>.2 and 8.1</w:t>
      </w:r>
      <w:r w:rsidR="00867D68">
        <w:t>%</w:t>
      </w:r>
      <w:r w:rsidR="00E2217E">
        <w:t>, respectively</w:t>
      </w:r>
      <w:r w:rsidR="00867D68">
        <w:t xml:space="preserve">. </w:t>
      </w:r>
    </w:p>
    <w:p w14:paraId="15518C54" w14:textId="5113E814" w:rsidR="0076717F" w:rsidRPr="00990761" w:rsidRDefault="00867D68" w:rsidP="00867D68">
      <w:r>
        <w:br w:type="page"/>
      </w:r>
    </w:p>
    <w:p w14:paraId="149D5F04" w14:textId="77777777" w:rsidR="00057711" w:rsidRDefault="00057711" w:rsidP="00057711">
      <w:pPr>
        <w:pStyle w:val="Heading1"/>
      </w:pPr>
      <w:r>
        <w:lastRenderedPageBreak/>
        <w:t>Business Activity</w:t>
      </w:r>
    </w:p>
    <w:p w14:paraId="25413EE4" w14:textId="24B9B142" w:rsidR="00A96A6A" w:rsidRPr="00F27E28" w:rsidRDefault="0080028D" w:rsidP="00057711">
      <w:r w:rsidRPr="00F27E28">
        <w:t>According to the Bureau of Economic Analysis</w:t>
      </w:r>
      <w:r w:rsidR="002608F3" w:rsidRPr="00F27E28">
        <w:t xml:space="preserve"> (BEA)</w:t>
      </w:r>
      <w:r w:rsidRPr="00F27E28">
        <w:t>, real gross domestic product (GDP)</w:t>
      </w:r>
      <w:r w:rsidR="00A8559D" w:rsidRPr="00F27E28">
        <w:rPr>
          <w:rStyle w:val="FootnoteReference"/>
        </w:rPr>
        <w:footnoteReference w:id="3"/>
      </w:r>
      <w:r w:rsidRPr="00F27E28">
        <w:t xml:space="preserve"> </w:t>
      </w:r>
      <w:r w:rsidR="00BD0BA8" w:rsidRPr="00F27E28">
        <w:t xml:space="preserve">for the </w:t>
      </w:r>
      <w:r w:rsidR="00B91356">
        <w:t>2</w:t>
      </w:r>
      <w:r w:rsidR="00B91356" w:rsidRPr="00B91356">
        <w:rPr>
          <w:vertAlign w:val="superscript"/>
        </w:rPr>
        <w:t>nd</w:t>
      </w:r>
      <w:r w:rsidR="00B91356">
        <w:t xml:space="preserve"> quarter of 2021</w:t>
      </w:r>
      <w:r w:rsidR="00700166" w:rsidRPr="00F27E28">
        <w:t xml:space="preserve"> </w:t>
      </w:r>
      <w:r w:rsidR="004B2DF4">
        <w:t>grew</w:t>
      </w:r>
      <w:r w:rsidR="00BD0BA8" w:rsidRPr="00F27E28">
        <w:t xml:space="preserve"> </w:t>
      </w:r>
      <w:r w:rsidRPr="00F27E28">
        <w:t>at an annual</w:t>
      </w:r>
      <w:r w:rsidR="009140B9">
        <w:t>ized</w:t>
      </w:r>
      <w:r w:rsidRPr="00F27E28">
        <w:t xml:space="preserve"> rate of </w:t>
      </w:r>
      <w:r w:rsidR="009140B9">
        <w:t>6.5</w:t>
      </w:r>
      <w:r w:rsidR="00321AA2" w:rsidRPr="00F27E28">
        <w:t>%</w:t>
      </w:r>
      <w:r w:rsidR="001756EC" w:rsidRPr="00F27E28">
        <w:t>,</w:t>
      </w:r>
      <w:r w:rsidRPr="00F27E28">
        <w:t xml:space="preserve"> </w:t>
      </w:r>
      <w:r w:rsidR="009140B9">
        <w:t>slightly higher than the first quarter’s 6.</w:t>
      </w:r>
      <w:r w:rsidR="007A4896">
        <w:t>3</w:t>
      </w:r>
      <w:r w:rsidR="009140B9">
        <w:t>%</w:t>
      </w:r>
      <w:r w:rsidR="005650CD">
        <w:t>.</w:t>
      </w:r>
      <w:r w:rsidR="002F1660">
        <w:t xml:space="preserve"> </w:t>
      </w:r>
      <w:r w:rsidR="00D5240C" w:rsidRPr="002857FD">
        <w:t>The</w:t>
      </w:r>
      <w:r w:rsidR="0067456E" w:rsidRPr="002857FD">
        <w:t xml:space="preserve"> </w:t>
      </w:r>
      <w:r w:rsidR="008744EA" w:rsidRPr="002857FD">
        <w:t>2</w:t>
      </w:r>
      <w:r w:rsidR="008744EA" w:rsidRPr="002857FD">
        <w:rPr>
          <w:vertAlign w:val="superscript"/>
        </w:rPr>
        <w:t>nd</w:t>
      </w:r>
      <w:r w:rsidR="008744EA" w:rsidRPr="002857FD">
        <w:t xml:space="preserve"> </w:t>
      </w:r>
      <w:r w:rsidR="001C5F4E">
        <w:t xml:space="preserve">quarter’s growth </w:t>
      </w:r>
      <w:r w:rsidR="00D5240C" w:rsidRPr="002857FD">
        <w:t xml:space="preserve">represented continuing recovery from the devastating economic effects of the COVID-19 </w:t>
      </w:r>
      <w:proofErr w:type="gramStart"/>
      <w:r w:rsidR="00E40C93" w:rsidRPr="002857FD">
        <w:t>pandemic</w:t>
      </w:r>
      <w:r w:rsidR="001C5F4E">
        <w:t>,</w:t>
      </w:r>
      <w:r w:rsidR="00E40C93" w:rsidRPr="002857FD">
        <w:t xml:space="preserve"> yet</w:t>
      </w:r>
      <w:proofErr w:type="gramEnd"/>
      <w:r w:rsidR="00D5240C" w:rsidRPr="002857FD">
        <w:t xml:space="preserve"> </w:t>
      </w:r>
      <w:r w:rsidR="001C5F4E">
        <w:t xml:space="preserve">was well below </w:t>
      </w:r>
      <w:r w:rsidR="0067456E" w:rsidRPr="002857FD">
        <w:t>e</w:t>
      </w:r>
      <w:r w:rsidR="00D5240C" w:rsidRPr="002857FD">
        <w:t>conomists’ e</w:t>
      </w:r>
      <w:r w:rsidR="0067456E" w:rsidRPr="002857FD">
        <w:t>xpectations</w:t>
      </w:r>
      <w:r w:rsidR="001C5F4E">
        <w:t xml:space="preserve"> of an annualized </w:t>
      </w:r>
      <w:r w:rsidR="007A4896">
        <w:t xml:space="preserve">growth rate of </w:t>
      </w:r>
      <w:r w:rsidR="001C5F4E">
        <w:t>8.4%</w:t>
      </w:r>
      <w:r w:rsidR="0067456E" w:rsidRPr="002857FD">
        <w:t xml:space="preserve">. </w:t>
      </w:r>
    </w:p>
    <w:p w14:paraId="7810A9C6" w14:textId="122CCF1A" w:rsidR="00A96A6A" w:rsidRDefault="00B6548E" w:rsidP="005117CA">
      <w:pPr>
        <w:jc w:val="center"/>
      </w:pPr>
      <w:r>
        <w:rPr>
          <w:noProof/>
        </w:rPr>
        <w:drawing>
          <wp:inline distT="0" distB="0" distL="0" distR="0" wp14:anchorId="05863693" wp14:editId="1B25BF69">
            <wp:extent cx="4097020" cy="2749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6E9155B" w14:textId="12A29544" w:rsidR="00D55969" w:rsidRPr="00B66CB7" w:rsidRDefault="009526E8" w:rsidP="00CD643D">
      <w:r>
        <w:t>G</w:t>
      </w:r>
      <w:r w:rsidR="00B66CB7">
        <w:t>DP growth in the second quarter was due</w:t>
      </w:r>
      <w:r w:rsidR="003711BF" w:rsidRPr="00B66CB7">
        <w:t xml:space="preserve"> </w:t>
      </w:r>
      <w:r w:rsidR="00B66CB7">
        <w:t>almost entirely to a 7.8% annualized contribution from personal consumption</w:t>
      </w:r>
      <w:r w:rsidR="001C5F4E">
        <w:t>, the only component to beat expectations</w:t>
      </w:r>
      <w:r w:rsidR="00B66CB7">
        <w:t>. Private and domestic investment, government consumption and net exports all had a slightly negative impact on GDP, bringing annualized growth down by 1.</w:t>
      </w:r>
      <w:r w:rsidR="007A05AD">
        <w:t>3</w:t>
      </w:r>
      <w:r w:rsidR="00B66CB7">
        <w:t xml:space="preserve">% between the three. </w:t>
      </w:r>
    </w:p>
    <w:p w14:paraId="74EC7CAF" w14:textId="5C11D583" w:rsidR="004D1C9D" w:rsidRDefault="008744EA" w:rsidP="005117CA">
      <w:pPr>
        <w:jc w:val="center"/>
      </w:pPr>
      <w:r>
        <w:t xml:space="preserve"> </w:t>
      </w:r>
    </w:p>
    <w:p w14:paraId="3014DE71" w14:textId="50188045" w:rsidR="00B66CB7" w:rsidRDefault="00B6548E" w:rsidP="005117CA">
      <w:pPr>
        <w:jc w:val="center"/>
      </w:pPr>
      <w:r>
        <w:rPr>
          <w:noProof/>
        </w:rPr>
        <w:lastRenderedPageBreak/>
        <w:drawing>
          <wp:inline distT="0" distB="0" distL="0" distR="0" wp14:anchorId="27A3D72D" wp14:editId="6ACFA2BE">
            <wp:extent cx="4224655" cy="348742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4655" cy="3487420"/>
                    </a:xfrm>
                    <a:prstGeom prst="rect">
                      <a:avLst/>
                    </a:prstGeom>
                    <a:noFill/>
                  </pic:spPr>
                </pic:pic>
              </a:graphicData>
            </a:graphic>
          </wp:inline>
        </w:drawing>
      </w:r>
    </w:p>
    <w:p w14:paraId="31033888" w14:textId="3CB76FFC" w:rsidR="004D1C9D" w:rsidRPr="00FE3C8B" w:rsidRDefault="00D03164" w:rsidP="00174BCD">
      <w:pPr>
        <w:rPr>
          <w:strike/>
        </w:rPr>
      </w:pPr>
      <w:r w:rsidRPr="00D03164">
        <w:t xml:space="preserve">The Industrial Production </w:t>
      </w:r>
      <w:r w:rsidRPr="006331A2">
        <w:t>Index</w:t>
      </w:r>
      <w:r w:rsidRPr="006331A2">
        <w:rPr>
          <w:rStyle w:val="FootnoteReference"/>
        </w:rPr>
        <w:footnoteReference w:id="4"/>
      </w:r>
      <w:r w:rsidRPr="006331A2">
        <w:t xml:space="preserve"> </w:t>
      </w:r>
      <w:r w:rsidRPr="00D03164">
        <w:t>is an economic indicator that measures real output for all facilities located in the United States manufacturing, mining, and electric, and gas utilities</w:t>
      </w:r>
      <w:r>
        <w:t xml:space="preserve">. </w:t>
      </w:r>
      <w:r w:rsidRPr="006331A2">
        <w:t xml:space="preserve">The </w:t>
      </w:r>
      <w:r>
        <w:t xml:space="preserve">index </w:t>
      </w:r>
      <w:r w:rsidRPr="006331A2">
        <w:t xml:space="preserve">stood at </w:t>
      </w:r>
      <w:r>
        <w:t>100.1 at the end of Q2</w:t>
      </w:r>
      <w:r w:rsidRPr="006331A2">
        <w:t xml:space="preserve">, up </w:t>
      </w:r>
      <w:r>
        <w:t>1.17</w:t>
      </w:r>
      <w:r w:rsidRPr="006331A2">
        <w:t xml:space="preserve">% </w:t>
      </w:r>
      <w:r>
        <w:t>for the 2</w:t>
      </w:r>
      <w:r w:rsidRPr="00FE3C8B">
        <w:rPr>
          <w:vertAlign w:val="superscript"/>
        </w:rPr>
        <w:t>nd</w:t>
      </w:r>
      <w:r>
        <w:t xml:space="preserve"> </w:t>
      </w:r>
      <w:r w:rsidRPr="006331A2">
        <w:t>quarter.</w:t>
      </w:r>
    </w:p>
    <w:p w14:paraId="149D5F1F" w14:textId="39ED2888" w:rsidR="00172307" w:rsidRDefault="00B6548E" w:rsidP="00BA7A2C">
      <w:pPr>
        <w:jc w:val="center"/>
      </w:pPr>
      <w:r>
        <w:rPr>
          <w:noProof/>
        </w:rPr>
        <w:drawing>
          <wp:inline distT="0" distB="0" distL="0" distR="0" wp14:anchorId="044BA60A" wp14:editId="5698D3E6">
            <wp:extent cx="3816350" cy="273748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5A38C44B" w14:textId="1444432F" w:rsidR="007A05AD" w:rsidRDefault="007A05AD" w:rsidP="007A05AD">
      <w:r>
        <w:lastRenderedPageBreak/>
        <w:t>The Capacity Utilization Index</w:t>
      </w:r>
      <w:r>
        <w:rPr>
          <w:rStyle w:val="FootnoteReference"/>
        </w:rPr>
        <w:footnoteReference w:id="5"/>
      </w:r>
      <w:r>
        <w:t>, which attempts to capture industrial output as a percentage of the economy’s maximum production capacity, increased to 75.5%, slowing as it approaches the pre-pandemic level of 76.5%. The 10-year high for the metric was 78.</w:t>
      </w:r>
      <w:r w:rsidR="00D03164">
        <w:t>4</w:t>
      </w:r>
      <w:r>
        <w:t>% in August of 2018.</w:t>
      </w:r>
    </w:p>
    <w:p w14:paraId="2B52197D" w14:textId="55B7251A" w:rsidR="007A05AD" w:rsidRDefault="007A05AD" w:rsidP="00BA7A2C">
      <w:pPr>
        <w:jc w:val="center"/>
      </w:pPr>
      <w:r>
        <w:rPr>
          <w:noProof/>
        </w:rPr>
        <w:drawing>
          <wp:inline distT="0" distB="0" distL="0" distR="0" wp14:anchorId="0E0F5503" wp14:editId="7846F879">
            <wp:extent cx="3816350" cy="27374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49D5F20" w14:textId="72147876" w:rsidR="00005111" w:rsidRPr="005261C1" w:rsidRDefault="00005111" w:rsidP="005261C1">
      <w:pPr>
        <w:pStyle w:val="Heading1"/>
      </w:pPr>
      <w:r w:rsidRPr="005261C1">
        <w:t>Interest Rates</w:t>
      </w:r>
    </w:p>
    <w:p w14:paraId="472CBB47" w14:textId="5122445C" w:rsidR="00A96A6A" w:rsidRDefault="00231BB2" w:rsidP="00005111">
      <w:pPr>
        <w:rPr>
          <w:color w:val="000000" w:themeColor="text1"/>
        </w:rPr>
      </w:pPr>
      <w:r>
        <w:t xml:space="preserve">The effective funds rate stayed near its all-time low during the quarter rising </w:t>
      </w:r>
      <w:r w:rsidR="007A4896">
        <w:t xml:space="preserve">slightly </w:t>
      </w:r>
      <w:r>
        <w:t>from .07% to .08%, while short-term treasury rates</w:t>
      </w:r>
      <w:r w:rsidR="00A73A66">
        <w:t xml:space="preserve"> moved little during the quarter</w:t>
      </w:r>
      <w:r>
        <w:t>. L</w:t>
      </w:r>
      <w:r w:rsidR="00022BB4">
        <w:t>ong-term treasury bond yields</w:t>
      </w:r>
      <w:r w:rsidR="0092287E">
        <w:t>,</w:t>
      </w:r>
      <w:r>
        <w:t xml:space="preserve"> which had risen during Q4 2020 and Q1 2021, </w:t>
      </w:r>
      <w:r w:rsidR="00A73A66">
        <w:t>fell slightly</w:t>
      </w:r>
      <w:r>
        <w:t xml:space="preserve"> as coronavirus concerns weighed on investor sentiment and inflation expectations continued to rise.</w:t>
      </w:r>
      <w:r w:rsidR="0092287E">
        <w:t xml:space="preserve"> </w:t>
      </w:r>
      <w:r w:rsidR="008844A2">
        <w:t>The Fed’s upward revision of inflation forecasts</w:t>
      </w:r>
      <w:r>
        <w:t xml:space="preserve"> was the primary catalyst during the quarter, while concerns that the Delta-variant could hamper the recovery tapered this movement. </w:t>
      </w:r>
      <w:r w:rsidR="008844A2">
        <w:t>The result was a slight drop in longer-term Treasuries, while 1</w:t>
      </w:r>
      <w:r w:rsidR="005E7A94">
        <w:t xml:space="preserve">-year and 2-year annual treasury yields </w:t>
      </w:r>
      <w:r w:rsidR="00B65667">
        <w:t>ended the quarter</w:t>
      </w:r>
      <w:r w:rsidR="005E7A94">
        <w:t xml:space="preserve"> at </w:t>
      </w:r>
      <w:r w:rsidR="00B65667">
        <w:t>0.</w:t>
      </w:r>
      <w:r w:rsidR="008844A2">
        <w:t>7</w:t>
      </w:r>
      <w:r w:rsidR="005E7A94">
        <w:t>%</w:t>
      </w:r>
      <w:r w:rsidR="008844A2">
        <w:t xml:space="preserve"> and 0.25</w:t>
      </w:r>
      <w:r w:rsidR="006E6EAA">
        <w:t>%, respectively</w:t>
      </w:r>
      <w:r w:rsidR="005E7A94">
        <w:t>.</w:t>
      </w:r>
      <w:r>
        <w:t xml:space="preserve"> The </w:t>
      </w:r>
      <w:r w:rsidR="005E7A94">
        <w:t xml:space="preserve">benchmark </w:t>
      </w:r>
      <w:r w:rsidR="00022BB4">
        <w:t>1</w:t>
      </w:r>
      <w:r w:rsidR="0061080D" w:rsidRPr="0005726F">
        <w:t xml:space="preserve">0-year treasury </w:t>
      </w:r>
      <w:r w:rsidR="005E7A94">
        <w:t>yielded</w:t>
      </w:r>
      <w:r w:rsidR="0061080D" w:rsidRPr="0005726F">
        <w:t xml:space="preserve"> </w:t>
      </w:r>
      <w:r w:rsidR="008844A2">
        <w:t>1.45</w:t>
      </w:r>
      <w:r w:rsidR="008844A2" w:rsidRPr="0005726F">
        <w:t xml:space="preserve"> </w:t>
      </w:r>
      <w:r w:rsidR="0061080D" w:rsidRPr="0005726F">
        <w:t>%</w:t>
      </w:r>
      <w:r w:rsidR="005E7A94">
        <w:t xml:space="preserve"> annually at the</w:t>
      </w:r>
      <w:r w:rsidR="00B65667">
        <w:t xml:space="preserve"> end of </w:t>
      </w:r>
      <w:r w:rsidR="008844A2">
        <w:t>the quarter</w:t>
      </w:r>
      <w:r w:rsidR="005E7A94">
        <w:t xml:space="preserve">, while </w:t>
      </w:r>
      <w:r w:rsidR="00D851AB" w:rsidRPr="0005726F">
        <w:t xml:space="preserve">the </w:t>
      </w:r>
      <w:r w:rsidR="00022BB4">
        <w:t>3</w:t>
      </w:r>
      <w:r w:rsidR="00D851AB" w:rsidRPr="0005726F">
        <w:t xml:space="preserve">0-year treasury </w:t>
      </w:r>
      <w:r w:rsidR="00B65667">
        <w:t>yielded</w:t>
      </w:r>
      <w:r w:rsidR="00D851AB" w:rsidRPr="0005726F">
        <w:t xml:space="preserve"> </w:t>
      </w:r>
      <w:r w:rsidR="008844A2">
        <w:t>2.06</w:t>
      </w:r>
      <w:r w:rsidR="00D851AB" w:rsidRPr="0005726F">
        <w:t>%</w:t>
      </w:r>
      <w:r w:rsidR="00AE64EF" w:rsidRPr="007807DE">
        <w:rPr>
          <w:color w:val="000000" w:themeColor="text1"/>
        </w:rPr>
        <w:t>.</w:t>
      </w:r>
      <w:r w:rsidR="002301AB">
        <w:rPr>
          <w:color w:val="000000" w:themeColor="text1"/>
        </w:rPr>
        <w:t xml:space="preserve"> See </w:t>
      </w:r>
      <w:r w:rsidR="002301AB" w:rsidRPr="00CF2402">
        <w:rPr>
          <w:i/>
          <w:iCs/>
          <w:color w:val="000000" w:themeColor="text1"/>
        </w:rPr>
        <w:t>Appendix – Selected Interest Rates</w:t>
      </w:r>
      <w:r w:rsidR="002301AB">
        <w:rPr>
          <w:color w:val="000000" w:themeColor="text1"/>
        </w:rPr>
        <w:t xml:space="preserve"> for detailed interest rate data. </w:t>
      </w:r>
    </w:p>
    <w:p w14:paraId="0614E8BB" w14:textId="56D2EA70" w:rsidR="004D1C9D" w:rsidRDefault="00B6548E" w:rsidP="005117CA">
      <w:pPr>
        <w:jc w:val="center"/>
      </w:pPr>
      <w:r>
        <w:rPr>
          <w:noProof/>
        </w:rPr>
        <w:lastRenderedPageBreak/>
        <w:drawing>
          <wp:inline distT="0" distB="0" distL="0" distR="0" wp14:anchorId="65C56069" wp14:editId="259B6DE0">
            <wp:extent cx="3493135" cy="27559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3135" cy="2755900"/>
                    </a:xfrm>
                    <a:prstGeom prst="rect">
                      <a:avLst/>
                    </a:prstGeom>
                    <a:noFill/>
                  </pic:spPr>
                </pic:pic>
              </a:graphicData>
            </a:graphic>
          </wp:inline>
        </w:drawing>
      </w:r>
    </w:p>
    <w:p w14:paraId="031CA932" w14:textId="78B549CB" w:rsidR="00B00681" w:rsidRDefault="00171C8E" w:rsidP="00005111">
      <w:r w:rsidRPr="004709B0">
        <w:t xml:space="preserve">In </w:t>
      </w:r>
      <w:r w:rsidR="00B34926">
        <w:t xml:space="preserve">the </w:t>
      </w:r>
      <w:r w:rsidR="00A73A66">
        <w:t>2</w:t>
      </w:r>
      <w:r w:rsidR="00A73A66">
        <w:rPr>
          <w:vertAlign w:val="superscript"/>
        </w:rPr>
        <w:t>nd</w:t>
      </w:r>
      <w:r w:rsidR="006B3D25">
        <w:t xml:space="preserve"> </w:t>
      </w:r>
      <w:r w:rsidR="00B34926">
        <w:t>quarter of 2020</w:t>
      </w:r>
      <w:r w:rsidR="00FE4D42">
        <w:t>,</w:t>
      </w:r>
      <w:r w:rsidRPr="004709B0">
        <w:t xml:space="preserve"> the Federal Reserve </w:t>
      </w:r>
      <w:r w:rsidR="006B3D25">
        <w:t>continued to keep</w:t>
      </w:r>
      <w:r w:rsidR="003376CD" w:rsidRPr="004709B0">
        <w:t xml:space="preserve"> </w:t>
      </w:r>
      <w:r w:rsidR="00D851AB" w:rsidRPr="004709B0">
        <w:t>the federal funds target rate</w:t>
      </w:r>
      <w:r w:rsidR="00740863">
        <w:t xml:space="preserve"> </w:t>
      </w:r>
      <w:r w:rsidR="00B34926">
        <w:t>steady at</w:t>
      </w:r>
      <w:r w:rsidR="004709B0" w:rsidRPr="004709B0">
        <w:t xml:space="preserve"> </w:t>
      </w:r>
      <w:r w:rsidR="00624AEF">
        <w:t xml:space="preserve">a range of </w:t>
      </w:r>
      <w:r w:rsidR="00B65667">
        <w:t>0.0</w:t>
      </w:r>
      <w:r w:rsidR="005E7A94">
        <w:t>0</w:t>
      </w:r>
      <w:r w:rsidR="00624AEF">
        <w:t xml:space="preserve"> to </w:t>
      </w:r>
      <w:r w:rsidR="00B65667">
        <w:t>0.2</w:t>
      </w:r>
      <w:r w:rsidR="005E7A94">
        <w:t>5</w:t>
      </w:r>
      <w:r w:rsidR="004709B0" w:rsidRPr="004709B0">
        <w:t xml:space="preserve"> percent</w:t>
      </w:r>
      <w:r w:rsidR="00BA1CC0">
        <w:t xml:space="preserve">, </w:t>
      </w:r>
      <w:r w:rsidR="00A73A66">
        <w:t xml:space="preserve">stating that reducing unemployment outweighed growing inflation as the </w:t>
      </w:r>
      <w:r w:rsidR="00D25461">
        <w:t xml:space="preserve">central </w:t>
      </w:r>
      <w:r w:rsidR="00A73A66">
        <w:t xml:space="preserve">bank’s </w:t>
      </w:r>
      <w:proofErr w:type="gramStart"/>
      <w:r w:rsidR="00A73A66">
        <w:t>first priority</w:t>
      </w:r>
      <w:proofErr w:type="gramEnd"/>
      <w:r w:rsidR="00A73A66">
        <w:t>.</w:t>
      </w:r>
      <w:r w:rsidR="000B0583">
        <w:t xml:space="preserve"> </w:t>
      </w:r>
      <w:r w:rsidR="003F5061">
        <w:t>The effective federal funds rate</w:t>
      </w:r>
      <w:r w:rsidR="003F5061">
        <w:rPr>
          <w:rStyle w:val="FootnoteReference"/>
        </w:rPr>
        <w:footnoteReference w:id="6"/>
      </w:r>
      <w:r w:rsidR="003F5061">
        <w:t xml:space="preserve"> </w:t>
      </w:r>
      <w:r w:rsidR="00A73A66">
        <w:t xml:space="preserve">at the end of Q2 was 0.08, </w:t>
      </w:r>
      <w:proofErr w:type="gramStart"/>
      <w:r w:rsidR="00A73A66">
        <w:t>similar to</w:t>
      </w:r>
      <w:proofErr w:type="gramEnd"/>
      <w:r w:rsidR="00A73A66">
        <w:t xml:space="preserve"> recent quarters. </w:t>
      </w:r>
    </w:p>
    <w:p w14:paraId="515AD2F7" w14:textId="4FEFF1C8" w:rsidR="004D1C9D" w:rsidRDefault="003C4023" w:rsidP="00166C08">
      <w:pPr>
        <w:jc w:val="center"/>
      </w:pPr>
      <w:r>
        <w:rPr>
          <w:noProof/>
        </w:rPr>
        <w:drawing>
          <wp:inline distT="0" distB="0" distL="0" distR="0" wp14:anchorId="17A659DE" wp14:editId="0EC5A8F8">
            <wp:extent cx="3493135" cy="27432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7D026DBE" w14:textId="062A0228" w:rsidR="004D1C9D" w:rsidRDefault="005117CA" w:rsidP="005261C1">
      <w:r>
        <w:t>T</w:t>
      </w:r>
      <w:r w:rsidR="002978F9" w:rsidRPr="003376CD">
        <w:t xml:space="preserve">he yield on the </w:t>
      </w:r>
      <w:r w:rsidR="0039196F">
        <w:t xml:space="preserve">benchmark </w:t>
      </w:r>
      <w:r w:rsidR="002978F9" w:rsidRPr="003376CD">
        <w:t>10-year U.S. treasury</w:t>
      </w:r>
      <w:r w:rsidR="004759DB">
        <w:rPr>
          <w:rStyle w:val="FootnoteReference"/>
        </w:rPr>
        <w:footnoteReference w:id="7"/>
      </w:r>
      <w:r w:rsidR="002978F9" w:rsidRPr="003376CD">
        <w:t xml:space="preserve"> </w:t>
      </w:r>
      <w:r w:rsidR="00A73A66">
        <w:t xml:space="preserve">fell </w:t>
      </w:r>
      <w:r w:rsidR="00FA3F38">
        <w:t>29</w:t>
      </w:r>
      <w:r w:rsidR="007A4896">
        <w:t xml:space="preserve"> basis</w:t>
      </w:r>
      <w:r>
        <w:t xml:space="preserve"> points </w:t>
      </w:r>
      <w:r w:rsidR="00D22D6A">
        <w:t xml:space="preserve">during the </w:t>
      </w:r>
      <w:r w:rsidR="00A73A66">
        <w:t>2</w:t>
      </w:r>
      <w:r w:rsidR="00A73A66" w:rsidRPr="00A73A66">
        <w:rPr>
          <w:vertAlign w:val="superscript"/>
        </w:rPr>
        <w:t>nd</w:t>
      </w:r>
      <w:r w:rsidR="00A73A66">
        <w:t xml:space="preserve"> </w:t>
      </w:r>
      <w:r>
        <w:t>quarter</w:t>
      </w:r>
      <w:r w:rsidR="00A73A66">
        <w:t xml:space="preserve"> to 1.45%, </w:t>
      </w:r>
      <w:r w:rsidR="00D22D6A">
        <w:t xml:space="preserve">well </w:t>
      </w:r>
      <w:r w:rsidR="00071875" w:rsidRPr="003376CD">
        <w:t xml:space="preserve">below the average yield of </w:t>
      </w:r>
      <w:r w:rsidR="003376CD" w:rsidRPr="003376CD">
        <w:t>4.</w:t>
      </w:r>
      <w:r w:rsidR="00D25461">
        <w:t>1</w:t>
      </w:r>
      <w:r w:rsidR="00E536DC">
        <w:t>6</w:t>
      </w:r>
      <w:r w:rsidR="004965CE" w:rsidRPr="003376CD">
        <w:t>% over the last 30 years</w:t>
      </w:r>
      <w:r w:rsidR="00CB629F" w:rsidRPr="003376CD">
        <w:t>.</w:t>
      </w:r>
      <w:r w:rsidR="00A73A66">
        <w:t xml:space="preserve"> </w:t>
      </w:r>
    </w:p>
    <w:p w14:paraId="67433862" w14:textId="3A087697" w:rsidR="004D1C9D" w:rsidRDefault="003C4023" w:rsidP="005117CA">
      <w:pPr>
        <w:jc w:val="center"/>
      </w:pPr>
      <w:r>
        <w:rPr>
          <w:noProof/>
        </w:rPr>
        <w:lastRenderedPageBreak/>
        <w:drawing>
          <wp:inline distT="0" distB="0" distL="0" distR="0" wp14:anchorId="4C359A0A" wp14:editId="6EB53D95">
            <wp:extent cx="3499485" cy="27495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9485" cy="2749550"/>
                    </a:xfrm>
                    <a:prstGeom prst="rect">
                      <a:avLst/>
                    </a:prstGeom>
                    <a:noFill/>
                  </pic:spPr>
                </pic:pic>
              </a:graphicData>
            </a:graphic>
          </wp:inline>
        </w:drawing>
      </w:r>
    </w:p>
    <w:p w14:paraId="78C21554" w14:textId="591DDC7F" w:rsidR="003412DA" w:rsidRDefault="00A73A66" w:rsidP="00460436">
      <w:r>
        <w:t xml:space="preserve">After rising every month of the first quarter, </w:t>
      </w:r>
      <w:r w:rsidR="003C4023" w:rsidRPr="007E5B14">
        <w:t>corporate</w:t>
      </w:r>
      <w:r w:rsidR="00F02B3A" w:rsidRPr="007E5B14">
        <w:t xml:space="preserve"> bond yields </w:t>
      </w:r>
      <w:r>
        <w:t xml:space="preserve">reversed and fell </w:t>
      </w:r>
      <w:r w:rsidR="00261A6E">
        <w:t xml:space="preserve">every month of Q2. </w:t>
      </w:r>
      <w:r w:rsidR="00F02B3A" w:rsidRPr="007E5B14">
        <w:t>Moody’s Baa Corpor</w:t>
      </w:r>
      <w:r w:rsidR="00102080" w:rsidRPr="007E5B14">
        <w:t xml:space="preserve">ate Bond Yield </w:t>
      </w:r>
      <w:r w:rsidR="004E3393" w:rsidRPr="007E5B14">
        <w:t>Index</w:t>
      </w:r>
      <w:r w:rsidR="004E5EC0">
        <w:rPr>
          <w:rStyle w:val="FootnoteReference"/>
        </w:rPr>
        <w:footnoteReference w:id="8"/>
      </w:r>
      <w:r w:rsidR="004E3393" w:rsidRPr="007E5B14">
        <w:t xml:space="preserve"> </w:t>
      </w:r>
      <w:r w:rsidR="00261A6E">
        <w:t>ended</w:t>
      </w:r>
      <w:r w:rsidR="00102080" w:rsidRPr="007E5B14">
        <w:t xml:space="preserve"> the quarter</w:t>
      </w:r>
      <w:r w:rsidR="00F02B3A" w:rsidRPr="007E5B14">
        <w:t xml:space="preserve"> at </w:t>
      </w:r>
      <w:r w:rsidR="00D22D6A">
        <w:t>3.</w:t>
      </w:r>
      <w:r w:rsidR="00FA3F38">
        <w:t>32</w:t>
      </w:r>
      <w:r w:rsidR="004965CE" w:rsidRPr="007E5B14">
        <w:t xml:space="preserve">% compared to </w:t>
      </w:r>
      <w:r w:rsidR="006B792C">
        <w:t>3.</w:t>
      </w:r>
      <w:r w:rsidR="00261A6E">
        <w:t>7</w:t>
      </w:r>
      <w:r w:rsidR="00FA3F38">
        <w:t>7</w:t>
      </w:r>
      <w:r w:rsidR="00F02B3A" w:rsidRPr="007E5B14">
        <w:t>%</w:t>
      </w:r>
      <w:r w:rsidR="00261A6E">
        <w:t xml:space="preserve"> in March</w:t>
      </w:r>
      <w:r w:rsidR="00823E2B">
        <w:t xml:space="preserve">. </w:t>
      </w:r>
      <w:r w:rsidR="00261A6E">
        <w:t xml:space="preserve">Moody’s </w:t>
      </w:r>
      <w:proofErr w:type="spellStart"/>
      <w:r w:rsidR="00261A6E">
        <w:t>Aaa</w:t>
      </w:r>
      <w:proofErr w:type="spellEnd"/>
      <w:r w:rsidR="00261A6E">
        <w:t xml:space="preserve"> Index moved similarly from 3.04% to 2.63%. Starting in March of 2020, the Federal Reserve took the unprecedented measure of</w:t>
      </w:r>
      <w:r w:rsidR="003412DA">
        <w:t xml:space="preserve"> building</w:t>
      </w:r>
      <w:r w:rsidR="00261A6E">
        <w:t xml:space="preserve"> a portfolio of corporate bonds, effectively </w:t>
      </w:r>
      <w:r w:rsidR="007A4896">
        <w:t xml:space="preserve">backstopping </w:t>
      </w:r>
      <w:r w:rsidR="00261A6E">
        <w:t xml:space="preserve">the corporate bond market. Shortly after doing so, the riskier Baa index reversed its yield spike and began to fall lower. The move was less dramatic for </w:t>
      </w:r>
      <w:proofErr w:type="spellStart"/>
      <w:r w:rsidR="00261A6E">
        <w:t>Aaa</w:t>
      </w:r>
      <w:proofErr w:type="spellEnd"/>
      <w:r w:rsidR="00261A6E">
        <w:t xml:space="preserve">, but both markets </w:t>
      </w:r>
      <w:r w:rsidR="003412DA">
        <w:t>were</w:t>
      </w:r>
      <w:r w:rsidR="00261A6E">
        <w:t xml:space="preserve"> affected </w:t>
      </w:r>
      <w:r w:rsidR="003412DA">
        <w:t xml:space="preserve">directly </w:t>
      </w:r>
      <w:r w:rsidR="00261A6E">
        <w:t xml:space="preserve">by the Fed’s </w:t>
      </w:r>
      <w:r w:rsidR="003412DA">
        <w:t xml:space="preserve">$13 billion portfolio, as well as by its expansionary operations in 2020. </w:t>
      </w:r>
    </w:p>
    <w:p w14:paraId="62B8B6AA" w14:textId="585D5A8D" w:rsidR="00A96A6A" w:rsidRDefault="003412DA" w:rsidP="00460436">
      <w:r>
        <w:t xml:space="preserve">In early July, the Fed announced that it would begin gradually selling its off its bond holdings, which could put near-term upward pressure on yields, especially for the riskier Baa index. More broadly, the Federal Reserve’s decision to actively purchase corporate bonds marked a new frontier for its role in capital markets. </w:t>
      </w:r>
    </w:p>
    <w:p w14:paraId="7CE57D35" w14:textId="5C4E0D06" w:rsidR="005117CA" w:rsidRDefault="003C4023" w:rsidP="005117CA">
      <w:pPr>
        <w:jc w:val="center"/>
      </w:pPr>
      <w:r>
        <w:rPr>
          <w:noProof/>
        </w:rPr>
        <w:lastRenderedPageBreak/>
        <w:drawing>
          <wp:inline distT="0" distB="0" distL="0" distR="0" wp14:anchorId="2AB5BA7D" wp14:editId="03728B13">
            <wp:extent cx="3493135" cy="27432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2F" w14:textId="479C442E" w:rsidR="00005111" w:rsidRDefault="00005111" w:rsidP="005261C1">
      <w:pPr>
        <w:pStyle w:val="Heading1"/>
      </w:pPr>
      <w:r>
        <w:t>Employment</w:t>
      </w:r>
    </w:p>
    <w:p w14:paraId="6A12E6BF" w14:textId="4724B7F7" w:rsidR="003412DA" w:rsidRDefault="003412DA" w:rsidP="003412DA">
      <w:r w:rsidRPr="003412DA">
        <w:t>The official unemployment rate</w:t>
      </w:r>
      <w:r w:rsidR="009D7CB0">
        <w:rPr>
          <w:rStyle w:val="FootnoteReference"/>
        </w:rPr>
        <w:footnoteReference w:id="9"/>
      </w:r>
      <w:r w:rsidRPr="003412DA">
        <w:t xml:space="preserve"> saw its recovery slow in Q2, falling marginally to 5.9%. This figure matches the 30-year historical average but is substantially higher than its pre-pandemic level of 3.5%.  In response to stronger data, economists </w:t>
      </w:r>
      <w:r w:rsidR="007A4896">
        <w:t>surveyed</w:t>
      </w:r>
      <w:r w:rsidRPr="003412DA">
        <w:t xml:space="preserve"> by the Livingston Survey</w:t>
      </w:r>
      <w:r w:rsidR="00C7535D">
        <w:rPr>
          <w:rStyle w:val="FootnoteReference"/>
        </w:rPr>
        <w:footnoteReference w:id="10"/>
      </w:r>
      <w:r w:rsidRPr="003412DA">
        <w:t xml:space="preserve"> revised their unemployment projections for the end of 2021 to 4.7%, down from a predicted 5.5% in December of 2020. </w:t>
      </w:r>
    </w:p>
    <w:p w14:paraId="799A9D83" w14:textId="45F4885E" w:rsidR="009526E8" w:rsidRDefault="009526E8" w:rsidP="009526E8">
      <w:pPr>
        <w:jc w:val="center"/>
      </w:pPr>
      <w:r>
        <w:rPr>
          <w:noProof/>
        </w:rPr>
        <w:drawing>
          <wp:inline distT="0" distB="0" distL="0" distR="0" wp14:anchorId="1042CA9E" wp14:editId="6D63D288">
            <wp:extent cx="3493135" cy="2743200"/>
            <wp:effectExtent l="0" t="0" r="0" b="0"/>
            <wp:docPr id="37" name="Picture 3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line ch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51205F54" w14:textId="10BF7C00" w:rsidR="007A4896" w:rsidRDefault="007A4896" w:rsidP="007A4896">
      <w:r w:rsidRPr="003412DA">
        <w:lastRenderedPageBreak/>
        <w:t xml:space="preserve">The U-6 </w:t>
      </w:r>
      <w:r w:rsidR="00895002">
        <w:t xml:space="preserve">unemployment </w:t>
      </w:r>
      <w:r w:rsidRPr="003412DA">
        <w:t>rate</w:t>
      </w:r>
      <w:r w:rsidR="009D7CB0">
        <w:rPr>
          <w:rStyle w:val="FootnoteReference"/>
        </w:rPr>
        <w:footnoteReference w:id="11"/>
      </w:r>
      <w:r w:rsidRPr="003412DA">
        <w:t xml:space="preserve"> is an alternative measure of unemployment with a broader definition, such as discouraged workers who are not actively searching for jobs but want full-time work and part-time workers who want full-time work.  The U</w:t>
      </w:r>
      <w:r w:rsidRPr="003412DA">
        <w:noBreakHyphen/>
        <w:t xml:space="preserve">6 </w:t>
      </w:r>
      <w:r w:rsidR="00895002">
        <w:t xml:space="preserve">unemployment </w:t>
      </w:r>
      <w:r w:rsidRPr="003412DA">
        <w:t>rate has generally followed the same pattern as the official rate, and has fallen in every month since April</w:t>
      </w:r>
      <w:r>
        <w:t xml:space="preserve"> of 2020, reaching 9.8% in June</w:t>
      </w:r>
      <w:r w:rsidRPr="003412DA">
        <w:t>.</w:t>
      </w:r>
    </w:p>
    <w:p w14:paraId="6B09010C" w14:textId="454CA611" w:rsidR="007A4896" w:rsidRDefault="00661AA7" w:rsidP="004846E4">
      <w:pPr>
        <w:jc w:val="center"/>
      </w:pPr>
      <w:r>
        <w:rPr>
          <w:noProof/>
        </w:rPr>
        <w:drawing>
          <wp:inline distT="0" distB="0" distL="0" distR="0" wp14:anchorId="261AFEA4" wp14:editId="3FB2B168">
            <wp:extent cx="3493135" cy="27432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2A158EAA" w14:textId="38C1F696" w:rsidR="003412DA" w:rsidRPr="003412DA" w:rsidRDefault="009D7CB0" w:rsidP="003412DA">
      <w:r>
        <w:t>Nonfarm p</w:t>
      </w:r>
      <w:r w:rsidR="003412DA">
        <w:t>ayrolls</w:t>
      </w:r>
      <w:r>
        <w:rPr>
          <w:rStyle w:val="FootnoteReference"/>
        </w:rPr>
        <w:footnoteReference w:id="12"/>
      </w:r>
      <w:r w:rsidR="003412DA">
        <w:t xml:space="preserve"> grew by </w:t>
      </w:r>
      <w:r w:rsidR="00A14C86">
        <w:t>1.7</w:t>
      </w:r>
      <w:r w:rsidR="003412DA">
        <w:t xml:space="preserve"> million jobs in Q2</w:t>
      </w:r>
      <w:r w:rsidR="00A14C86">
        <w:t xml:space="preserve"> and 7.9 million compared to the same period last year</w:t>
      </w:r>
      <w:r w:rsidR="003412DA">
        <w:t xml:space="preserve">, marking a continued rebound from the massive job losses of the first half of 2020. The economy is still </w:t>
      </w:r>
      <w:r w:rsidR="00A14C86">
        <w:t xml:space="preserve">about </w:t>
      </w:r>
      <w:r w:rsidR="003412DA">
        <w:t>7 million shy of Q</w:t>
      </w:r>
      <w:r w:rsidR="00A14C86">
        <w:t>1 2020</w:t>
      </w:r>
      <w:r w:rsidR="003412DA">
        <w:t xml:space="preserve">’s nonfarm payrolls of </w:t>
      </w:r>
      <w:r w:rsidR="00A14C86">
        <w:t>152.5</w:t>
      </w:r>
      <w:r w:rsidR="003412DA">
        <w:t xml:space="preserve"> million. </w:t>
      </w:r>
    </w:p>
    <w:p w14:paraId="1926EEEC" w14:textId="270EA0EC" w:rsidR="0017576B" w:rsidRDefault="003C4023" w:rsidP="009526E8">
      <w:pPr>
        <w:jc w:val="center"/>
      </w:pPr>
      <w:r>
        <w:rPr>
          <w:noProof/>
        </w:rPr>
        <w:drawing>
          <wp:inline distT="0" distB="0" distL="0" distR="0" wp14:anchorId="521920F4" wp14:editId="2898B7A8">
            <wp:extent cx="3846830" cy="27432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6830" cy="2743200"/>
                    </a:xfrm>
                    <a:prstGeom prst="rect">
                      <a:avLst/>
                    </a:prstGeom>
                    <a:noFill/>
                  </pic:spPr>
                </pic:pic>
              </a:graphicData>
            </a:graphic>
          </wp:inline>
        </w:drawing>
      </w:r>
    </w:p>
    <w:p w14:paraId="149D5F38" w14:textId="77777777" w:rsidR="00005111" w:rsidRDefault="00005111" w:rsidP="001475FF">
      <w:pPr>
        <w:pStyle w:val="Heading1"/>
      </w:pPr>
      <w:r>
        <w:lastRenderedPageBreak/>
        <w:t>Inflation</w:t>
      </w:r>
    </w:p>
    <w:p w14:paraId="52A0C1E8" w14:textId="72E6074B" w:rsidR="00176F91" w:rsidRDefault="000D4AF1" w:rsidP="00005111">
      <w:r>
        <w:t xml:space="preserve">For the first time in many years, inflation is squarely back on the minds of consumers and market watchers. </w:t>
      </w:r>
      <w:r w:rsidR="00661AA7">
        <w:t>The Consumer Price Index</w:t>
      </w:r>
      <w:r w:rsidR="009B52AF">
        <w:rPr>
          <w:rStyle w:val="FootnoteReference"/>
        </w:rPr>
        <w:footnoteReference w:id="13"/>
      </w:r>
      <w:r w:rsidR="00661AA7">
        <w:t xml:space="preserve"> </w:t>
      </w:r>
      <w:r w:rsidR="004E1574">
        <w:t>rose</w:t>
      </w:r>
      <w:r>
        <w:t xml:space="preserve"> 5.3% year-over-year in June, 4.5% without food and energy prices included. Notably, the price</w:t>
      </w:r>
      <w:r w:rsidR="005C22CA">
        <w:t xml:space="preserve"> of a gallon of gas increased</w:t>
      </w:r>
      <w:r>
        <w:t xml:space="preserve"> 47% in June over the preceding year, from a national average of $2.08 to $3.06.</w:t>
      </w:r>
      <w:r w:rsidR="004E1574">
        <w:t xml:space="preserve"> </w:t>
      </w:r>
      <w:r>
        <w:t>The Federal Reserve acknowledged their awareness</w:t>
      </w:r>
      <w:r w:rsidR="00450276">
        <w:t xml:space="preserve"> of the </w:t>
      </w:r>
      <w:proofErr w:type="gramStart"/>
      <w:r w:rsidR="00450276">
        <w:t>issue</w:t>
      </w:r>
      <w:r>
        <w:t>, but</w:t>
      </w:r>
      <w:proofErr w:type="gramEnd"/>
      <w:r>
        <w:t xml:space="preserve"> did not </w:t>
      </w:r>
      <w:r w:rsidR="00450276">
        <w:t xml:space="preserve">foresee any rate hikes in the near term. Speculation abounds over whether the jump in inflation is transitory, driven by rebounding demand and still-recovering productive capacity, or more </w:t>
      </w:r>
      <w:r w:rsidR="005C22CA">
        <w:t>structural</w:t>
      </w:r>
      <w:r w:rsidR="00450276">
        <w:t xml:space="preserve">, driven by </w:t>
      </w:r>
      <w:r w:rsidR="005C22CA">
        <w:t>government transfer payments</w:t>
      </w:r>
      <w:r w:rsidR="00450276">
        <w:t xml:space="preserve"> and</w:t>
      </w:r>
      <w:r w:rsidR="005C22CA">
        <w:t xml:space="preserve"> a large, sustained federal deficit</w:t>
      </w:r>
      <w:r w:rsidR="00450276">
        <w:t xml:space="preserve">.  </w:t>
      </w:r>
    </w:p>
    <w:p w14:paraId="3ED812A9" w14:textId="394F643A" w:rsidR="00176F91" w:rsidRDefault="003C4023" w:rsidP="009526E8">
      <w:pPr>
        <w:jc w:val="center"/>
      </w:pPr>
      <w:r>
        <w:rPr>
          <w:noProof/>
        </w:rPr>
        <w:drawing>
          <wp:inline distT="0" distB="0" distL="0" distR="0" wp14:anchorId="046CAB89" wp14:editId="5C8D8B5A">
            <wp:extent cx="3493135" cy="2743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3E" w14:textId="0A47D523" w:rsidR="00A11CAC" w:rsidRDefault="00A17C3A" w:rsidP="006F7FB2">
      <w:r>
        <w:t>The Producer Price Index</w:t>
      </w:r>
      <w:r w:rsidR="009B52AF">
        <w:rPr>
          <w:rStyle w:val="FootnoteReference"/>
        </w:rPr>
        <w:footnoteReference w:id="14"/>
      </w:r>
      <w:r>
        <w:t xml:space="preserve"> rose </w:t>
      </w:r>
      <w:r w:rsidR="009B52AF">
        <w:t>5.6</w:t>
      </w:r>
      <w:r>
        <w:t>% over the quarter to 228.5</w:t>
      </w:r>
      <w:r w:rsidR="008155BA">
        <w:t xml:space="preserve">, </w:t>
      </w:r>
      <w:r>
        <w:t xml:space="preserve">well above </w:t>
      </w:r>
      <w:r w:rsidR="00966BA6">
        <w:t xml:space="preserve">the </w:t>
      </w:r>
      <w:r w:rsidR="0031179D" w:rsidRPr="004E4B6F">
        <w:t xml:space="preserve">average </w:t>
      </w:r>
      <w:r w:rsidR="00737D58">
        <w:t xml:space="preserve">annual increase of </w:t>
      </w:r>
      <w:r w:rsidR="009B52AF">
        <w:t>2.0</w:t>
      </w:r>
      <w:r w:rsidR="0031179D" w:rsidRPr="004E4B6F">
        <w:t>%</w:t>
      </w:r>
      <w:r w:rsidR="00737D58">
        <w:t xml:space="preserve"> over the last 30 years</w:t>
      </w:r>
      <w:r w:rsidR="0031179D" w:rsidRPr="004E4B6F">
        <w:t xml:space="preserve">. </w:t>
      </w:r>
      <w:r>
        <w:t>Notable increases include gasoline at 9%, wood pallets at 21%, and metals at 13%. The increase in metals was largely driven by iron and steel, which were up an average 21% between them.</w:t>
      </w:r>
    </w:p>
    <w:p w14:paraId="149D5F40" w14:textId="3B560D8E" w:rsidR="00B94E68" w:rsidRDefault="003C4023" w:rsidP="00166C08">
      <w:pPr>
        <w:jc w:val="center"/>
      </w:pPr>
      <w:r>
        <w:rPr>
          <w:noProof/>
        </w:rPr>
        <w:lastRenderedPageBreak/>
        <w:drawing>
          <wp:inline distT="0" distB="0" distL="0" distR="0" wp14:anchorId="2E5560B7" wp14:editId="7582F09F">
            <wp:extent cx="3493135"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49137979" w14:textId="3D7D8AE1" w:rsidR="00661AA7" w:rsidRDefault="00661AA7" w:rsidP="00661AA7">
      <w:pPr>
        <w:rPr>
          <w:color w:val="000000" w:themeColor="text1"/>
        </w:rPr>
      </w:pPr>
      <w:r w:rsidRPr="00C44C76">
        <w:rPr>
          <w:color w:val="000000" w:themeColor="text1"/>
        </w:rPr>
        <w:t>Treasury Inflation-Protected Securities</w:t>
      </w:r>
      <w:r>
        <w:rPr>
          <w:color w:val="000000" w:themeColor="text1"/>
        </w:rPr>
        <w:t xml:space="preserve"> (TIPS) are a longer-term Treasury debt instrument which pays a fixed interest rate but adjusts the principal value according to inflation, effectively indexing interest payments to inflation. TIPS have continued to sell at a higher premium, reflecting higher inflation expectations for the future. The 5-year breakeven inflation rate</w:t>
      </w:r>
      <w:r>
        <w:rPr>
          <w:rStyle w:val="FootnoteReference"/>
          <w:color w:val="000000" w:themeColor="text1"/>
        </w:rPr>
        <w:footnoteReference w:id="15"/>
      </w:r>
      <w:r>
        <w:rPr>
          <w:color w:val="000000" w:themeColor="text1"/>
        </w:rPr>
        <w:t>, an indicator for the market’s inflation expectations for the period, rose to 2.72% in May before falling to 2.47%, slightly below the rate at the start of the quarter.</w:t>
      </w:r>
    </w:p>
    <w:p w14:paraId="2FA7F119" w14:textId="77777777" w:rsidR="00A83597" w:rsidRDefault="00661AA7" w:rsidP="00A83597">
      <w:pPr>
        <w:jc w:val="center"/>
      </w:pPr>
      <w:r>
        <w:rPr>
          <w:noProof/>
          <w:color w:val="000000" w:themeColor="text1"/>
        </w:rPr>
        <w:drawing>
          <wp:inline distT="0" distB="0" distL="0" distR="0" wp14:anchorId="17E5C16B" wp14:editId="6439F585">
            <wp:extent cx="3499485" cy="2749550"/>
            <wp:effectExtent l="0" t="0" r="5715" b="0"/>
            <wp:docPr id="64" name="Picture 6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9485" cy="2749550"/>
                    </a:xfrm>
                    <a:prstGeom prst="rect">
                      <a:avLst/>
                    </a:prstGeom>
                    <a:noFill/>
                  </pic:spPr>
                </pic:pic>
              </a:graphicData>
            </a:graphic>
          </wp:inline>
        </w:drawing>
      </w:r>
    </w:p>
    <w:p w14:paraId="491A6E5E" w14:textId="58D922EC" w:rsidR="00F03302" w:rsidRDefault="0074137C" w:rsidP="00A83597">
      <w:r>
        <w:t>U.S. crude oil</w:t>
      </w:r>
      <w:r>
        <w:rPr>
          <w:rStyle w:val="FootnoteReference"/>
        </w:rPr>
        <w:footnoteReference w:id="16"/>
      </w:r>
      <w:r>
        <w:t xml:space="preserve"> </w:t>
      </w:r>
      <w:r w:rsidR="00660C7A">
        <w:t xml:space="preserve">prices </w:t>
      </w:r>
      <w:r w:rsidR="00C675E2">
        <w:t xml:space="preserve">rose </w:t>
      </w:r>
      <w:r w:rsidR="00A17C3A">
        <w:t xml:space="preserve">substantially in Q2. </w:t>
      </w:r>
      <w:r w:rsidR="00F03302">
        <w:t>Crude oil prices</w:t>
      </w:r>
      <w:r>
        <w:t xml:space="preserve"> </w:t>
      </w:r>
      <w:r w:rsidR="00F03302">
        <w:t xml:space="preserve">ended the quarter at </w:t>
      </w:r>
      <w:r>
        <w:t>$</w:t>
      </w:r>
      <w:r w:rsidR="00A17C3A">
        <w:t>73</w:t>
      </w:r>
      <w:r>
        <w:t>.</w:t>
      </w:r>
      <w:r w:rsidR="00A83597">
        <w:t>52</w:t>
      </w:r>
      <w:r>
        <w:t xml:space="preserve"> </w:t>
      </w:r>
      <w:r w:rsidR="00F03302">
        <w:t xml:space="preserve">per barrel in </w:t>
      </w:r>
      <w:r w:rsidR="00B973A1">
        <w:t>June 2021</w:t>
      </w:r>
      <w:r w:rsidR="00F03302">
        <w:t xml:space="preserve">, </w:t>
      </w:r>
      <w:r w:rsidR="00FD35EB">
        <w:t>up</w:t>
      </w:r>
      <w:r w:rsidR="00F03302">
        <w:t xml:space="preserve"> </w:t>
      </w:r>
      <w:r w:rsidR="002E3E26">
        <w:t xml:space="preserve">24% from the previous quarter. The price was driven upward by several </w:t>
      </w:r>
      <w:r w:rsidR="002E3E26">
        <w:lastRenderedPageBreak/>
        <w:t>factors, including accelerating demand in the United States and OPEC</w:t>
      </w:r>
      <w:r w:rsidR="00450276">
        <w:t>’s</w:t>
      </w:r>
      <w:r w:rsidR="002E3E26">
        <w:t xml:space="preserve"> continued </w:t>
      </w:r>
      <w:r w:rsidR="00450276">
        <w:t>inventory reduction</w:t>
      </w:r>
      <w:r w:rsidR="002E3E26">
        <w:t xml:space="preserve">.  </w:t>
      </w:r>
    </w:p>
    <w:p w14:paraId="51050840" w14:textId="7E3449A7" w:rsidR="00F03302" w:rsidRDefault="00855C4E" w:rsidP="00166C08">
      <w:pPr>
        <w:jc w:val="center"/>
      </w:pPr>
      <w:r>
        <w:rPr>
          <w:noProof/>
        </w:rPr>
        <w:drawing>
          <wp:inline distT="0" distB="0" distL="0" distR="0" wp14:anchorId="18FA6716" wp14:editId="2DEAD2F8">
            <wp:extent cx="3609340" cy="27432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585596F0" w14:textId="16B65BB5" w:rsidR="00855C4E" w:rsidRDefault="00661AA7" w:rsidP="004846E4">
      <w:r>
        <w:t>Below we present several examples of inflation at the input level to provide an historical perspective on the recent price spikes of some popular commodities.</w:t>
      </w:r>
      <w:r w:rsidR="00A83597">
        <w:t xml:space="preserve"> The charts include the </w:t>
      </w:r>
      <w:r w:rsidR="004F2735">
        <w:t xml:space="preserve">global </w:t>
      </w:r>
      <w:r w:rsidR="00A83597">
        <w:t>price of copper</w:t>
      </w:r>
      <w:r w:rsidR="00A83597">
        <w:rPr>
          <w:rStyle w:val="FootnoteReference"/>
        </w:rPr>
        <w:footnoteReference w:id="17"/>
      </w:r>
      <w:r w:rsidR="00A83597">
        <w:t>, iron ore</w:t>
      </w:r>
      <w:r w:rsidR="00A83597">
        <w:rPr>
          <w:rStyle w:val="FootnoteReference"/>
        </w:rPr>
        <w:footnoteReference w:id="18"/>
      </w:r>
      <w:r w:rsidR="00A83597">
        <w:t>, and corn</w:t>
      </w:r>
      <w:r w:rsidR="00A83597">
        <w:rPr>
          <w:rStyle w:val="FootnoteReference"/>
        </w:rPr>
        <w:footnoteReference w:id="19"/>
      </w:r>
      <w:r w:rsidR="00A83597">
        <w:t>.</w:t>
      </w:r>
    </w:p>
    <w:p w14:paraId="36FA91FA" w14:textId="668C577E" w:rsidR="00855C4E" w:rsidRDefault="00855C4E" w:rsidP="00166C08">
      <w:pPr>
        <w:jc w:val="center"/>
      </w:pPr>
      <w:r>
        <w:rPr>
          <w:noProof/>
        </w:rPr>
        <w:drawing>
          <wp:inline distT="0" distB="0" distL="0" distR="0" wp14:anchorId="0918C663" wp14:editId="31AE189A">
            <wp:extent cx="3609340" cy="2743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3105629A" w14:textId="1891FB5E" w:rsidR="00855C4E" w:rsidRDefault="00855C4E" w:rsidP="00166C08">
      <w:pPr>
        <w:jc w:val="center"/>
      </w:pPr>
      <w:r>
        <w:rPr>
          <w:noProof/>
        </w:rPr>
        <w:lastRenderedPageBreak/>
        <w:drawing>
          <wp:inline distT="0" distB="0" distL="0" distR="0" wp14:anchorId="5441264A" wp14:editId="31324A3A">
            <wp:extent cx="3609340" cy="27432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3364FC86" w14:textId="1677AE1E" w:rsidR="00855C4E" w:rsidRDefault="00855C4E" w:rsidP="00166C08">
      <w:pPr>
        <w:jc w:val="center"/>
      </w:pPr>
      <w:r>
        <w:rPr>
          <w:noProof/>
        </w:rPr>
        <w:drawing>
          <wp:inline distT="0" distB="0" distL="0" distR="0" wp14:anchorId="6608580D" wp14:editId="0B74AF59">
            <wp:extent cx="3609340" cy="2743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9340" cy="2743200"/>
                    </a:xfrm>
                    <a:prstGeom prst="rect">
                      <a:avLst/>
                    </a:prstGeom>
                    <a:noFill/>
                  </pic:spPr>
                </pic:pic>
              </a:graphicData>
            </a:graphic>
          </wp:inline>
        </w:drawing>
      </w:r>
    </w:p>
    <w:p w14:paraId="149D5F41" w14:textId="77777777" w:rsidR="00005111" w:rsidRDefault="00005111" w:rsidP="001475FF">
      <w:pPr>
        <w:pStyle w:val="Heading1"/>
      </w:pPr>
      <w:r>
        <w:t>Housing</w:t>
      </w:r>
    </w:p>
    <w:p w14:paraId="7135DBE1" w14:textId="38E89680" w:rsidR="00A96A6A" w:rsidRDefault="00BC04D5">
      <w:r>
        <w:t>T</w:t>
      </w:r>
      <w:r w:rsidR="00B0395F" w:rsidRPr="0094654A">
        <w:t>he h</w:t>
      </w:r>
      <w:r w:rsidR="00CD0AEC" w:rsidRPr="0094654A">
        <w:t xml:space="preserve">ousing </w:t>
      </w:r>
      <w:r w:rsidR="00B0395F" w:rsidRPr="0094654A">
        <w:t xml:space="preserve">market </w:t>
      </w:r>
      <w:r w:rsidR="00894CA7">
        <w:t xml:space="preserve">continued </w:t>
      </w:r>
      <w:r w:rsidR="003F007D">
        <w:t>to show its resilience to, and in some ways benefit from</w:t>
      </w:r>
      <w:r w:rsidR="00536754">
        <w:t>,</w:t>
      </w:r>
      <w:r w:rsidR="003F007D">
        <w:t xml:space="preserve"> </w:t>
      </w:r>
      <w:r w:rsidR="003C2173">
        <w:t xml:space="preserve">the </w:t>
      </w:r>
      <w:r w:rsidR="003F007D">
        <w:t>economic conditions created by COVID0-19.</w:t>
      </w:r>
      <w:r w:rsidR="00894CA7">
        <w:t xml:space="preserve"> </w:t>
      </w:r>
      <w:r w:rsidR="003F007D">
        <w:t>New</w:t>
      </w:r>
      <w:r w:rsidR="00B0395F" w:rsidRPr="0094654A">
        <w:t xml:space="preserve"> home starts</w:t>
      </w:r>
      <w:r w:rsidR="00C828B0">
        <w:rPr>
          <w:rStyle w:val="FootnoteReference"/>
        </w:rPr>
        <w:footnoteReference w:id="20"/>
      </w:r>
      <w:r w:rsidR="00B0395F" w:rsidRPr="0094654A">
        <w:t xml:space="preserve"> </w:t>
      </w:r>
      <w:r w:rsidR="003F007D">
        <w:t>ended</w:t>
      </w:r>
      <w:r w:rsidR="00C82545">
        <w:t xml:space="preserve"> the quarter </w:t>
      </w:r>
      <w:r>
        <w:t>at 1.</w:t>
      </w:r>
      <w:r w:rsidR="003F007D">
        <w:t xml:space="preserve">64 </w:t>
      </w:r>
      <w:r w:rsidR="00B0395F" w:rsidRPr="0094654A">
        <w:t>million</w:t>
      </w:r>
      <w:r w:rsidR="00516EDD">
        <w:t xml:space="preserve">, </w:t>
      </w:r>
      <w:r w:rsidR="009F19E8">
        <w:t>25</w:t>
      </w:r>
      <w:r w:rsidR="003F007D">
        <w:t xml:space="preserve">% above the </w:t>
      </w:r>
      <w:r w:rsidR="009F19E8">
        <w:t>3</w:t>
      </w:r>
      <w:r w:rsidR="003F007D">
        <w:t>0-year average and consistent with figures seen over roughly the past twelve months</w:t>
      </w:r>
      <w:r w:rsidR="00B0395F" w:rsidRPr="0094654A">
        <w:t xml:space="preserve">. </w:t>
      </w:r>
      <w:r w:rsidR="00C82545">
        <w:t xml:space="preserve">Single-family homebuilding </w:t>
      </w:r>
      <w:r w:rsidR="00516EDD">
        <w:t xml:space="preserve">continued to </w:t>
      </w:r>
      <w:r w:rsidR="00C82545">
        <w:t xml:space="preserve">surge as home demand </w:t>
      </w:r>
      <w:r w:rsidR="00516EDD">
        <w:t>remained strong in</w:t>
      </w:r>
      <w:r w:rsidR="00C82545">
        <w:t xml:space="preserve"> suburban areas</w:t>
      </w:r>
      <w:r w:rsidR="00516EDD">
        <w:t>,</w:t>
      </w:r>
      <w:r w:rsidR="003C2173">
        <w:t xml:space="preserve"> while multi-family construction began to rebound from a substantial drop since the pandemic began</w:t>
      </w:r>
      <w:r w:rsidR="00C82545">
        <w:t xml:space="preserve">. </w:t>
      </w:r>
      <w:r w:rsidR="003C2173">
        <w:t xml:space="preserve">Roughly 29% of housing starts were multi-family projects, compared to 31% and 28% on average in 2019 and 2020, respectively. </w:t>
      </w:r>
    </w:p>
    <w:p w14:paraId="149D5F44" w14:textId="44E8F060" w:rsidR="00B5315D" w:rsidRDefault="00855C4E" w:rsidP="001B4B76">
      <w:pPr>
        <w:jc w:val="center"/>
      </w:pPr>
      <w:r>
        <w:rPr>
          <w:noProof/>
        </w:rPr>
        <w:lastRenderedPageBreak/>
        <w:drawing>
          <wp:inline distT="0" distB="0" distL="0" distR="0" wp14:anchorId="257E627C" wp14:editId="0D77B860">
            <wp:extent cx="3816350" cy="2743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6350" cy="2743200"/>
                    </a:xfrm>
                    <a:prstGeom prst="rect">
                      <a:avLst/>
                    </a:prstGeom>
                    <a:noFill/>
                  </pic:spPr>
                </pic:pic>
              </a:graphicData>
            </a:graphic>
          </wp:inline>
        </w:drawing>
      </w:r>
    </w:p>
    <w:p w14:paraId="149D5F46" w14:textId="7FB84702" w:rsidR="00A96795" w:rsidRDefault="00A223EC" w:rsidP="000A1224">
      <w:r>
        <w:t xml:space="preserve">The cost </w:t>
      </w:r>
      <w:r w:rsidR="00BC00A7">
        <w:t xml:space="preserve">of financing </w:t>
      </w:r>
      <w:r>
        <w:t xml:space="preserve">for </w:t>
      </w:r>
      <w:r w:rsidR="001B4B76">
        <w:t xml:space="preserve">would-be homebuyers </w:t>
      </w:r>
      <w:r w:rsidR="0055033B">
        <w:t>remained near record lows</w:t>
      </w:r>
      <w:r w:rsidR="0026329B">
        <w:t xml:space="preserve"> </w:t>
      </w:r>
      <w:r w:rsidR="001B4B76">
        <w:t>as the 30-year fixed-rate mortgage</w:t>
      </w:r>
      <w:r w:rsidR="00250313">
        <w:rPr>
          <w:rStyle w:val="FootnoteReference"/>
        </w:rPr>
        <w:footnoteReference w:id="21"/>
      </w:r>
      <w:r w:rsidR="0081792D">
        <w:t xml:space="preserve"> </w:t>
      </w:r>
      <w:r w:rsidR="0055033B">
        <w:t>fell during the quarter to 3.02%</w:t>
      </w:r>
      <w:r w:rsidR="001B4B76">
        <w:t>.</w:t>
      </w:r>
      <w:r w:rsidR="00A730DC">
        <w:t xml:space="preserve"> </w:t>
      </w:r>
    </w:p>
    <w:p w14:paraId="0D0A69F6" w14:textId="4BAD174E" w:rsidR="00A96A6A" w:rsidRDefault="00855C4E" w:rsidP="00453708">
      <w:pPr>
        <w:jc w:val="center"/>
      </w:pPr>
      <w:r>
        <w:rPr>
          <w:noProof/>
        </w:rPr>
        <w:drawing>
          <wp:inline distT="0" distB="0" distL="0" distR="0" wp14:anchorId="2E2AA8D6" wp14:editId="4FF6D743">
            <wp:extent cx="3816350" cy="27374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6350" cy="2737485"/>
                    </a:xfrm>
                    <a:prstGeom prst="rect">
                      <a:avLst/>
                    </a:prstGeom>
                    <a:noFill/>
                  </pic:spPr>
                </pic:pic>
              </a:graphicData>
            </a:graphic>
          </wp:inline>
        </w:drawing>
      </w:r>
    </w:p>
    <w:p w14:paraId="1D2DE37C" w14:textId="5639D7CB" w:rsidR="00A96A6A" w:rsidRDefault="00B767AE" w:rsidP="00773B5B">
      <w:r>
        <w:t>The S&amp;</w:t>
      </w:r>
      <w:r w:rsidR="00BD1AF4">
        <w:t>P Case-Shiller Home Price Index (20-city)</w:t>
      </w:r>
      <w:r w:rsidR="00B2585A">
        <w:rPr>
          <w:rStyle w:val="FootnoteReference"/>
        </w:rPr>
        <w:footnoteReference w:id="22"/>
      </w:r>
      <w:r w:rsidR="00BD1AF4">
        <w:t xml:space="preserve"> </w:t>
      </w:r>
      <w:r w:rsidR="00BE4FA9">
        <w:t>for</w:t>
      </w:r>
      <w:r w:rsidR="00BD1AF4">
        <w:t xml:space="preserve"> </w:t>
      </w:r>
      <w:r w:rsidR="0055033B">
        <w:t>May 2021</w:t>
      </w:r>
      <w:r w:rsidR="00BD1AF4">
        <w:t xml:space="preserve"> </w:t>
      </w:r>
      <w:r w:rsidR="001868CB">
        <w:t>increased</w:t>
      </w:r>
      <w:r w:rsidR="00E2306A">
        <w:t xml:space="preserve"> </w:t>
      </w:r>
      <w:r w:rsidR="001868CB">
        <w:t xml:space="preserve">by </w:t>
      </w:r>
      <w:r w:rsidR="0055033B">
        <w:t>17</w:t>
      </w:r>
      <w:r w:rsidR="00E2306A">
        <w:t>%</w:t>
      </w:r>
      <w:r w:rsidR="0055033B">
        <w:t xml:space="preserve"> year-over-year</w:t>
      </w:r>
      <w:r w:rsidR="00933213">
        <w:t xml:space="preserve"> with </w:t>
      </w:r>
      <w:r w:rsidR="006F49C7">
        <w:t xml:space="preserve">Phoenix, Seattle, and </w:t>
      </w:r>
      <w:r w:rsidR="00105A55">
        <w:t>San</w:t>
      </w:r>
      <w:r w:rsidR="0055033B">
        <w:t xml:space="preserve"> Diego continuing to lead </w:t>
      </w:r>
      <w:r w:rsidR="0081792D">
        <w:t xml:space="preserve">the nation </w:t>
      </w:r>
      <w:r w:rsidR="0055033B">
        <w:t>in price growth</w:t>
      </w:r>
      <w:r w:rsidR="0096732C">
        <w:t>.</w:t>
      </w:r>
      <w:r w:rsidR="00933213">
        <w:t xml:space="preserve"> </w:t>
      </w:r>
      <w:r w:rsidR="00896D03">
        <w:t>R</w:t>
      </w:r>
      <w:r w:rsidR="00105A55">
        <w:t xml:space="preserve">ecord-low mortgage rates </w:t>
      </w:r>
      <w:r w:rsidR="00896D03">
        <w:t xml:space="preserve">and constrained supply continued to </w:t>
      </w:r>
      <w:r w:rsidR="00661AA7">
        <w:t>push home</w:t>
      </w:r>
      <w:r w:rsidR="00896D03">
        <w:t xml:space="preserve"> prices higher</w:t>
      </w:r>
      <w:r w:rsidR="0055033B">
        <w:t>, a dynamic seen since the pandemic began</w:t>
      </w:r>
      <w:r w:rsidR="00B432FD" w:rsidRPr="00B432FD">
        <w:t>.</w:t>
      </w:r>
      <w:r w:rsidR="00B432FD">
        <w:t xml:space="preserve"> </w:t>
      </w:r>
    </w:p>
    <w:p w14:paraId="149D5F4C" w14:textId="554E521C" w:rsidR="0064538F" w:rsidRDefault="00855C4E" w:rsidP="002775DB">
      <w:pPr>
        <w:jc w:val="center"/>
      </w:pPr>
      <w:r>
        <w:rPr>
          <w:noProof/>
        </w:rPr>
        <w:lastRenderedPageBreak/>
        <w:drawing>
          <wp:inline distT="0" distB="0" distL="0" distR="0" wp14:anchorId="18D108CB" wp14:editId="1286B805">
            <wp:extent cx="3493135" cy="27432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4D" w14:textId="52E84594" w:rsidR="00005111" w:rsidRDefault="0079609A" w:rsidP="001475FF">
      <w:pPr>
        <w:pStyle w:val="Heading1"/>
      </w:pPr>
      <w:r>
        <w:t>Consumer Spending</w:t>
      </w:r>
    </w:p>
    <w:p w14:paraId="149D5F51" w14:textId="7F997211" w:rsidR="0079609A" w:rsidRDefault="0079609A" w:rsidP="00A04AD3">
      <w:r w:rsidRPr="00971553">
        <w:t>Personal Consumption Expenditures (PCE)</w:t>
      </w:r>
      <w:r w:rsidR="00421F60">
        <w:rPr>
          <w:rStyle w:val="FootnoteReference"/>
        </w:rPr>
        <w:footnoteReference w:id="23"/>
      </w:r>
      <w:r w:rsidRPr="00971553">
        <w:t xml:space="preserve"> </w:t>
      </w:r>
      <w:r w:rsidR="00381A81">
        <w:t xml:space="preserve">soared in Q2, with June setting a record </w:t>
      </w:r>
      <w:r w:rsidR="00AA74C1">
        <w:t>$15.7 trillion</w:t>
      </w:r>
      <w:r w:rsidR="00E37950">
        <w:t xml:space="preserve">. PCE </w:t>
      </w:r>
      <w:r w:rsidR="00AA74C1">
        <w:t xml:space="preserve">grew </w:t>
      </w:r>
      <w:r w:rsidR="0081792D">
        <w:t>4.4%</w:t>
      </w:r>
      <w:r w:rsidR="00AA74C1">
        <w:t xml:space="preserve"> </w:t>
      </w:r>
      <w:r w:rsidR="0081792D">
        <w:t xml:space="preserve">compared to the previous quarter and 20.7% over the same quarter </w:t>
      </w:r>
      <w:r w:rsidR="00AA74C1">
        <w:t>last yea</w:t>
      </w:r>
      <w:r w:rsidR="0081792D">
        <w:t>r</w:t>
      </w:r>
      <w:r w:rsidR="002A0B80">
        <w:t>.</w:t>
      </w:r>
      <w:r w:rsidR="00F04BC9">
        <w:t xml:space="preserve"> </w:t>
      </w:r>
    </w:p>
    <w:p w14:paraId="419D69CE" w14:textId="120180CC" w:rsidR="00A96A6A" w:rsidRDefault="00855C4E" w:rsidP="00CF06AE">
      <w:pPr>
        <w:jc w:val="center"/>
      </w:pPr>
      <w:r>
        <w:rPr>
          <w:noProof/>
        </w:rPr>
        <w:drawing>
          <wp:inline distT="0" distB="0" distL="0" distR="0" wp14:anchorId="6A78CE84" wp14:editId="6B680E82">
            <wp:extent cx="3493135" cy="2743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93135" cy="2743200"/>
                    </a:xfrm>
                    <a:prstGeom prst="rect">
                      <a:avLst/>
                    </a:prstGeom>
                    <a:noFill/>
                  </pic:spPr>
                </pic:pic>
              </a:graphicData>
            </a:graphic>
          </wp:inline>
        </w:drawing>
      </w:r>
    </w:p>
    <w:p w14:paraId="149D5F53" w14:textId="3E41CDCA" w:rsidR="0079609A" w:rsidRDefault="00D148FE" w:rsidP="00F92FD1">
      <w:r>
        <w:t xml:space="preserve">Auto manufacturers </w:t>
      </w:r>
      <w:r w:rsidR="00695980">
        <w:t xml:space="preserve">reported </w:t>
      </w:r>
      <w:r w:rsidR="00210DB1">
        <w:t xml:space="preserve">15.4 </w:t>
      </w:r>
      <w:r w:rsidR="0079609A" w:rsidRPr="008B37F0">
        <w:t>million autos and light trucks sold</w:t>
      </w:r>
      <w:r w:rsidR="00933E80">
        <w:rPr>
          <w:rStyle w:val="FootnoteReference"/>
        </w:rPr>
        <w:footnoteReference w:id="24"/>
      </w:r>
      <w:r w:rsidR="0079609A" w:rsidRPr="008B37F0">
        <w:t xml:space="preserve"> in </w:t>
      </w:r>
      <w:r w:rsidR="00210DB1">
        <w:t>June 2021</w:t>
      </w:r>
      <w:r w:rsidR="008B3E4E">
        <w:t>,</w:t>
      </w:r>
      <w:r w:rsidR="005B40E5">
        <w:t xml:space="preserve"> </w:t>
      </w:r>
      <w:r w:rsidR="00210DB1">
        <w:t>up 18% year over year</w:t>
      </w:r>
      <w:r w:rsidR="002361FB">
        <w:t xml:space="preserve"> </w:t>
      </w:r>
      <w:r w:rsidR="0004025D">
        <w:t xml:space="preserve">but </w:t>
      </w:r>
      <w:r w:rsidR="00210DB1">
        <w:t>down 13% from the end of the first quarter</w:t>
      </w:r>
      <w:r w:rsidR="00155E88">
        <w:t>.</w:t>
      </w:r>
      <w:r w:rsidR="0079609A" w:rsidRPr="008B37F0">
        <w:t xml:space="preserve"> </w:t>
      </w:r>
      <w:r w:rsidR="002530D7">
        <w:t xml:space="preserve">Coinciding with falling sales was a nearly 4% jump in new vehicle prices during Q2, driven by inventory </w:t>
      </w:r>
      <w:r w:rsidR="00340262">
        <w:t xml:space="preserve">and chip shortages, to a </w:t>
      </w:r>
      <w:r w:rsidR="00340262">
        <w:lastRenderedPageBreak/>
        <w:t>record</w:t>
      </w:r>
      <w:r w:rsidR="002530D7">
        <w:t xml:space="preserve"> 154.8. Used cars have seen a</w:t>
      </w:r>
      <w:r w:rsidR="00340262">
        <w:t xml:space="preserve">n even greater spike in prices; </w:t>
      </w:r>
      <w:r w:rsidR="002530D7">
        <w:t>the relevant index</w:t>
      </w:r>
      <w:r w:rsidR="002530D7">
        <w:rPr>
          <w:rStyle w:val="FootnoteReference"/>
        </w:rPr>
        <w:footnoteReference w:id="25"/>
      </w:r>
      <w:r w:rsidR="002530D7">
        <w:t xml:space="preserve"> </w:t>
      </w:r>
      <w:r w:rsidR="00340262">
        <w:t xml:space="preserve">jumped </w:t>
      </w:r>
      <w:r w:rsidR="002530D7">
        <w:t xml:space="preserve">a headline-grabbing 30% </w:t>
      </w:r>
      <w:r w:rsidR="00340262">
        <w:t xml:space="preserve">in Q2 </w:t>
      </w:r>
      <w:r w:rsidR="002530D7">
        <w:t xml:space="preserve">to another record of 197.23. </w:t>
      </w:r>
    </w:p>
    <w:p w14:paraId="571A905C" w14:textId="127CE57B" w:rsidR="002E3647" w:rsidRDefault="00855C4E" w:rsidP="003A679B">
      <w:pPr>
        <w:jc w:val="center"/>
      </w:pPr>
      <w:r>
        <w:rPr>
          <w:noProof/>
        </w:rPr>
        <w:drawing>
          <wp:inline distT="0" distB="0" distL="0" distR="0" wp14:anchorId="0195DFA1" wp14:editId="034F40FD">
            <wp:extent cx="4090670" cy="2743200"/>
            <wp:effectExtent l="0" t="0" r="508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59B475FF" w14:textId="217AED0C" w:rsidR="002E3647" w:rsidRDefault="008A581A" w:rsidP="00354195">
      <w:r w:rsidRPr="002E3647">
        <w:t xml:space="preserve">The </w:t>
      </w:r>
      <w:r w:rsidR="00661AA7">
        <w:t xml:space="preserve">University of Michigan’s </w:t>
      </w:r>
      <w:r w:rsidRPr="002E3647">
        <w:t>c</w:t>
      </w:r>
      <w:r w:rsidR="008C5503" w:rsidRPr="002E3647">
        <w:t>onsumer sentiment</w:t>
      </w:r>
      <w:r w:rsidR="00661AA7">
        <w:t xml:space="preserve"> index</w:t>
      </w:r>
      <w:r w:rsidR="00291FFB" w:rsidRPr="002E3647">
        <w:rPr>
          <w:rStyle w:val="FootnoteReference"/>
        </w:rPr>
        <w:footnoteReference w:id="26"/>
      </w:r>
      <w:r w:rsidR="008C5503" w:rsidRPr="002E3647">
        <w:t xml:space="preserve"> </w:t>
      </w:r>
      <w:r w:rsidRPr="002E3647">
        <w:t>ended</w:t>
      </w:r>
      <w:r w:rsidR="008C5503" w:rsidRPr="002E3647">
        <w:t xml:space="preserve"> </w:t>
      </w:r>
      <w:r w:rsidR="00E71440">
        <w:t xml:space="preserve">the </w:t>
      </w:r>
      <w:r w:rsidR="00B973A1">
        <w:t>2</w:t>
      </w:r>
      <w:r w:rsidR="00B973A1" w:rsidRPr="00B973A1">
        <w:rPr>
          <w:vertAlign w:val="superscript"/>
        </w:rPr>
        <w:t>nd</w:t>
      </w:r>
      <w:r w:rsidR="00B973A1">
        <w:t xml:space="preserve"> </w:t>
      </w:r>
      <w:r w:rsidR="00E71440">
        <w:t>quarter</w:t>
      </w:r>
      <w:r w:rsidR="0036641E">
        <w:t xml:space="preserve"> </w:t>
      </w:r>
      <w:r w:rsidRPr="002E3647">
        <w:t xml:space="preserve">at </w:t>
      </w:r>
      <w:r w:rsidR="00B973A1">
        <w:t>85.5</w:t>
      </w:r>
      <w:r w:rsidR="006C6752">
        <w:t>,</w:t>
      </w:r>
      <w:r w:rsidR="00B973A1">
        <w:t xml:space="preserve"> a modest rise from Q1’s 84.9 finish</w:t>
      </w:r>
      <w:r w:rsidR="00B1397B">
        <w:t xml:space="preserve">. </w:t>
      </w:r>
      <w:r w:rsidR="00B973A1" w:rsidRPr="00B973A1">
        <w:t xml:space="preserve">During the </w:t>
      </w:r>
      <w:r w:rsidR="00661AA7">
        <w:t>previous 5 years</w:t>
      </w:r>
      <w:r w:rsidR="00B973A1" w:rsidRPr="00B973A1">
        <w:t xml:space="preserve">, the index regularly touched 20-year highs around 100 before cratering to a low of 71.8 in April of 2020, still well above the 55.3 low of 2011. </w:t>
      </w:r>
      <w:r w:rsidR="00BF72BA">
        <w:t>The</w:t>
      </w:r>
      <w:r w:rsidR="006970E9" w:rsidRPr="002E3647">
        <w:t xml:space="preserve"> consumer sentiment </w:t>
      </w:r>
      <w:r w:rsidR="00BF72BA">
        <w:t>index has been on a general upward trend s</w:t>
      </w:r>
      <w:r w:rsidR="00D465D5">
        <w:t>ince</w:t>
      </w:r>
      <w:r w:rsidR="00BF72BA">
        <w:t xml:space="preserve"> its April</w:t>
      </w:r>
      <w:r w:rsidR="0036641E">
        <w:t xml:space="preserve"> 2020</w:t>
      </w:r>
      <w:r w:rsidR="00BF72BA">
        <w:t xml:space="preserve"> </w:t>
      </w:r>
      <w:r w:rsidR="00173FBF">
        <w:t>low but</w:t>
      </w:r>
      <w:r w:rsidR="00D465D5" w:rsidRPr="002E3647">
        <w:t xml:space="preserve"> </w:t>
      </w:r>
      <w:r w:rsidR="00B973A1">
        <w:t xml:space="preserve">is still short of its </w:t>
      </w:r>
      <w:r w:rsidR="006970E9" w:rsidRPr="002E3647">
        <w:t xml:space="preserve">30-year average of </w:t>
      </w:r>
      <w:r w:rsidRPr="002E3647">
        <w:t>87.</w:t>
      </w:r>
      <w:r w:rsidR="00173FBF">
        <w:t>7</w:t>
      </w:r>
      <w:r w:rsidR="00291FFB" w:rsidRPr="002E3647">
        <w:t>.</w:t>
      </w:r>
      <w:r w:rsidR="00B973A1">
        <w:t xml:space="preserve"> </w:t>
      </w:r>
    </w:p>
    <w:p w14:paraId="182CF22B" w14:textId="13A9B40A" w:rsidR="000D5719" w:rsidRDefault="00855C4E" w:rsidP="002E3647">
      <w:pPr>
        <w:jc w:val="center"/>
      </w:pPr>
      <w:r>
        <w:rPr>
          <w:noProof/>
        </w:rPr>
        <w:lastRenderedPageBreak/>
        <w:drawing>
          <wp:inline distT="0" distB="0" distL="0" distR="0" wp14:anchorId="43D034BB" wp14:editId="3381BFD9">
            <wp:extent cx="4090670" cy="274320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0670" cy="2743200"/>
                    </a:xfrm>
                    <a:prstGeom prst="rect">
                      <a:avLst/>
                    </a:prstGeom>
                    <a:noFill/>
                  </pic:spPr>
                </pic:pic>
              </a:graphicData>
            </a:graphic>
          </wp:inline>
        </w:drawing>
      </w:r>
    </w:p>
    <w:p w14:paraId="149D5F56" w14:textId="77777777" w:rsidR="0091664E" w:rsidRDefault="0091664E" w:rsidP="0091664E">
      <w:pPr>
        <w:pStyle w:val="Heading1"/>
      </w:pPr>
      <w:r>
        <w:t>Capital Markets</w:t>
      </w:r>
    </w:p>
    <w:p w14:paraId="0F5E50D3" w14:textId="3EBB8BD3" w:rsidR="00855C4E" w:rsidRDefault="003D1D39" w:rsidP="00B875CA">
      <w:pPr>
        <w:rPr>
          <w:noProof/>
        </w:rPr>
      </w:pPr>
      <w:r>
        <w:rPr>
          <w:noProof/>
        </w:rPr>
        <w:t xml:space="preserve">The table below shows the </w:t>
      </w:r>
      <w:r w:rsidR="00C427E3">
        <w:rPr>
          <w:noProof/>
        </w:rPr>
        <w:t>quarterly, year-to-date,</w:t>
      </w:r>
      <w:r>
        <w:rPr>
          <w:noProof/>
        </w:rPr>
        <w:t xml:space="preserve"> and 12-month performance of major US equity indices. Capital markets</w:t>
      </w:r>
      <w:r w:rsidR="00B973A1">
        <w:rPr>
          <w:noProof/>
        </w:rPr>
        <w:t xml:space="preserve"> continued</w:t>
      </w:r>
      <w:r>
        <w:rPr>
          <w:noProof/>
        </w:rPr>
        <w:t xml:space="preserve"> their bullish rebound from </w:t>
      </w:r>
      <w:r w:rsidR="00661AA7">
        <w:rPr>
          <w:noProof/>
        </w:rPr>
        <w:t xml:space="preserve">the </w:t>
      </w:r>
      <w:r>
        <w:rPr>
          <w:noProof/>
        </w:rPr>
        <w:t>March</w:t>
      </w:r>
      <w:r w:rsidR="00661AA7">
        <w:rPr>
          <w:noProof/>
        </w:rPr>
        <w:t xml:space="preserve"> 2020</w:t>
      </w:r>
      <w:r>
        <w:rPr>
          <w:noProof/>
        </w:rPr>
        <w:t xml:space="preserve"> crash, buoyed by improving sentiment, encouraging economic and vaccine data, and bolstered by aggressive monetary</w:t>
      </w:r>
      <w:r w:rsidR="009526E8">
        <w:rPr>
          <w:noProof/>
        </w:rPr>
        <w:t xml:space="preserve"> and </w:t>
      </w:r>
      <w:r>
        <w:rPr>
          <w:noProof/>
        </w:rPr>
        <w:t>fiscal policy. The Dow jones</w:t>
      </w:r>
      <w:r w:rsidR="00C427E3">
        <w:rPr>
          <w:noProof/>
        </w:rPr>
        <w:t xml:space="preserve"> Transportation</w:t>
      </w:r>
      <w:r>
        <w:rPr>
          <w:noProof/>
        </w:rPr>
        <w:t xml:space="preserve"> Average had the smallest increase </w:t>
      </w:r>
      <w:r w:rsidR="00C427E3">
        <w:rPr>
          <w:noProof/>
        </w:rPr>
        <w:t>this quarter at 1.7%</w:t>
      </w:r>
      <w:r>
        <w:rPr>
          <w:noProof/>
        </w:rPr>
        <w:t xml:space="preserve">, while the tech-heavy NASDAQ and </w:t>
      </w:r>
      <w:r w:rsidR="00C427E3">
        <w:rPr>
          <w:noProof/>
        </w:rPr>
        <w:t>S&amp;P 500</w:t>
      </w:r>
      <w:r w:rsidR="00661AA7">
        <w:rPr>
          <w:noProof/>
        </w:rPr>
        <w:t xml:space="preserve"> </w:t>
      </w:r>
      <w:r>
        <w:rPr>
          <w:noProof/>
        </w:rPr>
        <w:t xml:space="preserve">Index were the highest performers at </w:t>
      </w:r>
      <w:r w:rsidR="00C427E3">
        <w:rPr>
          <w:noProof/>
        </w:rPr>
        <w:t>9.5</w:t>
      </w:r>
      <w:r>
        <w:rPr>
          <w:noProof/>
        </w:rPr>
        <w:t xml:space="preserve">% and </w:t>
      </w:r>
      <w:r w:rsidR="00C427E3">
        <w:rPr>
          <w:noProof/>
        </w:rPr>
        <w:t>8.2</w:t>
      </w:r>
      <w:r>
        <w:rPr>
          <w:noProof/>
        </w:rPr>
        <w:t xml:space="preserve">%, respectively. </w:t>
      </w:r>
    </w:p>
    <w:p w14:paraId="79C54A89" w14:textId="026A9C3B" w:rsidR="002E3647" w:rsidRDefault="00855C4E" w:rsidP="00855C4E">
      <w:pPr>
        <w:jc w:val="center"/>
        <w:rPr>
          <w:noProof/>
        </w:rPr>
      </w:pPr>
      <w:r w:rsidRPr="00855C4E">
        <w:rPr>
          <w:noProof/>
        </w:rPr>
        <w:drawing>
          <wp:inline distT="0" distB="0" distL="0" distR="0" wp14:anchorId="24FE11F5" wp14:editId="2527C984">
            <wp:extent cx="5343525" cy="1533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3525" cy="1533525"/>
                    </a:xfrm>
                    <a:prstGeom prst="rect">
                      <a:avLst/>
                    </a:prstGeom>
                    <a:noFill/>
                    <a:ln>
                      <a:noFill/>
                    </a:ln>
                  </pic:spPr>
                </pic:pic>
              </a:graphicData>
            </a:graphic>
          </wp:inline>
        </w:drawing>
      </w:r>
      <w:r w:rsidR="003D1D39">
        <w:br/>
      </w:r>
    </w:p>
    <w:p w14:paraId="3743084E" w14:textId="25C7DE51" w:rsidR="00857079" w:rsidRDefault="00855C4E" w:rsidP="00BB3B04">
      <w:pPr>
        <w:jc w:val="center"/>
        <w:rPr>
          <w:color w:val="FF0000"/>
        </w:rPr>
      </w:pPr>
      <w:r>
        <w:rPr>
          <w:noProof/>
        </w:rPr>
        <w:lastRenderedPageBreak/>
        <w:drawing>
          <wp:inline distT="0" distB="0" distL="0" distR="0" wp14:anchorId="60D9FFFA" wp14:editId="4CC8FCFA">
            <wp:extent cx="4097020" cy="27495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0420E509" w14:textId="55D7EDD9" w:rsidR="00100DF8" w:rsidRDefault="00100DF8" w:rsidP="003D1D39">
      <w:pPr>
        <w:rPr>
          <w:noProof/>
        </w:rPr>
      </w:pPr>
      <w:r>
        <w:t>Stock market v</w:t>
      </w:r>
      <w:r w:rsidR="0007515A">
        <w:t>olatility</w:t>
      </w:r>
      <w:r w:rsidR="00A1419D">
        <w:t>,</w:t>
      </w:r>
      <w:r w:rsidR="00A1419D">
        <w:t xml:space="preserve"> as measured by the VIX</w:t>
      </w:r>
      <w:r w:rsidR="00A1419D">
        <w:rPr>
          <w:rStyle w:val="FootnoteReference"/>
        </w:rPr>
        <w:t xml:space="preserve"> </w:t>
      </w:r>
      <w:r w:rsidR="0007515A">
        <w:rPr>
          <w:rStyle w:val="FootnoteReference"/>
        </w:rPr>
        <w:footnoteReference w:id="27"/>
      </w:r>
      <w:r w:rsidR="005573A8">
        <w:t>,</w:t>
      </w:r>
      <w:r>
        <w:t xml:space="preserve"> ended the </w:t>
      </w:r>
      <w:r w:rsidR="00346E54">
        <w:t>2</w:t>
      </w:r>
      <w:r w:rsidR="00346E54" w:rsidRPr="00346E54">
        <w:rPr>
          <w:vertAlign w:val="superscript"/>
        </w:rPr>
        <w:t>nd</w:t>
      </w:r>
      <w:r w:rsidR="00FD6064">
        <w:t xml:space="preserve"> </w:t>
      </w:r>
      <w:r>
        <w:t>quarter</w:t>
      </w:r>
      <w:r w:rsidR="0036641E">
        <w:t xml:space="preserve"> </w:t>
      </w:r>
      <w:r>
        <w:t xml:space="preserve">at </w:t>
      </w:r>
      <w:r w:rsidR="00346E54">
        <w:t>15.8</w:t>
      </w:r>
      <w:r w:rsidR="003D1D39">
        <w:t>.</w:t>
      </w:r>
      <w:r w:rsidR="003D1D39" w:rsidRPr="003D1D39">
        <w:t xml:space="preserve"> It has trended downward </w:t>
      </w:r>
      <w:r w:rsidR="00A1419D">
        <w:t>over the last 12 months</w:t>
      </w:r>
      <w:r w:rsidR="003D1D39" w:rsidRPr="003D1D39">
        <w:t xml:space="preserve"> as the market outlook recovered quickly on major government stimulus, improving investor sentiment, and encouraging economic data. This pattern continued, though at a slower rate, in Q2, ending the quarter</w:t>
      </w:r>
      <w:r w:rsidR="00A1419D">
        <w:t xml:space="preserve"> at</w:t>
      </w:r>
      <w:r w:rsidR="003D1D39" w:rsidRPr="003D1D39">
        <w:t xml:space="preserve"> a new low since the pandemic began and 1</w:t>
      </w:r>
      <w:r w:rsidR="00A1419D">
        <w:t>8</w:t>
      </w:r>
      <w:r w:rsidR="003D1D39" w:rsidRPr="003D1D39">
        <w:t xml:space="preserve">% lower than the end of Q1. </w:t>
      </w:r>
    </w:p>
    <w:p w14:paraId="0CB77041" w14:textId="300B672E" w:rsidR="00855C4E" w:rsidRDefault="00855C4E" w:rsidP="00855C4E">
      <w:pPr>
        <w:jc w:val="center"/>
      </w:pPr>
    </w:p>
    <w:p w14:paraId="29D9D20D" w14:textId="64CE02AD" w:rsidR="00661AA7" w:rsidRPr="00354195" w:rsidRDefault="00661AA7" w:rsidP="00855C4E">
      <w:pPr>
        <w:jc w:val="center"/>
      </w:pPr>
      <w:r>
        <w:rPr>
          <w:noProof/>
        </w:rPr>
        <w:drawing>
          <wp:inline distT="0" distB="0" distL="0" distR="0" wp14:anchorId="4F67C56D" wp14:editId="51592ADB">
            <wp:extent cx="4097020" cy="27495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97020" cy="2749550"/>
                    </a:xfrm>
                    <a:prstGeom prst="rect">
                      <a:avLst/>
                    </a:prstGeom>
                    <a:noFill/>
                  </pic:spPr>
                </pic:pic>
              </a:graphicData>
            </a:graphic>
          </wp:inline>
        </w:drawing>
      </w:r>
    </w:p>
    <w:p w14:paraId="149D5F93" w14:textId="77777777" w:rsidR="00E44639" w:rsidRDefault="00E44639" w:rsidP="00E44639">
      <w:pPr>
        <w:pStyle w:val="Heading1"/>
      </w:pPr>
      <w:r>
        <w:lastRenderedPageBreak/>
        <w:t>Outlook</w:t>
      </w:r>
    </w:p>
    <w:p w14:paraId="71C9C508" w14:textId="77777777" w:rsidR="005573A8" w:rsidRDefault="003071CD" w:rsidP="00E44639">
      <w:r>
        <w:t xml:space="preserve">In </w:t>
      </w:r>
      <w:r w:rsidR="005573A8">
        <w:t>June</w:t>
      </w:r>
      <w:r>
        <w:t xml:space="preserve"> 20</w:t>
      </w:r>
      <w:r w:rsidR="005573A8">
        <w:t>21</w:t>
      </w:r>
      <w:r>
        <w:t xml:space="preserve">, the FOMC </w:t>
      </w:r>
      <w:r w:rsidR="005573A8">
        <w:t xml:space="preserve">revised their inflation and real GDP growth projections upward, while expectations for unemployment remained steady, as did longer run projections for all three indicators. </w:t>
      </w:r>
    </w:p>
    <w:p w14:paraId="1779A15E" w14:textId="0797D3EA" w:rsidR="00855C4E" w:rsidRDefault="005573A8" w:rsidP="00855C4E">
      <w:r>
        <w:t>The FOMC revised their March projection</w:t>
      </w:r>
      <w:r w:rsidR="00F60736" w:rsidRPr="00090DA6">
        <w:t xml:space="preserve"> </w:t>
      </w:r>
      <w:r>
        <w:t xml:space="preserve">for </w:t>
      </w:r>
      <w:r w:rsidR="00F60736" w:rsidRPr="00090DA6">
        <w:t>real GDP</w:t>
      </w:r>
      <w:r w:rsidR="00BF5CE2">
        <w:rPr>
          <w:rStyle w:val="FootnoteReference"/>
        </w:rPr>
        <w:footnoteReference w:id="28"/>
      </w:r>
      <w:r w:rsidR="00F60736" w:rsidRPr="00090DA6">
        <w:t xml:space="preserve"> </w:t>
      </w:r>
      <w:r w:rsidR="0039421C">
        <w:t xml:space="preserve">to </w:t>
      </w:r>
      <w:r>
        <w:t>7</w:t>
      </w:r>
      <w:r w:rsidR="00661AA7">
        <w:t>.05</w:t>
      </w:r>
      <w:r w:rsidR="00F60736" w:rsidRPr="00090DA6">
        <w:t>%</w:t>
      </w:r>
      <w:r w:rsidR="0049182B">
        <w:t xml:space="preserve"> growth in</w:t>
      </w:r>
      <w:r w:rsidR="00F60736" w:rsidRPr="00090DA6">
        <w:t xml:space="preserve"> 20</w:t>
      </w:r>
      <w:r w:rsidR="00090DA6" w:rsidRPr="00090DA6">
        <w:t>2</w:t>
      </w:r>
      <w:r w:rsidR="000D646D">
        <w:t>1</w:t>
      </w:r>
      <w:r w:rsidR="0049182B">
        <w:t xml:space="preserve">, slowing to </w:t>
      </w:r>
      <w:r>
        <w:t>2.</w:t>
      </w:r>
      <w:r w:rsidR="00661AA7">
        <w:t>25</w:t>
      </w:r>
      <w:r w:rsidR="0049182B">
        <w:t xml:space="preserve">% </w:t>
      </w:r>
      <w:r w:rsidR="004F307A">
        <w:t>by</w:t>
      </w:r>
      <w:r w:rsidR="000D646D">
        <w:t xml:space="preserve"> 202</w:t>
      </w:r>
      <w:r w:rsidR="004F307A">
        <w:t>3</w:t>
      </w:r>
      <w:r w:rsidR="00F60736" w:rsidRPr="00090DA6">
        <w:t>. They expect</w:t>
      </w:r>
      <w:r>
        <w:t>ed</w:t>
      </w:r>
      <w:r w:rsidR="00F60736" w:rsidRPr="00090DA6">
        <w:t xml:space="preserve"> Personal Consumption Expendit</w:t>
      </w:r>
      <w:r w:rsidR="00090DA6" w:rsidRPr="00090DA6">
        <w:t>ures (PCE)</w:t>
      </w:r>
      <w:r w:rsidR="005D3CEF">
        <w:rPr>
          <w:rStyle w:val="FootnoteReference"/>
        </w:rPr>
        <w:footnoteReference w:id="29"/>
      </w:r>
      <w:r w:rsidR="00090DA6" w:rsidRPr="00090DA6">
        <w:t xml:space="preserve"> to </w:t>
      </w:r>
      <w:r>
        <w:t>grow 3.</w:t>
      </w:r>
      <w:r w:rsidR="00661AA7">
        <w:t>3</w:t>
      </w:r>
      <w:r w:rsidR="0049182B">
        <w:t>% in 202</w:t>
      </w:r>
      <w:r w:rsidR="0039421C">
        <w:t>1</w:t>
      </w:r>
      <w:r>
        <w:t xml:space="preserve">. </w:t>
      </w:r>
      <w:r w:rsidR="00F60736" w:rsidRPr="00090DA6">
        <w:t xml:space="preserve"> The</w:t>
      </w:r>
      <w:r w:rsidR="004907DA">
        <w:t>y</w:t>
      </w:r>
      <w:r w:rsidR="00F60736" w:rsidRPr="00090DA6">
        <w:t xml:space="preserve"> forecast th</w:t>
      </w:r>
      <w:r w:rsidR="004907DA">
        <w:t>at th</w:t>
      </w:r>
      <w:r w:rsidR="00F60736" w:rsidRPr="00090DA6">
        <w:t>e unemployment rate</w:t>
      </w:r>
      <w:r w:rsidR="00E72196">
        <w:rPr>
          <w:rStyle w:val="FootnoteReference"/>
        </w:rPr>
        <w:footnoteReference w:id="30"/>
      </w:r>
      <w:r w:rsidR="00F60736" w:rsidRPr="00090DA6">
        <w:t xml:space="preserve"> </w:t>
      </w:r>
      <w:r w:rsidR="004907DA">
        <w:t>will</w:t>
      </w:r>
      <w:r w:rsidR="00F60736" w:rsidRPr="00090DA6">
        <w:t xml:space="preserve"> </w:t>
      </w:r>
      <w:r>
        <w:t>reach to 4.</w:t>
      </w:r>
      <w:r w:rsidR="00661AA7">
        <w:t>6</w:t>
      </w:r>
      <w:r w:rsidR="00F60736" w:rsidRPr="00090DA6">
        <w:t>%</w:t>
      </w:r>
      <w:r w:rsidR="0039421C">
        <w:t xml:space="preserve"> in 2021 </w:t>
      </w:r>
      <w:r w:rsidR="0062444A">
        <w:t xml:space="preserve">and </w:t>
      </w:r>
      <w:r>
        <w:t>3.5</w:t>
      </w:r>
      <w:r w:rsidR="0049182B">
        <w:t xml:space="preserve">% </w:t>
      </w:r>
      <w:r w:rsidR="00F11B2B">
        <w:t>by</w:t>
      </w:r>
      <w:r w:rsidR="00F60736" w:rsidRPr="00090DA6">
        <w:t xml:space="preserve"> 20</w:t>
      </w:r>
      <w:r w:rsidR="00090DA6" w:rsidRPr="00090DA6">
        <w:t>2</w:t>
      </w:r>
      <w:r w:rsidR="004F307A">
        <w:t>3</w:t>
      </w:r>
      <w:r w:rsidR="003071CD">
        <w:t>.</w:t>
      </w:r>
      <w:r w:rsidR="005C22CA">
        <w:t xml:space="preserve"> Notably, the board projected at least 2 rate hikes by the end of 2023, likely in response to the quarter’s higher than expected inflation figures.  </w:t>
      </w:r>
    </w:p>
    <w:p w14:paraId="4D630423" w14:textId="303055E9" w:rsidR="00FD0160" w:rsidRDefault="00855C4E" w:rsidP="00855C4E">
      <w:pPr>
        <w:jc w:val="center"/>
      </w:pPr>
      <w:r w:rsidRPr="00855C4E">
        <w:rPr>
          <w:noProof/>
        </w:rPr>
        <w:drawing>
          <wp:inline distT="0" distB="0" distL="0" distR="0" wp14:anchorId="3675963F" wp14:editId="7275717C">
            <wp:extent cx="3762375" cy="1152525"/>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2375" cy="1152525"/>
                    </a:xfrm>
                    <a:prstGeom prst="rect">
                      <a:avLst/>
                    </a:prstGeom>
                    <a:noFill/>
                    <a:ln>
                      <a:noFill/>
                    </a:ln>
                  </pic:spPr>
                </pic:pic>
              </a:graphicData>
            </a:graphic>
          </wp:inline>
        </w:drawing>
      </w:r>
    </w:p>
    <w:p w14:paraId="3DA5A3C9" w14:textId="4CF9E1B8" w:rsidR="002301AB" w:rsidRDefault="002308A9">
      <w:r>
        <w:br w:type="page"/>
      </w:r>
    </w:p>
    <w:p w14:paraId="71E59CEA" w14:textId="6D7E62F8" w:rsidR="002308A9" w:rsidRDefault="002301AB">
      <w:pPr>
        <w:rPr>
          <w:rFonts w:asciiTheme="majorHAnsi" w:eastAsiaTheme="majorEastAsia" w:hAnsiTheme="majorHAnsi" w:cstheme="majorBidi"/>
          <w:color w:val="008FD5"/>
          <w:sz w:val="36"/>
          <w:szCs w:val="32"/>
        </w:rPr>
      </w:pPr>
      <w:r>
        <w:rPr>
          <w:rFonts w:asciiTheme="majorHAnsi" w:eastAsiaTheme="majorEastAsia" w:hAnsiTheme="majorHAnsi" w:cstheme="majorBidi"/>
          <w:color w:val="008FD5"/>
          <w:sz w:val="36"/>
          <w:szCs w:val="32"/>
        </w:rPr>
        <w:lastRenderedPageBreak/>
        <w:t>Appendix – Selected Interest Rates</w:t>
      </w:r>
    </w:p>
    <w:p w14:paraId="6F34C406" w14:textId="1A6D536A" w:rsidR="002301AB" w:rsidRDefault="00D25461">
      <w:r w:rsidRPr="00D25461">
        <w:rPr>
          <w:noProof/>
        </w:rPr>
        <w:drawing>
          <wp:inline distT="0" distB="0" distL="0" distR="0" wp14:anchorId="0091C767" wp14:editId="54D90401">
            <wp:extent cx="4953823" cy="779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9322" cy="7800099"/>
                    </a:xfrm>
                    <a:prstGeom prst="rect">
                      <a:avLst/>
                    </a:prstGeom>
                    <a:noFill/>
                    <a:ln>
                      <a:noFill/>
                    </a:ln>
                  </pic:spPr>
                </pic:pic>
              </a:graphicData>
            </a:graphic>
          </wp:inline>
        </w:drawing>
      </w:r>
    </w:p>
    <w:p w14:paraId="149D5FB3" w14:textId="386CB697" w:rsidR="00005111" w:rsidRPr="0017465F" w:rsidRDefault="00005111" w:rsidP="001475FF">
      <w:pPr>
        <w:pStyle w:val="Heading1"/>
      </w:pPr>
      <w:r w:rsidRPr="0017465F">
        <w:lastRenderedPageBreak/>
        <w:t>About This Report</w:t>
      </w:r>
    </w:p>
    <w:p w14:paraId="149D5FB4" w14:textId="5800CD46" w:rsidR="002F3682" w:rsidRDefault="00BB34CA" w:rsidP="00005111">
      <w:r w:rsidRPr="0017465F">
        <w:t xml:space="preserve">The </w:t>
      </w:r>
      <w:r w:rsidRPr="0017465F">
        <w:rPr>
          <w:i/>
        </w:rPr>
        <w:t>Quarterly Economic Update</w:t>
      </w:r>
      <w:r w:rsidRPr="0017465F">
        <w:t xml:space="preserve"> is a free publication sponsored by </w:t>
      </w:r>
      <w:proofErr w:type="spellStart"/>
      <w:r w:rsidRPr="0017465F">
        <w:t>TagniFi</w:t>
      </w:r>
      <w:proofErr w:type="spellEnd"/>
      <w:r w:rsidRPr="0017465F">
        <w:t>. You are free to share this report and include its contents in the economic outlook section of your valuation reports</w:t>
      </w:r>
      <w:r w:rsidR="00DF67C7" w:rsidRPr="0017465F">
        <w:t xml:space="preserve"> as required by </w:t>
      </w:r>
      <w:r w:rsidR="00DF67C7" w:rsidRPr="0017465F">
        <w:rPr>
          <w:i/>
        </w:rPr>
        <w:t>Revenue Ruling 59-60</w:t>
      </w:r>
      <w:r w:rsidRPr="0017465F">
        <w:t xml:space="preserve">. Please forward this </w:t>
      </w:r>
      <w:r w:rsidR="00DF67C7" w:rsidRPr="0017465F">
        <w:t xml:space="preserve">free </w:t>
      </w:r>
      <w:r w:rsidRPr="0017465F">
        <w:t>report to a c</w:t>
      </w:r>
      <w:r w:rsidR="00DF67C7" w:rsidRPr="0017465F">
        <w:t xml:space="preserve">olleague to help us spread the word about </w:t>
      </w:r>
      <w:proofErr w:type="spellStart"/>
      <w:r w:rsidR="00DF67C7" w:rsidRPr="0017465F">
        <w:t>TagniFi</w:t>
      </w:r>
      <w:proofErr w:type="spellEnd"/>
      <w:r w:rsidRPr="0017465F">
        <w:t>.</w:t>
      </w:r>
    </w:p>
    <w:p w14:paraId="149D5FB5" w14:textId="77777777" w:rsidR="001475FF" w:rsidRDefault="001475FF" w:rsidP="001475FF">
      <w:pPr>
        <w:pStyle w:val="Heading1"/>
      </w:pPr>
      <w:bookmarkStart w:id="1" w:name="_Hlk31896782"/>
      <w:r>
        <w:t xml:space="preserve">About </w:t>
      </w:r>
      <w:proofErr w:type="spellStart"/>
      <w:r>
        <w:t>TagniFi</w:t>
      </w:r>
      <w:proofErr w:type="spellEnd"/>
    </w:p>
    <w:bookmarkEnd w:id="1"/>
    <w:p w14:paraId="48B0785A" w14:textId="1A8E78E5" w:rsidR="00964DD4" w:rsidRDefault="00964DD4" w:rsidP="00964DD4">
      <w:r>
        <w:t xml:space="preserve">In July 2015 we released our first dataset, </w:t>
      </w:r>
      <w:proofErr w:type="spellStart"/>
      <w:r>
        <w:t>TagniFi</w:t>
      </w:r>
      <w:proofErr w:type="spellEnd"/>
      <w:r>
        <w:t xml:space="preserve"> Fundamentals, because we thought investors and finance professionals needed a better solution for financial data. Since </w:t>
      </w:r>
      <w:r w:rsidR="004846E4">
        <w:t>then,</w:t>
      </w:r>
      <w:r>
        <w:t xml:space="preserve"> our mission has remained the same: to serve our clients with the best financial data available at a reasonable price. We do this by developing innovative solutions to leverage tagged financial statements which allow us to deliver better, </w:t>
      </w:r>
      <w:r w:rsidR="004846E4">
        <w:t>faster,</w:t>
      </w:r>
      <w:r>
        <w:t xml:space="preserve"> and more detailed data at a fraction of the cost.</w:t>
      </w:r>
    </w:p>
    <w:p w14:paraId="0F1887EF" w14:textId="2A298234" w:rsidR="00964DD4" w:rsidRDefault="00964DD4" w:rsidP="00230D29">
      <w:r>
        <w:t xml:space="preserve">Today </w:t>
      </w:r>
      <w:proofErr w:type="spellStart"/>
      <w:r>
        <w:t>TagniFi</w:t>
      </w:r>
      <w:proofErr w:type="spellEnd"/>
      <w:r>
        <w:t xml:space="preserve"> is a platform of financial data aimed at making our clients more productive and prosperous. We're helping clients in all corners of finance make better decisions with better data. We relentlessly focus on quality and the trust we've earned from our clients is our greatest asset. Our growth is centered around our clients' needs as we look to expand our platform with new data. Referrals from our existing clients is the ultimate compliment so we choose to invest in our product, not flashy marketing campaigns.</w:t>
      </w:r>
      <w:r w:rsidR="004846E4">
        <w:t xml:space="preserve"> </w:t>
      </w:r>
      <w:r w:rsidR="00C36857" w:rsidRPr="0017465F">
        <w:t xml:space="preserve">For more information on </w:t>
      </w:r>
      <w:proofErr w:type="spellStart"/>
      <w:r w:rsidR="00C36857" w:rsidRPr="0017465F">
        <w:t>TagniFi</w:t>
      </w:r>
      <w:proofErr w:type="spellEnd"/>
      <w:r w:rsidR="00C36857" w:rsidRPr="0017465F">
        <w:t>, please visit</w:t>
      </w:r>
      <w:r w:rsidR="00230D29" w:rsidRPr="0017465F">
        <w:t xml:space="preserve"> </w:t>
      </w:r>
      <w:hyperlink r:id="rId42" w:history="1">
        <w:r w:rsidR="00E602D0" w:rsidRPr="0017465F">
          <w:rPr>
            <w:rStyle w:val="Hyperlink"/>
          </w:rPr>
          <w:t>www.tagnifi.com</w:t>
        </w:r>
      </w:hyperlink>
      <w:r w:rsidR="003E5CFB" w:rsidRPr="0017465F">
        <w:t>.</w:t>
      </w:r>
    </w:p>
    <w:p w14:paraId="5E6B4C93" w14:textId="2938085A" w:rsidR="00964DD4" w:rsidRPr="00964DD4" w:rsidRDefault="00964DD4" w:rsidP="00230D29">
      <w:pPr>
        <w:rPr>
          <w:rFonts w:ascii="Calibri Light" w:hAnsi="Calibri Light" w:cs="Calibri Light"/>
          <w:color w:val="008FD5"/>
          <w:sz w:val="36"/>
          <w:szCs w:val="36"/>
        </w:rPr>
      </w:pPr>
      <w:r w:rsidRPr="00964DD4">
        <w:rPr>
          <w:rFonts w:ascii="Calibri Light" w:hAnsi="Calibri Light" w:cs="Calibri Light"/>
          <w:color w:val="008FD5"/>
          <w:sz w:val="36"/>
          <w:szCs w:val="36"/>
        </w:rPr>
        <w:t xml:space="preserve">How </w:t>
      </w:r>
      <w:proofErr w:type="spellStart"/>
      <w:r w:rsidRPr="00964DD4">
        <w:rPr>
          <w:rFonts w:ascii="Calibri Light" w:hAnsi="Calibri Light" w:cs="Calibri Light"/>
          <w:color w:val="008FD5"/>
          <w:sz w:val="36"/>
          <w:szCs w:val="36"/>
        </w:rPr>
        <w:t>TagniFi</w:t>
      </w:r>
      <w:proofErr w:type="spellEnd"/>
      <w:r w:rsidR="005F5744">
        <w:rPr>
          <w:rFonts w:ascii="Calibri Light" w:hAnsi="Calibri Light" w:cs="Calibri Light"/>
          <w:color w:val="008FD5"/>
          <w:sz w:val="36"/>
          <w:szCs w:val="36"/>
        </w:rPr>
        <w:t xml:space="preserve"> Helps </w:t>
      </w:r>
      <w:r w:rsidRPr="00964DD4">
        <w:rPr>
          <w:rFonts w:ascii="Calibri Light" w:hAnsi="Calibri Light" w:cs="Calibri Light"/>
          <w:color w:val="008FD5"/>
          <w:sz w:val="36"/>
          <w:szCs w:val="36"/>
        </w:rPr>
        <w:t>Business Valuation</w:t>
      </w:r>
      <w:r w:rsidR="005F5744">
        <w:rPr>
          <w:rFonts w:ascii="Calibri Light" w:hAnsi="Calibri Light" w:cs="Calibri Light"/>
          <w:color w:val="008FD5"/>
          <w:sz w:val="36"/>
          <w:szCs w:val="36"/>
        </w:rPr>
        <w:t xml:space="preserve"> Teams</w:t>
      </w:r>
    </w:p>
    <w:p w14:paraId="1FE39938" w14:textId="7315018D" w:rsidR="00964DD4" w:rsidRDefault="00964DD4" w:rsidP="00230D29">
      <w:proofErr w:type="spellStart"/>
      <w:r w:rsidRPr="00964DD4">
        <w:t>TagniFi’s</w:t>
      </w:r>
      <w:proofErr w:type="spellEnd"/>
      <w:r w:rsidRPr="00964DD4">
        <w:t xml:space="preserve"> financial data platform empowers business valuation </w:t>
      </w:r>
      <w:r w:rsidR="00617DFF">
        <w:t>teams</w:t>
      </w:r>
      <w:r w:rsidRPr="00964DD4">
        <w:t xml:space="preserve"> to quickly and easily build highly accurate financial models with full transparency—and within seconds.</w:t>
      </w:r>
    </w:p>
    <w:p w14:paraId="5282F11A" w14:textId="77777777" w:rsidR="003D3C51" w:rsidRDefault="003D3C51" w:rsidP="00230D29"/>
    <w:p w14:paraId="736F547D" w14:textId="34D03572" w:rsidR="004C20AB" w:rsidRDefault="00617DFF" w:rsidP="00230D29">
      <w:r>
        <w:rPr>
          <w:b/>
          <w:bCs/>
        </w:rPr>
        <w:t xml:space="preserve">Better </w:t>
      </w:r>
      <w:r w:rsidR="004C20AB" w:rsidRPr="004C20AB">
        <w:rPr>
          <w:b/>
          <w:bCs/>
        </w:rPr>
        <w:t>Public Comps</w:t>
      </w:r>
      <w:r w:rsidR="004C20AB">
        <w:br/>
      </w:r>
      <w:r w:rsidR="004C20AB">
        <w:rPr>
          <w:noProof/>
        </w:rPr>
        <w:drawing>
          <wp:anchor distT="0" distB="0" distL="114300" distR="114300" simplePos="0" relativeHeight="251659776" behindDoc="0" locked="0" layoutInCell="1" allowOverlap="1" wp14:anchorId="0C218BE2" wp14:editId="5412CA4E">
            <wp:simplePos x="0" y="0"/>
            <wp:positionH relativeFrom="column">
              <wp:posOffset>0</wp:posOffset>
            </wp:positionH>
            <wp:positionV relativeFrom="paragraph">
              <wp:posOffset>2540</wp:posOffset>
            </wp:positionV>
            <wp:extent cx="2162175" cy="1621631"/>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2175" cy="1621631"/>
                    </a:xfrm>
                    <a:prstGeom prst="rect">
                      <a:avLst/>
                    </a:prstGeom>
                    <a:noFill/>
                    <a:ln>
                      <a:noFill/>
                    </a:ln>
                  </pic:spPr>
                </pic:pic>
              </a:graphicData>
            </a:graphic>
          </wp:anchor>
        </w:drawing>
      </w:r>
      <w:r w:rsidR="004C20AB" w:rsidRPr="004C20AB">
        <w:t xml:space="preserve">Search for public companies with </w:t>
      </w:r>
      <w:proofErr w:type="spellStart"/>
      <w:r w:rsidR="004C20AB" w:rsidRPr="004C20AB">
        <w:t>TagniFi</w:t>
      </w:r>
      <w:proofErr w:type="spellEnd"/>
      <w:r w:rsidR="004C20AB" w:rsidRPr="004C20AB">
        <w:t xml:space="preserve"> Web. Simply enter your valuation date and ticker symbols in Excel to run a guideline public company method.</w:t>
      </w:r>
      <w:r w:rsidR="004C20AB">
        <w:t xml:space="preserve"> Your Excel model populates instantly with the financial statements, analyst estimates, interest rates and economic data for your valuation date. </w:t>
      </w:r>
    </w:p>
    <w:p w14:paraId="70ABEE83" w14:textId="4BA88891" w:rsidR="004C20AB" w:rsidRDefault="004C20AB" w:rsidP="00230D29"/>
    <w:p w14:paraId="249DCE3B" w14:textId="77777777" w:rsidR="004C20AB" w:rsidRDefault="004C20AB" w:rsidP="004C20AB"/>
    <w:p w14:paraId="44A583AB" w14:textId="48F01EF7" w:rsidR="004C20AB" w:rsidRDefault="004C20AB" w:rsidP="004C20AB">
      <w:r w:rsidRPr="004C20AB">
        <w:rPr>
          <w:b/>
          <w:bCs/>
          <w:noProof/>
        </w:rPr>
        <w:lastRenderedPageBreak/>
        <w:drawing>
          <wp:anchor distT="0" distB="0" distL="114300" distR="114300" simplePos="0" relativeHeight="251660800" behindDoc="0" locked="0" layoutInCell="1" allowOverlap="1" wp14:anchorId="6657EAAE" wp14:editId="5C451360">
            <wp:simplePos x="0" y="0"/>
            <wp:positionH relativeFrom="column">
              <wp:posOffset>3524250</wp:posOffset>
            </wp:positionH>
            <wp:positionV relativeFrom="paragraph">
              <wp:posOffset>-478790</wp:posOffset>
            </wp:positionV>
            <wp:extent cx="2152650" cy="16141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2650" cy="1614170"/>
                    </a:xfrm>
                    <a:prstGeom prst="rect">
                      <a:avLst/>
                    </a:prstGeom>
                    <a:noFill/>
                    <a:ln>
                      <a:noFill/>
                    </a:ln>
                  </pic:spPr>
                </pic:pic>
              </a:graphicData>
            </a:graphic>
          </wp:anchor>
        </w:drawing>
      </w:r>
      <w:r w:rsidR="00617DFF">
        <w:rPr>
          <w:b/>
          <w:bCs/>
        </w:rPr>
        <w:t xml:space="preserve">Better </w:t>
      </w:r>
      <w:r w:rsidRPr="004C20AB">
        <w:rPr>
          <w:b/>
          <w:bCs/>
        </w:rPr>
        <w:t>Transaction Comps</w:t>
      </w:r>
      <w:r>
        <w:br/>
      </w:r>
      <w:r w:rsidRPr="004C20AB">
        <w:t xml:space="preserve">Search for public and private M&amp;A transactions with </w:t>
      </w:r>
      <w:proofErr w:type="spellStart"/>
      <w:r w:rsidRPr="004C20AB">
        <w:t>TagniFi</w:t>
      </w:r>
      <w:proofErr w:type="spellEnd"/>
      <w:r w:rsidRPr="004C20AB">
        <w:t xml:space="preserve"> Web. Run your transaction comps within seconds by pasting the Deal ID into your Excel model.</w:t>
      </w:r>
      <w:r>
        <w:t xml:space="preserve"> Every deal disclosed in an SEC filing (8-K, 10-K, or 10-Q) is available for your analysis. Choose from over 90 fields of data available for every deal. </w:t>
      </w:r>
    </w:p>
    <w:p w14:paraId="67E200C4" w14:textId="310AA887" w:rsidR="003B0B22" w:rsidRDefault="003B0B22" w:rsidP="004C20AB">
      <w:pPr>
        <w:rPr>
          <w:b/>
          <w:bCs/>
        </w:rPr>
      </w:pPr>
      <w:r w:rsidRPr="004C20AB">
        <w:rPr>
          <w:b/>
          <w:bCs/>
          <w:noProof/>
        </w:rPr>
        <w:drawing>
          <wp:anchor distT="0" distB="0" distL="114300" distR="114300" simplePos="0" relativeHeight="251661824" behindDoc="0" locked="0" layoutInCell="1" allowOverlap="1" wp14:anchorId="7A9B5416" wp14:editId="00F0202F">
            <wp:simplePos x="0" y="0"/>
            <wp:positionH relativeFrom="margin">
              <wp:align>left</wp:align>
            </wp:positionH>
            <wp:positionV relativeFrom="paragraph">
              <wp:posOffset>274320</wp:posOffset>
            </wp:positionV>
            <wp:extent cx="2256790" cy="1559560"/>
            <wp:effectExtent l="0" t="0" r="0"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5">
                      <a:extLst>
                        <a:ext uri="{28A0092B-C50C-407E-A947-70E740481C1C}">
                          <a14:useLocalDpi xmlns:a14="http://schemas.microsoft.com/office/drawing/2010/main" val="0"/>
                        </a:ext>
                      </a:extLst>
                    </a:blip>
                    <a:srcRect t="7877"/>
                    <a:stretch/>
                  </pic:blipFill>
                  <pic:spPr bwMode="auto">
                    <a:xfrm>
                      <a:off x="0" y="0"/>
                      <a:ext cx="2256790" cy="1559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A5C467F" w14:textId="170F5616" w:rsidR="004C20AB" w:rsidRDefault="004C20AB" w:rsidP="004C20AB">
      <w:r w:rsidRPr="004C20AB">
        <w:rPr>
          <w:b/>
          <w:bCs/>
        </w:rPr>
        <w:t>Historical Beta and Volatility</w:t>
      </w:r>
      <w:r w:rsidRPr="004C20AB">
        <w:rPr>
          <w:b/>
          <w:bCs/>
        </w:rPr>
        <w:br/>
      </w:r>
      <w:r w:rsidRPr="004C20AB">
        <w:t xml:space="preserve">Calculate historical beta and volatility as of your valuation date automatically. Simply enter the tickers and valuation date in Excel </w:t>
      </w:r>
      <w:r w:rsidR="003B0B22">
        <w:t>-</w:t>
      </w:r>
      <w:r w:rsidRPr="004C20AB">
        <w:t xml:space="preserve"> </w:t>
      </w:r>
      <w:proofErr w:type="spellStart"/>
      <w:r w:rsidRPr="004C20AB">
        <w:t>TagniFi</w:t>
      </w:r>
      <w:proofErr w:type="spellEnd"/>
      <w:r w:rsidRPr="004C20AB">
        <w:t xml:space="preserve"> does the rest.</w:t>
      </w:r>
      <w:r w:rsidR="003B0B22">
        <w:t xml:space="preserve"> In addition to beta and volatility, there are over 40 Excel models available in the Model Library to help with your valuation report. </w:t>
      </w:r>
    </w:p>
    <w:p w14:paraId="42664782" w14:textId="50B2EA67" w:rsidR="003B0B22" w:rsidRDefault="003B0B22" w:rsidP="004C20AB"/>
    <w:p w14:paraId="4808FD9A" w14:textId="7CD3F2CA" w:rsidR="003B0B22" w:rsidRDefault="003B0B22" w:rsidP="004C20AB">
      <w:r>
        <w:rPr>
          <w:noProof/>
        </w:rPr>
        <w:drawing>
          <wp:anchor distT="0" distB="0" distL="114300" distR="114300" simplePos="0" relativeHeight="251662848" behindDoc="0" locked="0" layoutInCell="1" allowOverlap="1" wp14:anchorId="7F6FB4BC" wp14:editId="1BE8E9C3">
            <wp:simplePos x="0" y="0"/>
            <wp:positionH relativeFrom="margin">
              <wp:align>right</wp:align>
            </wp:positionH>
            <wp:positionV relativeFrom="paragraph">
              <wp:posOffset>10160</wp:posOffset>
            </wp:positionV>
            <wp:extent cx="2219325" cy="1664494"/>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19325" cy="1664494"/>
                    </a:xfrm>
                    <a:prstGeom prst="rect">
                      <a:avLst/>
                    </a:prstGeom>
                    <a:noFill/>
                    <a:ln>
                      <a:noFill/>
                    </a:ln>
                  </pic:spPr>
                </pic:pic>
              </a:graphicData>
            </a:graphic>
          </wp:anchor>
        </w:drawing>
      </w:r>
      <w:r>
        <w:rPr>
          <w:b/>
          <w:bCs/>
        </w:rPr>
        <w:t>Interest Rates and Economic Dat</w:t>
      </w:r>
      <w:r w:rsidR="00BC7E45">
        <w:rPr>
          <w:b/>
          <w:bCs/>
        </w:rPr>
        <w:t>a</w:t>
      </w:r>
      <w:r>
        <w:rPr>
          <w:b/>
          <w:bCs/>
        </w:rPr>
        <w:br/>
      </w:r>
      <w:r w:rsidRPr="003B0B22">
        <w:t xml:space="preserve">Automate the interest rates and economic data in your valuation report using the </w:t>
      </w:r>
      <w:proofErr w:type="spellStart"/>
      <w:r w:rsidRPr="003B0B22">
        <w:t>TagniFi</w:t>
      </w:r>
      <w:proofErr w:type="spellEnd"/>
      <w:r w:rsidRPr="003B0B22">
        <w:t xml:space="preserve"> Excel plugin. Choose from over 200,000 time series available.</w:t>
      </w:r>
      <w:r>
        <w:t xml:space="preserve"> All data in this </w:t>
      </w:r>
      <w:r w:rsidRPr="003B0B22">
        <w:rPr>
          <w:i/>
          <w:iCs/>
        </w:rPr>
        <w:t>Quarterly Economic Update</w:t>
      </w:r>
      <w:r>
        <w:t xml:space="preserve"> </w:t>
      </w:r>
      <w:r w:rsidR="002C5E52">
        <w:t>is</w:t>
      </w:r>
      <w:r>
        <w:t xml:space="preserve"> from the </w:t>
      </w:r>
      <w:proofErr w:type="spellStart"/>
      <w:r>
        <w:t>TagniFi</w:t>
      </w:r>
      <w:proofErr w:type="spellEnd"/>
      <w:r>
        <w:t xml:space="preserve"> platform.</w:t>
      </w:r>
      <w:r w:rsidR="002C5E52">
        <w:t xml:space="preserve"> Use economic and interest rate dat</w:t>
      </w:r>
      <w:r w:rsidR="006C08FA">
        <w:t>a</w:t>
      </w:r>
      <w:r w:rsidR="002C5E52">
        <w:t xml:space="preserve"> for your own valuation models with the </w:t>
      </w:r>
      <w:proofErr w:type="spellStart"/>
      <w:r w:rsidR="002C5E52">
        <w:t>TagniFi</w:t>
      </w:r>
      <w:proofErr w:type="spellEnd"/>
      <w:r w:rsidR="002C5E52">
        <w:t xml:space="preserve"> Excel plugin.</w:t>
      </w:r>
    </w:p>
    <w:p w14:paraId="76A748D9" w14:textId="6DA146B3" w:rsidR="002D4C10" w:rsidRDefault="002D4C10" w:rsidP="002D4C10">
      <w:pPr>
        <w:rPr>
          <w:b/>
          <w:bCs/>
        </w:rPr>
      </w:pPr>
      <w:r>
        <w:rPr>
          <w:noProof/>
        </w:rPr>
        <w:drawing>
          <wp:anchor distT="0" distB="0" distL="114300" distR="114300" simplePos="0" relativeHeight="251663872" behindDoc="0" locked="0" layoutInCell="1" allowOverlap="1" wp14:anchorId="14BEAF36" wp14:editId="2559BE73">
            <wp:simplePos x="0" y="0"/>
            <wp:positionH relativeFrom="margin">
              <wp:posOffset>-635</wp:posOffset>
            </wp:positionH>
            <wp:positionV relativeFrom="paragraph">
              <wp:posOffset>296545</wp:posOffset>
            </wp:positionV>
            <wp:extent cx="2380615" cy="1819275"/>
            <wp:effectExtent l="0" t="0" r="635"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3641" t="15145" r="49039" b="54028"/>
                    <a:stretch/>
                  </pic:blipFill>
                  <pic:spPr bwMode="auto">
                    <a:xfrm>
                      <a:off x="0" y="0"/>
                      <a:ext cx="238061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4DB224E1" w14:textId="64D6F5F8" w:rsidR="002D4C10" w:rsidRDefault="002D4C10" w:rsidP="002D4C10">
      <w:r>
        <w:rPr>
          <w:b/>
          <w:bCs/>
        </w:rPr>
        <w:br/>
        <w:t>Closed-End Mutual Fund Data</w:t>
      </w:r>
      <w:r w:rsidRPr="004C20AB">
        <w:rPr>
          <w:b/>
          <w:bCs/>
        </w:rPr>
        <w:br/>
      </w:r>
      <w:r>
        <w:t xml:space="preserve">Search for closed-end mutual funds by keyword, category, subcategory, and more with the </w:t>
      </w:r>
      <w:proofErr w:type="spellStart"/>
      <w:r>
        <w:t>TagniFi</w:t>
      </w:r>
      <w:proofErr w:type="spellEnd"/>
      <w:r>
        <w:t xml:space="preserve"> Console. Use the </w:t>
      </w:r>
      <w:proofErr w:type="spellStart"/>
      <w:r>
        <w:t>TagniFi</w:t>
      </w:r>
      <w:proofErr w:type="spellEnd"/>
      <w:r>
        <w:t xml:space="preserve"> Excel plugin to c</w:t>
      </w:r>
      <w:r w:rsidRPr="004C20AB">
        <w:t xml:space="preserve">alculate </w:t>
      </w:r>
      <w:r>
        <w:t xml:space="preserve">historical discounts, yields, leverage, </w:t>
      </w:r>
      <w:r w:rsidRPr="004C20AB">
        <w:t xml:space="preserve">as of your valuation date automatically. Simply enter the tickers and valuation date in Excel </w:t>
      </w:r>
      <w:r>
        <w:t>-</w:t>
      </w:r>
      <w:r w:rsidRPr="004C20AB">
        <w:t xml:space="preserve"> </w:t>
      </w:r>
      <w:proofErr w:type="spellStart"/>
      <w:r w:rsidRPr="004C20AB">
        <w:t>TagniFi</w:t>
      </w:r>
      <w:proofErr w:type="spellEnd"/>
      <w:r w:rsidRPr="004C20AB">
        <w:t xml:space="preserve"> does the rest.</w:t>
      </w:r>
      <w:r>
        <w:t xml:space="preserve"> </w:t>
      </w:r>
    </w:p>
    <w:p w14:paraId="26171B27" w14:textId="77777777" w:rsidR="002D4C10" w:rsidRPr="004C20AB" w:rsidRDefault="002D4C10" w:rsidP="004C20AB">
      <w:pPr>
        <w:rPr>
          <w:b/>
          <w:bCs/>
        </w:rPr>
      </w:pPr>
    </w:p>
    <w:sectPr w:rsidR="002D4C10" w:rsidRPr="004C20AB" w:rsidSect="00005111">
      <w:headerReference w:type="default" r:id="rId48"/>
      <w:footerReference w:type="default" r:id="rId49"/>
      <w:footerReference w:type="first" r:id="rId5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5F03E" w14:textId="77777777" w:rsidR="00641A51" w:rsidRDefault="00641A51" w:rsidP="00171C8E">
      <w:pPr>
        <w:spacing w:after="0" w:line="240" w:lineRule="auto"/>
      </w:pPr>
      <w:r>
        <w:separator/>
      </w:r>
    </w:p>
  </w:endnote>
  <w:endnote w:type="continuationSeparator" w:id="0">
    <w:p w14:paraId="75513918" w14:textId="77777777" w:rsidR="00641A51" w:rsidRDefault="00641A51" w:rsidP="00171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8" w14:textId="31454DBF" w:rsidR="003D1D39" w:rsidRDefault="003D1D39">
    <w:pPr>
      <w:pStyle w:val="Footer"/>
    </w:pPr>
    <w:r>
      <w:t xml:space="preserve">© 2021 </w:t>
    </w:r>
    <w:proofErr w:type="spellStart"/>
    <w:r>
      <w:t>TagniFi</w:t>
    </w:r>
    <w:proofErr w:type="spellEnd"/>
    <w:r>
      <w:t>, LLC. All rights reserved.</w:t>
    </w:r>
    <w:r>
      <w:tab/>
    </w:r>
    <w:r>
      <w:tab/>
      <w:t xml:space="preserve">Page </w:t>
    </w:r>
    <w:r>
      <w:fldChar w:fldCharType="begin"/>
    </w:r>
    <w:r>
      <w:instrText xml:space="preserve"> PAGE   \* MERGEFORMAT </w:instrText>
    </w:r>
    <w:r>
      <w:fldChar w:fldCharType="separate"/>
    </w:r>
    <w:r w:rsidR="009443D6">
      <w:rPr>
        <w:noProof/>
      </w:rPr>
      <w:t>20</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CAF58" w14:textId="5EAC5F17" w:rsidR="003D1D39" w:rsidRDefault="003D1D39">
    <w:pPr>
      <w:pStyle w:val="Footer"/>
    </w:pPr>
    <w:r>
      <w:t>TagniFi.com</w:t>
    </w:r>
    <w:r>
      <w:tab/>
    </w:r>
    <w:r>
      <w:tab/>
      <w:t>800-TagniFi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95255" w14:textId="77777777" w:rsidR="00641A51" w:rsidRDefault="00641A51" w:rsidP="00171C8E">
      <w:pPr>
        <w:spacing w:after="0" w:line="240" w:lineRule="auto"/>
      </w:pPr>
      <w:r>
        <w:separator/>
      </w:r>
    </w:p>
  </w:footnote>
  <w:footnote w:type="continuationSeparator" w:id="0">
    <w:p w14:paraId="4947CF6F" w14:textId="77777777" w:rsidR="00641A51" w:rsidRDefault="00641A51" w:rsidP="00171C8E">
      <w:pPr>
        <w:spacing w:after="0" w:line="240" w:lineRule="auto"/>
      </w:pPr>
      <w:r>
        <w:continuationSeparator/>
      </w:r>
    </w:p>
  </w:footnote>
  <w:footnote w:id="1">
    <w:p w14:paraId="0A2FA1C7" w14:textId="77777777" w:rsidR="00EC7CB1" w:rsidRDefault="00EC7CB1" w:rsidP="00EC7CB1">
      <w:pPr>
        <w:pStyle w:val="FootnoteText"/>
      </w:pPr>
      <w:r>
        <w:rPr>
          <w:rStyle w:val="FootnoteReference"/>
        </w:rPr>
        <w:footnoteRef/>
      </w:r>
      <w:r>
        <w:t xml:space="preserve"> </w:t>
      </w:r>
      <w:r w:rsidRPr="00EC7CB1">
        <w:rPr>
          <w:rFonts w:cstheme="minorHAnsi"/>
          <w:i/>
          <w:iCs/>
          <w:color w:val="222222"/>
          <w:sz w:val="16"/>
          <w:szCs w:val="16"/>
          <w:shd w:val="clear" w:color="auto" w:fill="FFFFFF"/>
        </w:rPr>
        <w:t>Federal Reserve Bank of Philadelphia</w:t>
      </w:r>
      <w:r w:rsidRPr="00DA3959">
        <w:rPr>
          <w:rFonts w:cstheme="minorHAnsi"/>
          <w:i/>
          <w:iCs/>
          <w:color w:val="222222"/>
          <w:sz w:val="16"/>
          <w:szCs w:val="16"/>
          <w:shd w:val="clear" w:color="auto" w:fill="FFFFFF"/>
        </w:rPr>
        <w:t xml:space="preserve">, </w:t>
      </w:r>
      <w:r w:rsidRPr="00EC7CB1">
        <w:rPr>
          <w:rFonts w:cstheme="minorHAnsi"/>
          <w:i/>
          <w:iCs/>
          <w:color w:val="222222"/>
          <w:sz w:val="16"/>
          <w:szCs w:val="16"/>
          <w:shd w:val="clear" w:color="auto" w:fill="FFFFFF"/>
        </w:rPr>
        <w:t>Coincident Economic Activity Index for the United States</w:t>
      </w:r>
      <w:r w:rsidRPr="00DA3959">
        <w:rPr>
          <w:rFonts w:cstheme="minorHAnsi"/>
          <w:i/>
          <w:iCs/>
          <w:color w:val="222222"/>
          <w:sz w:val="16"/>
          <w:szCs w:val="16"/>
          <w:shd w:val="clear" w:color="auto" w:fill="FFFFFF"/>
        </w:rPr>
        <w:t xml:space="preserve"> [</w:t>
      </w:r>
      <w:r w:rsidRPr="00EC7CB1">
        <w:rPr>
          <w:rFonts w:cstheme="minorHAnsi"/>
          <w:i/>
          <w:iCs/>
          <w:color w:val="222222"/>
          <w:sz w:val="16"/>
          <w:szCs w:val="16"/>
          <w:shd w:val="clear" w:color="auto" w:fill="FFFFFF"/>
        </w:rPr>
        <w:t>USPHCI</w:t>
      </w:r>
      <w:r w:rsidRPr="00DA3959">
        <w:rPr>
          <w:rFonts w:cstheme="minorHAnsi"/>
          <w:i/>
          <w:iCs/>
          <w:color w:val="222222"/>
          <w:sz w:val="16"/>
          <w:szCs w:val="16"/>
          <w:shd w:val="clear" w:color="auto" w:fill="FFFFFF"/>
        </w:rPr>
        <w:t xml:space="preserve">], retrieved from FRED, Federal Reserve Bank of St. Louis; </w:t>
      </w:r>
      <w:hyperlink r:id="rId1" w:history="1">
        <w:r w:rsidRPr="001B4FCC">
          <w:rPr>
            <w:rStyle w:val="Hyperlink"/>
            <w:rFonts w:cstheme="minorHAnsi"/>
            <w:i/>
            <w:iCs/>
            <w:sz w:val="16"/>
            <w:szCs w:val="16"/>
            <w:shd w:val="clear" w:color="auto" w:fill="FFFFFF"/>
          </w:rPr>
          <w:t>https://fred.stlouisfed.org/series/USPHCI</w:t>
        </w:r>
      </w:hyperlink>
      <w:r w:rsidRPr="00DA3959">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DA3959">
        <w:rPr>
          <w:rFonts w:cstheme="minorHAnsi"/>
          <w:i/>
          <w:iCs/>
          <w:color w:val="222222"/>
          <w:sz w:val="16"/>
          <w:szCs w:val="16"/>
          <w:shd w:val="clear" w:color="auto" w:fill="FFFFFF"/>
        </w:rPr>
        <w:t>.</w:t>
      </w:r>
    </w:p>
  </w:footnote>
  <w:footnote w:id="2">
    <w:p w14:paraId="04EBBD96" w14:textId="2AE6B44E" w:rsidR="003D1D39" w:rsidRPr="000322F4" w:rsidRDefault="003D1D39">
      <w:pPr>
        <w:pStyle w:val="FootnoteText"/>
        <w:rPr>
          <w:sz w:val="16"/>
          <w:szCs w:val="16"/>
          <w:lang w:val="en-PH"/>
        </w:rPr>
      </w:pPr>
      <w:r w:rsidRPr="000322F4">
        <w:rPr>
          <w:rStyle w:val="FootnoteReference"/>
          <w:sz w:val="16"/>
          <w:szCs w:val="16"/>
        </w:rPr>
        <w:footnoteRef/>
      </w:r>
      <w:r w:rsidRPr="000322F4">
        <w:rPr>
          <w:sz w:val="16"/>
          <w:szCs w:val="16"/>
        </w:rPr>
        <w:t xml:space="preserve"> </w:t>
      </w:r>
      <w:r w:rsidRPr="00DA3959">
        <w:rPr>
          <w:rFonts w:cstheme="minorHAnsi"/>
          <w:i/>
          <w:iCs/>
          <w:color w:val="222222"/>
          <w:sz w:val="16"/>
          <w:szCs w:val="16"/>
          <w:shd w:val="clear" w:color="auto" w:fill="FFFFFF"/>
        </w:rPr>
        <w:t xml:space="preserve">Board of Governors of the Federal Reserve System (US), Trade Weighted U.S. Dollar Index: Broad, Goods and Services [DTWEXBGS], retrieved from FRED, Federal Reserve Bank of St. Louis; </w:t>
      </w:r>
      <w:hyperlink r:id="rId2" w:history="1">
        <w:r w:rsidRPr="00DA3959">
          <w:rPr>
            <w:rStyle w:val="Hyperlink"/>
            <w:rFonts w:cstheme="minorHAnsi"/>
            <w:i/>
            <w:iCs/>
            <w:sz w:val="16"/>
            <w:szCs w:val="16"/>
            <w:shd w:val="clear" w:color="auto" w:fill="FFFFFF"/>
          </w:rPr>
          <w:t>https://fred.stlouisfed.org/series/DTWEXBGS</w:t>
        </w:r>
      </w:hyperlink>
      <w:r w:rsidRPr="00DA3959">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DA3959">
        <w:rPr>
          <w:rFonts w:cstheme="minorHAnsi"/>
          <w:i/>
          <w:iCs/>
          <w:color w:val="222222"/>
          <w:sz w:val="16"/>
          <w:szCs w:val="16"/>
          <w:shd w:val="clear" w:color="auto" w:fill="FFFFFF"/>
        </w:rPr>
        <w:t>.</w:t>
      </w:r>
    </w:p>
  </w:footnote>
  <w:footnote w:id="3">
    <w:p w14:paraId="517776FA" w14:textId="61DAD00C" w:rsidR="003D1D39" w:rsidRPr="00BF5CE2" w:rsidRDefault="003D1D39">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Real Gross Domestic Product [GDPC1],</w:t>
      </w:r>
      <w:r w:rsidRPr="00BF5CE2">
        <w:rPr>
          <w:rFonts w:cstheme="minorHAnsi"/>
          <w:i/>
          <w:iCs/>
          <w:color w:val="222222"/>
          <w:sz w:val="16"/>
          <w:szCs w:val="16"/>
          <w:shd w:val="clear" w:color="auto" w:fill="FFFFFF"/>
        </w:rPr>
        <w:t xml:space="preserve"> retrieved from FRED, Federal Reserve Bank of St. Louis; </w:t>
      </w:r>
      <w:hyperlink r:id="rId3" w:history="1">
        <w:r w:rsidRPr="00BF5CE2">
          <w:rPr>
            <w:rStyle w:val="Hyperlink"/>
            <w:rFonts w:cstheme="minorHAnsi"/>
            <w:i/>
            <w:iCs/>
            <w:sz w:val="16"/>
            <w:szCs w:val="16"/>
            <w:shd w:val="clear" w:color="auto" w:fill="FFFFFF"/>
          </w:rPr>
          <w:t>https://fred.stlouisfed.org/series/GDPC1</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4">
    <w:p w14:paraId="7FABCB6E" w14:textId="77777777" w:rsidR="00D03164" w:rsidRPr="006A114D" w:rsidRDefault="00D03164" w:rsidP="00D03164">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Industrial Production Index [INDPRO],</w:t>
      </w:r>
      <w:r w:rsidRPr="00BF5CE2">
        <w:rPr>
          <w:rFonts w:cstheme="minorHAnsi"/>
          <w:i/>
          <w:iCs/>
          <w:color w:val="222222"/>
          <w:sz w:val="16"/>
          <w:szCs w:val="16"/>
          <w:shd w:val="clear" w:color="auto" w:fill="FFFFFF"/>
        </w:rPr>
        <w:t xml:space="preserve"> retrieved from FRED, Federal Reserve Bank of St. Louis; </w:t>
      </w:r>
      <w:hyperlink r:id="rId4" w:history="1">
        <w:r w:rsidRPr="00BF5CE2">
          <w:rPr>
            <w:rStyle w:val="Hyperlink"/>
            <w:rFonts w:cstheme="minorHAnsi"/>
            <w:i/>
            <w:iCs/>
            <w:sz w:val="16"/>
            <w:szCs w:val="16"/>
            <w:shd w:val="clear" w:color="auto" w:fill="FFFFFF"/>
          </w:rPr>
          <w:t>https://fred.stlouisfed.org/series/INDPRO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5">
    <w:p w14:paraId="036626D0" w14:textId="3C405824" w:rsidR="007A05AD" w:rsidRDefault="007A05AD" w:rsidP="007A05AD">
      <w:pPr>
        <w:pStyle w:val="FootnoteText"/>
      </w:pPr>
      <w:r>
        <w:rPr>
          <w:rStyle w:val="FootnoteReference"/>
        </w:rPr>
        <w:footnoteRef/>
      </w:r>
      <w:r w:rsidRPr="00267BC7">
        <w:rPr>
          <w:sz w:val="16"/>
          <w:szCs w:val="16"/>
          <w:lang w:val="en-PH"/>
        </w:rPr>
        <w:t>Board of Governors of the Federal Reserve System (US),</w:t>
      </w:r>
      <w:r>
        <w:rPr>
          <w:sz w:val="16"/>
          <w:szCs w:val="16"/>
          <w:lang w:val="en-PH"/>
        </w:rPr>
        <w:t xml:space="preserve"> Capacity Utilization, Manufacturing (NAICS), retrieved from FRED, Federal Reserve Bank of St. Louis; </w:t>
      </w:r>
      <w:hyperlink r:id="rId5" w:history="1">
        <w:r w:rsidRPr="002607DE">
          <w:rPr>
            <w:rStyle w:val="Hyperlink"/>
            <w:sz w:val="16"/>
            <w:szCs w:val="16"/>
            <w:lang w:val="en-PH"/>
          </w:rPr>
          <w:t>https://fred.stlouisfed.org/series/MCUMFN</w:t>
        </w:r>
      </w:hyperlink>
      <w:r>
        <w:rPr>
          <w:sz w:val="16"/>
          <w:szCs w:val="16"/>
          <w:lang w:val="en-PH"/>
        </w:rPr>
        <w:t>, Jul 30</w:t>
      </w:r>
      <w:r w:rsidR="002024E2">
        <w:rPr>
          <w:sz w:val="16"/>
          <w:szCs w:val="16"/>
          <w:lang w:val="en-PH"/>
        </w:rPr>
        <w:t>,</w:t>
      </w:r>
      <w:r>
        <w:rPr>
          <w:sz w:val="16"/>
          <w:szCs w:val="16"/>
          <w:lang w:val="en-PH"/>
        </w:rPr>
        <w:t xml:space="preserve"> 2021</w:t>
      </w:r>
    </w:p>
  </w:footnote>
  <w:footnote w:id="6">
    <w:p w14:paraId="35FA6FE7" w14:textId="258E54FF" w:rsidR="003D1D39" w:rsidRPr="00BF5CE2" w:rsidRDefault="003D1D39">
      <w:pPr>
        <w:pStyle w:val="FootnoteText"/>
        <w:rPr>
          <w:sz w:val="16"/>
          <w:szCs w:val="16"/>
          <w:lang w:val="en-PH"/>
        </w:rPr>
      </w:pPr>
      <w:r w:rsidRPr="00BF5CE2">
        <w:rPr>
          <w:rStyle w:val="FootnoteReference"/>
          <w:sz w:val="16"/>
          <w:szCs w:val="16"/>
        </w:rPr>
        <w:footnoteRef/>
      </w:r>
      <w:r w:rsidRPr="00BF5CE2">
        <w:rPr>
          <w:sz w:val="16"/>
          <w:szCs w:val="16"/>
        </w:rPr>
        <w:t xml:space="preserve"> </w:t>
      </w:r>
      <w:r w:rsidRPr="00B65667">
        <w:rPr>
          <w:i/>
          <w:iCs/>
          <w:sz w:val="16"/>
          <w:szCs w:val="16"/>
          <w:lang w:val="en-PH"/>
        </w:rPr>
        <w:t>Board of Governors of the Federal Reserve System (US), Effective Federal Funds Rate [FEDFUNDS],</w:t>
      </w:r>
      <w:r w:rsidRPr="00BF5CE2">
        <w:rPr>
          <w:rFonts w:cstheme="minorHAnsi"/>
          <w:i/>
          <w:iCs/>
          <w:color w:val="222222"/>
          <w:sz w:val="16"/>
          <w:szCs w:val="16"/>
          <w:shd w:val="clear" w:color="auto" w:fill="FFFFFF"/>
        </w:rPr>
        <w:t xml:space="preserve"> retrieved from FRED, Federal Reserve Bank of St. Louis; </w:t>
      </w:r>
      <w:hyperlink r:id="rId6" w:history="1">
        <w:r w:rsidRPr="00BF5CE2">
          <w:rPr>
            <w:rStyle w:val="Hyperlink"/>
            <w:rFonts w:cstheme="minorHAnsi"/>
            <w:i/>
            <w:iCs/>
            <w:sz w:val="16"/>
            <w:szCs w:val="16"/>
            <w:shd w:val="clear" w:color="auto" w:fill="FFFFFF"/>
          </w:rPr>
          <w:t>https://fred.stlouisfed.org/series/FEDFUNDS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7">
    <w:p w14:paraId="5D92A033" w14:textId="4C546F10" w:rsidR="003D1D39" w:rsidRPr="004759DB" w:rsidRDefault="003D1D39">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Board of Governors of the Federal Reserve System (US), 10-Year Treasury Constant Maturity Rate [DGS10],</w:t>
      </w:r>
      <w:r w:rsidRPr="00BF5CE2">
        <w:rPr>
          <w:rFonts w:cstheme="minorHAnsi"/>
          <w:i/>
          <w:iCs/>
          <w:color w:val="222222"/>
          <w:sz w:val="16"/>
          <w:szCs w:val="16"/>
          <w:shd w:val="clear" w:color="auto" w:fill="FFFFFF"/>
        </w:rPr>
        <w:t xml:space="preserve"> retrieved from FRED, Federal Reserve Bank of St. Louis; </w:t>
      </w:r>
      <w:hyperlink r:id="rId7" w:history="1">
        <w:r w:rsidRPr="00BF5CE2">
          <w:rPr>
            <w:rStyle w:val="Hyperlink"/>
            <w:rFonts w:cstheme="minorHAnsi"/>
            <w:i/>
            <w:iCs/>
            <w:sz w:val="16"/>
            <w:szCs w:val="16"/>
            <w:shd w:val="clear" w:color="auto" w:fill="FFFFFF"/>
          </w:rPr>
          <w:t>https://fred.stlouisfed.org/series/DGS10</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8">
    <w:p w14:paraId="29E4EDD1" w14:textId="493F1738" w:rsidR="003D1D39" w:rsidRPr="00BF5CE2" w:rsidRDefault="003D1D39">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Moody’s, Moody’s Seasoned Baa Corporate Bond Yield [BAAS],</w:t>
      </w:r>
      <w:r w:rsidRPr="00BF5CE2">
        <w:rPr>
          <w:rFonts w:cstheme="minorHAnsi"/>
          <w:i/>
          <w:iCs/>
          <w:color w:val="222222"/>
          <w:sz w:val="16"/>
          <w:szCs w:val="16"/>
          <w:shd w:val="clear" w:color="auto" w:fill="FFFFFF"/>
        </w:rPr>
        <w:t xml:space="preserve"> retrieved from FRED, Federal Reserve Bank of St. Louis; </w:t>
      </w:r>
      <w:hyperlink r:id="rId8" w:history="1">
        <w:r w:rsidRPr="00BF5CE2">
          <w:rPr>
            <w:rStyle w:val="Hyperlink"/>
            <w:rFonts w:cstheme="minorHAnsi"/>
            <w:i/>
            <w:iCs/>
            <w:sz w:val="16"/>
            <w:szCs w:val="16"/>
            <w:shd w:val="clear" w:color="auto" w:fill="FFFFFF"/>
          </w:rPr>
          <w:t>https://fred.stlouisfed.org/series/BAA</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9">
    <w:p w14:paraId="66B25A11" w14:textId="1FDDF85F" w:rsidR="009D7CB0" w:rsidRDefault="009D7CB0">
      <w:pPr>
        <w:pStyle w:val="FootnoteText"/>
      </w:pPr>
      <w:r>
        <w:rPr>
          <w:rStyle w:val="FootnoteReference"/>
        </w:rPr>
        <w:footnoteRef/>
      </w:r>
      <w:r>
        <w:t xml:space="preserve"> </w:t>
      </w:r>
      <w:r w:rsidRPr="00BF5CE2">
        <w:rPr>
          <w:sz w:val="16"/>
          <w:szCs w:val="16"/>
          <w:lang w:val="en-PH"/>
        </w:rPr>
        <w:t>U.S. Bureau of Labor Statistics, Civilian Unemployment Rate [UNRATE],</w:t>
      </w:r>
      <w:r w:rsidRPr="00BF5CE2">
        <w:rPr>
          <w:rFonts w:cstheme="minorHAnsi"/>
          <w:i/>
          <w:iCs/>
          <w:color w:val="222222"/>
          <w:sz w:val="16"/>
          <w:szCs w:val="16"/>
          <w:shd w:val="clear" w:color="auto" w:fill="FFFFFF"/>
        </w:rPr>
        <w:t xml:space="preserve"> retrieved from FRED, Federal Reserve Bank of St. Louis; </w:t>
      </w:r>
      <w:hyperlink r:id="rId9" w:history="1">
        <w:r w:rsidRPr="00BF5CE2">
          <w:rPr>
            <w:rStyle w:val="Hyperlink"/>
            <w:rFonts w:cstheme="minorHAnsi"/>
            <w:i/>
            <w:iCs/>
            <w:sz w:val="16"/>
            <w:szCs w:val="16"/>
            <w:shd w:val="clear" w:color="auto" w:fill="FFFFFF"/>
          </w:rPr>
          <w:t>https://fred.stlouisfed.org/series/UNRATE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w:t>
      </w:r>
      <w:r w:rsidR="002024E2">
        <w:rPr>
          <w:rFonts w:cstheme="minorHAnsi"/>
          <w:i/>
          <w:iCs/>
          <w:color w:val="222222"/>
          <w:sz w:val="16"/>
          <w:szCs w:val="16"/>
          <w:shd w:val="clear" w:color="auto" w:fill="FFFFFF"/>
        </w:rPr>
        <w:t>0</w:t>
      </w:r>
      <w:r>
        <w:rPr>
          <w:rFonts w:cstheme="minorHAnsi"/>
          <w:i/>
          <w:iCs/>
          <w:color w:val="222222"/>
          <w:sz w:val="16"/>
          <w:szCs w:val="16"/>
          <w:shd w:val="clear" w:color="auto" w:fill="FFFFFF"/>
        </w:rPr>
        <w:t>, 2021</w:t>
      </w:r>
      <w:r w:rsidRPr="00BF5CE2">
        <w:rPr>
          <w:rFonts w:cstheme="minorHAnsi"/>
          <w:i/>
          <w:iCs/>
          <w:color w:val="222222"/>
          <w:sz w:val="16"/>
          <w:szCs w:val="16"/>
          <w:shd w:val="clear" w:color="auto" w:fill="FFFFFF"/>
        </w:rPr>
        <w:t>.</w:t>
      </w:r>
    </w:p>
  </w:footnote>
  <w:footnote w:id="10">
    <w:p w14:paraId="7EE0AABC" w14:textId="7ECE4C64" w:rsidR="00C7535D" w:rsidRPr="00C7535D" w:rsidRDefault="00C7535D">
      <w:pPr>
        <w:pStyle w:val="FootnoteText"/>
        <w:rPr>
          <w:sz w:val="16"/>
          <w:szCs w:val="16"/>
        </w:rPr>
      </w:pPr>
      <w:r w:rsidRPr="00C7535D">
        <w:rPr>
          <w:rStyle w:val="FootnoteReference"/>
          <w:sz w:val="16"/>
          <w:szCs w:val="16"/>
        </w:rPr>
        <w:footnoteRef/>
      </w:r>
      <w:r w:rsidRPr="00C7535D">
        <w:rPr>
          <w:sz w:val="16"/>
          <w:szCs w:val="16"/>
        </w:rPr>
        <w:t xml:space="preserve"> Federal Reserve Bank of Philadelphia, Livingston Survey, </w:t>
      </w:r>
      <w:hyperlink r:id="rId10" w:history="1">
        <w:r w:rsidRPr="002024E2">
          <w:rPr>
            <w:rStyle w:val="Hyperlink"/>
            <w:i/>
            <w:iCs/>
            <w:sz w:val="16"/>
            <w:szCs w:val="16"/>
          </w:rPr>
          <w:t>https://www.philadelphiafed.org/surveys-and-data/real-time-data-research/livingston-survey</w:t>
        </w:r>
      </w:hyperlink>
      <w:r w:rsidRPr="002024E2">
        <w:rPr>
          <w:i/>
          <w:iCs/>
          <w:sz w:val="16"/>
          <w:szCs w:val="16"/>
        </w:rPr>
        <w:t>, Ju</w:t>
      </w:r>
      <w:r w:rsidR="009D7CB0" w:rsidRPr="002024E2">
        <w:rPr>
          <w:i/>
          <w:iCs/>
          <w:sz w:val="16"/>
          <w:szCs w:val="16"/>
        </w:rPr>
        <w:t>l 3</w:t>
      </w:r>
      <w:r w:rsidR="002024E2" w:rsidRPr="002024E2">
        <w:rPr>
          <w:i/>
          <w:iCs/>
          <w:sz w:val="16"/>
          <w:szCs w:val="16"/>
        </w:rPr>
        <w:t>0</w:t>
      </w:r>
      <w:r w:rsidRPr="002024E2">
        <w:rPr>
          <w:i/>
          <w:iCs/>
          <w:sz w:val="16"/>
          <w:szCs w:val="16"/>
        </w:rPr>
        <w:t>, 2021</w:t>
      </w:r>
      <w:r w:rsidR="009D7CB0" w:rsidRPr="002024E2">
        <w:rPr>
          <w:i/>
          <w:iCs/>
          <w:sz w:val="16"/>
          <w:szCs w:val="16"/>
        </w:rPr>
        <w:t>.</w:t>
      </w:r>
    </w:p>
  </w:footnote>
  <w:footnote w:id="11">
    <w:p w14:paraId="181B2D4A" w14:textId="092E5F5A" w:rsidR="009D7CB0" w:rsidRDefault="009D7CB0">
      <w:pPr>
        <w:pStyle w:val="FootnoteText"/>
      </w:pPr>
      <w:r>
        <w:rPr>
          <w:rStyle w:val="FootnoteReference"/>
        </w:rPr>
        <w:footnoteRef/>
      </w:r>
      <w:r>
        <w:t xml:space="preserve"> </w:t>
      </w:r>
      <w:r w:rsidRPr="00BF5CE2">
        <w:rPr>
          <w:sz w:val="16"/>
          <w:szCs w:val="16"/>
          <w:lang w:val="en-PH"/>
        </w:rPr>
        <w:t>U.S. Bureau of Labor Statistics</w:t>
      </w:r>
      <w:r w:rsidRPr="009D7CB0">
        <w:t xml:space="preserve"> </w:t>
      </w:r>
      <w:r w:rsidRPr="009D7CB0">
        <w:rPr>
          <w:sz w:val="16"/>
          <w:szCs w:val="16"/>
          <w:lang w:val="en-PH"/>
        </w:rPr>
        <w:t xml:space="preserve">Total Unemployed, Plus All Persons Marginally Attached to the Labor Force, Plus Total Employed Part Time for Economic Reasons, as a Percent of the Civilian Labor Force Plus All Persons Marginally Attached to the Labor Force (U-6) </w:t>
      </w:r>
      <w:r>
        <w:rPr>
          <w:sz w:val="16"/>
          <w:szCs w:val="16"/>
          <w:lang w:val="en-PH"/>
        </w:rPr>
        <w:t>[</w:t>
      </w:r>
      <w:r w:rsidRPr="009D7CB0">
        <w:rPr>
          <w:sz w:val="16"/>
          <w:szCs w:val="16"/>
          <w:lang w:val="en-PH"/>
        </w:rPr>
        <w:t>U6RATE</w:t>
      </w:r>
      <w:r>
        <w:rPr>
          <w:sz w:val="16"/>
          <w:szCs w:val="16"/>
          <w:lang w:val="en-PH"/>
        </w:rPr>
        <w:t>]</w:t>
      </w:r>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hyperlink r:id="rId11" w:history="1">
        <w:r w:rsidRPr="00D541A5">
          <w:rPr>
            <w:rStyle w:val="Hyperlink"/>
            <w:rFonts w:cstheme="minorHAnsi"/>
            <w:i/>
            <w:iCs/>
            <w:sz w:val="16"/>
            <w:szCs w:val="16"/>
            <w:shd w:val="clear" w:color="auto" w:fill="FFFFFF"/>
          </w:rPr>
          <w:t>https://fred.stlouisfed.org/series/U6RATE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w:t>
      </w:r>
      <w:r w:rsidR="002024E2">
        <w:rPr>
          <w:rFonts w:cstheme="minorHAnsi"/>
          <w:i/>
          <w:iCs/>
          <w:color w:val="222222"/>
          <w:sz w:val="16"/>
          <w:szCs w:val="16"/>
          <w:shd w:val="clear" w:color="auto" w:fill="FFFFFF"/>
        </w:rPr>
        <w:t>0</w:t>
      </w:r>
      <w:r>
        <w:rPr>
          <w:rFonts w:cstheme="minorHAnsi"/>
          <w:i/>
          <w:iCs/>
          <w:color w:val="222222"/>
          <w:sz w:val="16"/>
          <w:szCs w:val="16"/>
          <w:shd w:val="clear" w:color="auto" w:fill="FFFFFF"/>
        </w:rPr>
        <w:t>, 2021</w:t>
      </w:r>
      <w:r w:rsidRPr="00BF5CE2">
        <w:rPr>
          <w:rFonts w:cstheme="minorHAnsi"/>
          <w:i/>
          <w:iCs/>
          <w:color w:val="222222"/>
          <w:sz w:val="16"/>
          <w:szCs w:val="16"/>
          <w:shd w:val="clear" w:color="auto" w:fill="FFFFFF"/>
        </w:rPr>
        <w:t>.</w:t>
      </w:r>
    </w:p>
  </w:footnote>
  <w:footnote w:id="12">
    <w:p w14:paraId="041DBB1A" w14:textId="66BEAE39" w:rsidR="009D7CB0" w:rsidRDefault="009D7CB0">
      <w:pPr>
        <w:pStyle w:val="FootnoteText"/>
      </w:pPr>
      <w:r>
        <w:rPr>
          <w:rStyle w:val="FootnoteReference"/>
        </w:rPr>
        <w:footnoteRef/>
      </w:r>
      <w:r>
        <w:t xml:space="preserve"> </w:t>
      </w:r>
      <w:r w:rsidRPr="00BF5CE2">
        <w:rPr>
          <w:sz w:val="16"/>
          <w:szCs w:val="16"/>
          <w:lang w:val="en-PH"/>
        </w:rPr>
        <w:t>U.S. Bureau of Labor Statistics, All Employees: Total Nonfarm Payrolls [PAYEMS],</w:t>
      </w:r>
      <w:r w:rsidRPr="00BF5CE2">
        <w:rPr>
          <w:rFonts w:cstheme="minorHAnsi"/>
          <w:i/>
          <w:iCs/>
          <w:color w:val="222222"/>
          <w:sz w:val="16"/>
          <w:szCs w:val="16"/>
          <w:shd w:val="clear" w:color="auto" w:fill="FFFFFF"/>
        </w:rPr>
        <w:t xml:space="preserve"> </w:t>
      </w:r>
      <w:r w:rsidRPr="002024E2">
        <w:rPr>
          <w:rFonts w:cstheme="minorHAnsi"/>
          <w:i/>
          <w:iCs/>
          <w:color w:val="222222"/>
          <w:sz w:val="16"/>
          <w:szCs w:val="16"/>
          <w:shd w:val="clear" w:color="auto" w:fill="FFFFFF"/>
        </w:rPr>
        <w:t>retrieved from FRED, Federal Reserve Bank of St. Louis; </w:t>
      </w:r>
      <w:hyperlink r:id="rId12" w:history="1">
        <w:r w:rsidRPr="002024E2">
          <w:rPr>
            <w:rStyle w:val="Hyperlink"/>
            <w:rFonts w:cstheme="minorHAnsi"/>
            <w:i/>
            <w:iCs/>
            <w:sz w:val="16"/>
            <w:szCs w:val="16"/>
            <w:shd w:val="clear" w:color="auto" w:fill="FFFFFF"/>
          </w:rPr>
          <w:t>https://fred.stlouisfed.org/series/PAYEMS</w:t>
        </w:r>
      </w:hyperlink>
      <w:r w:rsidRPr="002024E2">
        <w:rPr>
          <w:rFonts w:cstheme="minorHAnsi"/>
          <w:i/>
          <w:iCs/>
          <w:color w:val="222222"/>
          <w:sz w:val="16"/>
          <w:szCs w:val="16"/>
          <w:shd w:val="clear" w:color="auto" w:fill="FFFFFF"/>
        </w:rPr>
        <w:t>, Jul 3</w:t>
      </w:r>
      <w:r w:rsidR="002024E2">
        <w:rPr>
          <w:rFonts w:cstheme="minorHAnsi"/>
          <w:i/>
          <w:iCs/>
          <w:color w:val="222222"/>
          <w:sz w:val="16"/>
          <w:szCs w:val="16"/>
          <w:shd w:val="clear" w:color="auto" w:fill="FFFFFF"/>
        </w:rPr>
        <w:t>0</w:t>
      </w:r>
      <w:r w:rsidRPr="002024E2">
        <w:rPr>
          <w:rFonts w:cstheme="minorHAnsi"/>
          <w:i/>
          <w:iCs/>
          <w:color w:val="222222"/>
          <w:sz w:val="16"/>
          <w:szCs w:val="16"/>
          <w:shd w:val="clear" w:color="auto" w:fill="FFFFFF"/>
        </w:rPr>
        <w:t>, 2021.</w:t>
      </w:r>
    </w:p>
  </w:footnote>
  <w:footnote w:id="13">
    <w:p w14:paraId="7DB2BDE1" w14:textId="70B132BE" w:rsidR="009B52AF" w:rsidRDefault="009B52AF">
      <w:pPr>
        <w:pStyle w:val="FootnoteText"/>
      </w:pPr>
      <w:r>
        <w:rPr>
          <w:rStyle w:val="FootnoteReference"/>
        </w:rPr>
        <w:footnoteRef/>
      </w:r>
      <w:r>
        <w:t xml:space="preserve"> </w:t>
      </w:r>
      <w:r w:rsidRPr="00BF5CE2">
        <w:rPr>
          <w:sz w:val="16"/>
          <w:szCs w:val="16"/>
          <w:lang w:val="en-PH"/>
        </w:rPr>
        <w:t>U.S. Bureau of Labor Statistics, Consumer Price Index for All Urban Consumers: All Items [CPIAUCSL],</w:t>
      </w:r>
      <w:r w:rsidRPr="00BF5CE2">
        <w:rPr>
          <w:rFonts w:cstheme="minorHAnsi"/>
          <w:i/>
          <w:iCs/>
          <w:color w:val="222222"/>
          <w:sz w:val="16"/>
          <w:szCs w:val="16"/>
          <w:shd w:val="clear" w:color="auto" w:fill="FFFFFF"/>
        </w:rPr>
        <w:t xml:space="preserve"> retrieved from FRED, Federal Reserve Bank of St. Louis; </w:t>
      </w:r>
      <w:hyperlink r:id="rId13" w:history="1">
        <w:r w:rsidRPr="00BF5CE2">
          <w:rPr>
            <w:rStyle w:val="Hyperlink"/>
            <w:rFonts w:cstheme="minorHAnsi"/>
            <w:i/>
            <w:iCs/>
            <w:sz w:val="16"/>
            <w:szCs w:val="16"/>
            <w:shd w:val="clear" w:color="auto" w:fill="FFFFFF"/>
          </w:rPr>
          <w:t>https://fred.stlouisfed.org/series/CPIAUCSL</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w:t>
      </w:r>
      <w:r>
        <w:rPr>
          <w:rFonts w:cstheme="minorHAnsi"/>
          <w:i/>
          <w:iCs/>
          <w:color w:val="222222"/>
          <w:sz w:val="16"/>
          <w:szCs w:val="16"/>
          <w:shd w:val="clear" w:color="auto" w:fill="FFFFFF"/>
        </w:rPr>
        <w:t>ul</w:t>
      </w:r>
      <w:r>
        <w:rPr>
          <w:rFonts w:cstheme="minorHAnsi"/>
          <w:i/>
          <w:iCs/>
          <w:color w:val="222222"/>
          <w:sz w:val="16"/>
          <w:szCs w:val="16"/>
          <w:shd w:val="clear" w:color="auto" w:fill="FFFFFF"/>
        </w:rPr>
        <w:t xml:space="preserve"> 3</w:t>
      </w:r>
      <w:r w:rsidR="002024E2">
        <w:rPr>
          <w:rFonts w:cstheme="minorHAnsi"/>
          <w:i/>
          <w:iCs/>
          <w:color w:val="222222"/>
          <w:sz w:val="16"/>
          <w:szCs w:val="16"/>
          <w:shd w:val="clear" w:color="auto" w:fill="FFFFFF"/>
        </w:rPr>
        <w:t>0</w:t>
      </w:r>
      <w:r>
        <w:rPr>
          <w:rFonts w:cstheme="minorHAnsi"/>
          <w:i/>
          <w:iCs/>
          <w:color w:val="222222"/>
          <w:sz w:val="16"/>
          <w:szCs w:val="16"/>
          <w:shd w:val="clear" w:color="auto" w:fill="FFFFFF"/>
        </w:rPr>
        <w:t>, 2021</w:t>
      </w:r>
      <w:r w:rsidRPr="00BF5CE2">
        <w:rPr>
          <w:rFonts w:cstheme="minorHAnsi"/>
          <w:i/>
          <w:iCs/>
          <w:color w:val="222222"/>
          <w:sz w:val="16"/>
          <w:szCs w:val="16"/>
          <w:shd w:val="clear" w:color="auto" w:fill="FFFFFF"/>
        </w:rPr>
        <w:t>.</w:t>
      </w:r>
    </w:p>
  </w:footnote>
  <w:footnote w:id="14">
    <w:p w14:paraId="0C7EB8BC" w14:textId="3CB39368" w:rsidR="009B52AF" w:rsidRDefault="009B52AF">
      <w:pPr>
        <w:pStyle w:val="FootnoteText"/>
      </w:pPr>
      <w:r>
        <w:rPr>
          <w:rStyle w:val="FootnoteReference"/>
        </w:rPr>
        <w:footnoteRef/>
      </w:r>
      <w:r>
        <w:t xml:space="preserve"> </w:t>
      </w:r>
      <w:r w:rsidRPr="00BF5CE2">
        <w:rPr>
          <w:sz w:val="16"/>
          <w:szCs w:val="16"/>
          <w:lang w:val="en-PH"/>
        </w:rPr>
        <w:t>U.S. Bureau of Labor Statistics, Producer Price Index for All Commodities [PPIACO],</w:t>
      </w:r>
      <w:r w:rsidRPr="00BF5CE2">
        <w:rPr>
          <w:rFonts w:cstheme="minorHAnsi"/>
          <w:i/>
          <w:iCs/>
          <w:color w:val="222222"/>
          <w:sz w:val="16"/>
          <w:szCs w:val="16"/>
          <w:shd w:val="clear" w:color="auto" w:fill="FFFFFF"/>
        </w:rPr>
        <w:t xml:space="preserve"> retrieved from FRED, Federal Reserve Bank of St. Louis; </w:t>
      </w:r>
      <w:hyperlink r:id="rId14" w:history="1">
        <w:r w:rsidRPr="00BF5CE2">
          <w:rPr>
            <w:rStyle w:val="Hyperlink"/>
            <w:rFonts w:cstheme="minorHAnsi"/>
            <w:i/>
            <w:iCs/>
            <w:sz w:val="16"/>
            <w:szCs w:val="16"/>
            <w:shd w:val="clear" w:color="auto" w:fill="FFFFFF"/>
          </w:rPr>
          <w:t>https://fred.stlouisfed.org/series/PPIACO</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w:t>
      </w:r>
      <w:r>
        <w:rPr>
          <w:rFonts w:cstheme="minorHAnsi"/>
          <w:i/>
          <w:iCs/>
          <w:color w:val="222222"/>
          <w:sz w:val="16"/>
          <w:szCs w:val="16"/>
          <w:shd w:val="clear" w:color="auto" w:fill="FFFFFF"/>
        </w:rPr>
        <w:t>uly 3</w:t>
      </w:r>
      <w:r w:rsidR="002024E2">
        <w:rPr>
          <w:rFonts w:cstheme="minorHAnsi"/>
          <w:i/>
          <w:iCs/>
          <w:color w:val="222222"/>
          <w:sz w:val="16"/>
          <w:szCs w:val="16"/>
          <w:shd w:val="clear" w:color="auto" w:fill="FFFFFF"/>
        </w:rPr>
        <w:t>0</w:t>
      </w:r>
      <w:r>
        <w:rPr>
          <w:rFonts w:cstheme="minorHAnsi"/>
          <w:i/>
          <w:iCs/>
          <w:color w:val="222222"/>
          <w:sz w:val="16"/>
          <w:szCs w:val="16"/>
          <w:shd w:val="clear" w:color="auto" w:fill="FFFFFF"/>
        </w:rPr>
        <w:t>, 2021</w:t>
      </w:r>
      <w:r w:rsidRPr="00BF5CE2">
        <w:rPr>
          <w:rFonts w:cstheme="minorHAnsi"/>
          <w:i/>
          <w:iCs/>
          <w:color w:val="222222"/>
          <w:sz w:val="16"/>
          <w:szCs w:val="16"/>
          <w:shd w:val="clear" w:color="auto" w:fill="FFFFFF"/>
        </w:rPr>
        <w:t>.</w:t>
      </w:r>
    </w:p>
  </w:footnote>
  <w:footnote w:id="15">
    <w:p w14:paraId="1E8CCC61" w14:textId="66C32021" w:rsidR="00661AA7" w:rsidRDefault="00661AA7" w:rsidP="00661AA7">
      <w:pPr>
        <w:pStyle w:val="FootnoteText"/>
      </w:pPr>
      <w:r>
        <w:rPr>
          <w:rStyle w:val="FootnoteReference"/>
        </w:rPr>
        <w:footnoteRef/>
      </w:r>
      <w:r w:rsidR="009B52AF" w:rsidRPr="009B52AF">
        <w:rPr>
          <w:rFonts w:cstheme="minorHAnsi"/>
          <w:i/>
          <w:iCs/>
          <w:color w:val="222222"/>
          <w:sz w:val="16"/>
          <w:szCs w:val="16"/>
          <w:shd w:val="clear" w:color="auto" w:fill="FFFFFF"/>
        </w:rPr>
        <w:t>Federal Reserve Bank of St. Louis</w:t>
      </w:r>
      <w:r w:rsidR="009B52AF">
        <w:rPr>
          <w:rFonts w:cstheme="minorHAnsi"/>
          <w:i/>
          <w:iCs/>
          <w:color w:val="222222"/>
          <w:sz w:val="16"/>
          <w:szCs w:val="16"/>
          <w:shd w:val="clear" w:color="auto" w:fill="FFFFFF"/>
        </w:rPr>
        <w:t xml:space="preserve">, </w:t>
      </w:r>
      <w:r w:rsidR="009B52AF" w:rsidRPr="009B52AF">
        <w:rPr>
          <w:rFonts w:cstheme="minorHAnsi"/>
          <w:i/>
          <w:iCs/>
          <w:color w:val="222222"/>
          <w:sz w:val="16"/>
          <w:szCs w:val="16"/>
          <w:shd w:val="clear" w:color="auto" w:fill="FFFFFF"/>
        </w:rPr>
        <w:t>5-Year Breakeven Inflation Rate</w:t>
      </w:r>
      <w:r w:rsidR="009B52AF">
        <w:rPr>
          <w:rFonts w:cstheme="minorHAnsi"/>
          <w:i/>
          <w:iCs/>
          <w:color w:val="222222"/>
          <w:sz w:val="16"/>
          <w:szCs w:val="16"/>
          <w:shd w:val="clear" w:color="auto" w:fill="FFFFFF"/>
        </w:rPr>
        <w:t xml:space="preserve"> [T5YIE</w:t>
      </w:r>
      <w:r w:rsidR="009B52AF" w:rsidRPr="000322F4">
        <w:rPr>
          <w:rFonts w:cstheme="minorHAnsi"/>
          <w:i/>
          <w:iCs/>
          <w:color w:val="222222"/>
          <w:sz w:val="16"/>
          <w:szCs w:val="16"/>
          <w:shd w:val="clear" w:color="auto" w:fill="FFFFFF"/>
        </w:rPr>
        <w:t>], retrieved from FRED, Federal Reserve Bank of St. Louis; </w:t>
      </w:r>
      <w:hyperlink r:id="rId15" w:history="1">
        <w:r w:rsidR="009B52AF" w:rsidRPr="001B4FCC">
          <w:rPr>
            <w:rStyle w:val="Hyperlink"/>
            <w:rFonts w:cstheme="minorHAnsi"/>
            <w:i/>
            <w:iCs/>
            <w:sz w:val="16"/>
            <w:szCs w:val="16"/>
            <w:shd w:val="clear" w:color="auto" w:fill="FFFFFF"/>
          </w:rPr>
          <w:t>https://fred.stlouisfed.org/series/</w:t>
        </w:r>
        <w:r w:rsidR="009B52AF" w:rsidRPr="001B4FCC">
          <w:rPr>
            <w:rStyle w:val="Hyperlink"/>
            <w:rFonts w:cstheme="minorHAnsi"/>
            <w:i/>
            <w:iCs/>
            <w:sz w:val="16"/>
            <w:szCs w:val="16"/>
            <w:shd w:val="clear" w:color="auto" w:fill="FFFFFF"/>
          </w:rPr>
          <w:t>T5YIE</w:t>
        </w:r>
      </w:hyperlink>
      <w:r w:rsidR="009B52AF" w:rsidRPr="000322F4">
        <w:rPr>
          <w:rFonts w:cstheme="minorHAnsi"/>
          <w:i/>
          <w:iCs/>
          <w:color w:val="222222"/>
          <w:sz w:val="16"/>
          <w:szCs w:val="16"/>
          <w:shd w:val="clear" w:color="auto" w:fill="FFFFFF"/>
        </w:rPr>
        <w:t xml:space="preserve">, </w:t>
      </w:r>
      <w:r w:rsidR="009B52AF">
        <w:rPr>
          <w:rFonts w:cstheme="minorHAnsi"/>
          <w:i/>
          <w:iCs/>
          <w:color w:val="222222"/>
          <w:sz w:val="16"/>
          <w:szCs w:val="16"/>
          <w:shd w:val="clear" w:color="auto" w:fill="FFFFFF"/>
        </w:rPr>
        <w:t>Jul 3</w:t>
      </w:r>
      <w:r w:rsidR="002024E2">
        <w:rPr>
          <w:rFonts w:cstheme="minorHAnsi"/>
          <w:i/>
          <w:iCs/>
          <w:color w:val="222222"/>
          <w:sz w:val="16"/>
          <w:szCs w:val="16"/>
          <w:shd w:val="clear" w:color="auto" w:fill="FFFFFF"/>
        </w:rPr>
        <w:t>0</w:t>
      </w:r>
      <w:r w:rsidR="009B52AF">
        <w:rPr>
          <w:rFonts w:cstheme="minorHAnsi"/>
          <w:i/>
          <w:iCs/>
          <w:color w:val="222222"/>
          <w:sz w:val="16"/>
          <w:szCs w:val="16"/>
          <w:shd w:val="clear" w:color="auto" w:fill="FFFFFF"/>
        </w:rPr>
        <w:t>, 2021</w:t>
      </w:r>
      <w:r w:rsidR="009B52AF" w:rsidRPr="000322F4">
        <w:rPr>
          <w:rFonts w:cstheme="minorHAnsi"/>
          <w:i/>
          <w:iCs/>
          <w:color w:val="222222"/>
          <w:sz w:val="16"/>
          <w:szCs w:val="16"/>
          <w:shd w:val="clear" w:color="auto" w:fill="FFFFFF"/>
        </w:rPr>
        <w:t>.</w:t>
      </w:r>
    </w:p>
  </w:footnote>
  <w:footnote w:id="16">
    <w:p w14:paraId="1C900108" w14:textId="69609065" w:rsidR="003D1D39" w:rsidRPr="000322F4" w:rsidRDefault="003D1D39" w:rsidP="0074137C">
      <w:pPr>
        <w:pStyle w:val="FootnoteText"/>
        <w:rPr>
          <w:rFonts w:cstheme="minorHAnsi"/>
          <w:sz w:val="16"/>
          <w:szCs w:val="16"/>
          <w:lang w:val="en-PH"/>
        </w:rPr>
      </w:pPr>
      <w:r w:rsidRPr="000322F4">
        <w:rPr>
          <w:rStyle w:val="FootnoteReference"/>
          <w:rFonts w:cstheme="minorHAnsi"/>
          <w:sz w:val="16"/>
          <w:szCs w:val="16"/>
        </w:rPr>
        <w:footnoteRef/>
      </w:r>
      <w:r w:rsidRPr="000322F4">
        <w:rPr>
          <w:rFonts w:cstheme="minorHAnsi"/>
          <w:sz w:val="16"/>
          <w:szCs w:val="16"/>
        </w:rPr>
        <w:t xml:space="preserve"> </w:t>
      </w:r>
      <w:r w:rsidRPr="000322F4">
        <w:rPr>
          <w:rFonts w:cstheme="minorHAnsi"/>
          <w:i/>
          <w:iCs/>
          <w:color w:val="222222"/>
          <w:sz w:val="16"/>
          <w:szCs w:val="16"/>
          <w:shd w:val="clear" w:color="auto" w:fill="FFFFFF"/>
        </w:rPr>
        <w:t>U.S. Energy Information Administration, Crude Oil Prices: West Texas Intermediate (WTI) – Cushing, Oklahoma [MCOILWTICO], retrieved from FRED, Federal Reserve Bank of St. Louis; </w:t>
      </w:r>
      <w:hyperlink r:id="rId16" w:history="1">
        <w:r w:rsidRPr="000322F4">
          <w:rPr>
            <w:rStyle w:val="Hyperlink"/>
            <w:rFonts w:cstheme="minorHAnsi"/>
            <w:i/>
            <w:iCs/>
            <w:sz w:val="16"/>
            <w:szCs w:val="16"/>
            <w:shd w:val="clear" w:color="auto" w:fill="FFFFFF"/>
          </w:rPr>
          <w:t>https://fred.stlouisfed.org/series/MCOILWTICO</w:t>
        </w:r>
      </w:hyperlink>
      <w:r w:rsidRPr="000322F4">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w:t>
      </w:r>
      <w:r w:rsidR="002024E2">
        <w:rPr>
          <w:rFonts w:cstheme="minorHAnsi"/>
          <w:i/>
          <w:iCs/>
          <w:color w:val="222222"/>
          <w:sz w:val="16"/>
          <w:szCs w:val="16"/>
          <w:shd w:val="clear" w:color="auto" w:fill="FFFFFF"/>
        </w:rPr>
        <w:t>0</w:t>
      </w:r>
      <w:r>
        <w:rPr>
          <w:rFonts w:cstheme="minorHAnsi"/>
          <w:i/>
          <w:iCs/>
          <w:color w:val="222222"/>
          <w:sz w:val="16"/>
          <w:szCs w:val="16"/>
          <w:shd w:val="clear" w:color="auto" w:fill="FFFFFF"/>
        </w:rPr>
        <w:t>, 2021</w:t>
      </w:r>
      <w:r w:rsidRPr="000322F4">
        <w:rPr>
          <w:rFonts w:cstheme="minorHAnsi"/>
          <w:i/>
          <w:iCs/>
          <w:color w:val="222222"/>
          <w:sz w:val="16"/>
          <w:szCs w:val="16"/>
          <w:shd w:val="clear" w:color="auto" w:fill="FFFFFF"/>
        </w:rPr>
        <w:t>.</w:t>
      </w:r>
    </w:p>
  </w:footnote>
  <w:footnote w:id="17">
    <w:p w14:paraId="1566038C" w14:textId="1997797D" w:rsidR="00A83597" w:rsidRDefault="00A83597">
      <w:pPr>
        <w:pStyle w:val="FootnoteText"/>
      </w:pPr>
      <w:r>
        <w:rPr>
          <w:rStyle w:val="FootnoteReference"/>
        </w:rPr>
        <w:footnoteRef/>
      </w:r>
      <w:r w:rsidRPr="00A83597">
        <w:rPr>
          <w:rFonts w:cstheme="minorHAnsi"/>
          <w:i/>
          <w:iCs/>
          <w:color w:val="222222"/>
          <w:sz w:val="16"/>
          <w:szCs w:val="16"/>
          <w:shd w:val="clear" w:color="auto" w:fill="FFFFFF"/>
        </w:rPr>
        <w:t>International Monetary Fund</w:t>
      </w:r>
      <w:r w:rsidRPr="000322F4">
        <w:rPr>
          <w:rFonts w:cstheme="minorHAnsi"/>
          <w:i/>
          <w:iCs/>
          <w:color w:val="222222"/>
          <w:sz w:val="16"/>
          <w:szCs w:val="16"/>
          <w:shd w:val="clear" w:color="auto" w:fill="FFFFFF"/>
        </w:rPr>
        <w:t xml:space="preserve">, </w:t>
      </w:r>
      <w:r w:rsidRPr="00A83597">
        <w:rPr>
          <w:rFonts w:cstheme="minorHAnsi"/>
          <w:i/>
          <w:iCs/>
          <w:color w:val="222222"/>
          <w:sz w:val="16"/>
          <w:szCs w:val="16"/>
          <w:shd w:val="clear" w:color="auto" w:fill="FFFFFF"/>
        </w:rPr>
        <w:t xml:space="preserve">Global </w:t>
      </w:r>
      <w:r>
        <w:rPr>
          <w:rFonts w:cstheme="minorHAnsi"/>
          <w:i/>
          <w:iCs/>
          <w:color w:val="222222"/>
          <w:sz w:val="16"/>
          <w:szCs w:val="16"/>
          <w:shd w:val="clear" w:color="auto" w:fill="FFFFFF"/>
        </w:rPr>
        <w:t>P</w:t>
      </w:r>
      <w:r w:rsidRPr="00A83597">
        <w:rPr>
          <w:rFonts w:cstheme="minorHAnsi"/>
          <w:i/>
          <w:iCs/>
          <w:color w:val="222222"/>
          <w:sz w:val="16"/>
          <w:szCs w:val="16"/>
          <w:shd w:val="clear" w:color="auto" w:fill="FFFFFF"/>
        </w:rPr>
        <w:t>rice of Copper</w:t>
      </w:r>
      <w:r w:rsidRPr="00A83597">
        <w:rPr>
          <w:rFonts w:cstheme="minorHAnsi"/>
          <w:i/>
          <w:iCs/>
          <w:color w:val="222222"/>
          <w:sz w:val="16"/>
          <w:szCs w:val="16"/>
          <w:shd w:val="clear" w:color="auto" w:fill="FFFFFF"/>
        </w:rPr>
        <w:t xml:space="preserve"> </w:t>
      </w:r>
      <w:r w:rsidRPr="000322F4">
        <w:rPr>
          <w:rFonts w:cstheme="minorHAnsi"/>
          <w:i/>
          <w:iCs/>
          <w:color w:val="222222"/>
          <w:sz w:val="16"/>
          <w:szCs w:val="16"/>
          <w:shd w:val="clear" w:color="auto" w:fill="FFFFFF"/>
        </w:rPr>
        <w:t>[</w:t>
      </w:r>
      <w:r w:rsidRPr="00A83597">
        <w:rPr>
          <w:rFonts w:cstheme="minorHAnsi"/>
          <w:i/>
          <w:iCs/>
          <w:color w:val="222222"/>
          <w:sz w:val="16"/>
          <w:szCs w:val="16"/>
          <w:shd w:val="clear" w:color="auto" w:fill="FFFFFF"/>
        </w:rPr>
        <w:t>PCOPPUSDM</w:t>
      </w:r>
      <w:r w:rsidRPr="000322F4">
        <w:rPr>
          <w:rFonts w:cstheme="minorHAnsi"/>
          <w:i/>
          <w:iCs/>
          <w:color w:val="222222"/>
          <w:sz w:val="16"/>
          <w:szCs w:val="16"/>
          <w:shd w:val="clear" w:color="auto" w:fill="FFFFFF"/>
        </w:rPr>
        <w:t>], retrieved from FRED, Federal Reserve Bank of St. Louis; </w:t>
      </w:r>
      <w:hyperlink r:id="rId17" w:history="1">
        <w:r w:rsidRPr="001B4FCC">
          <w:rPr>
            <w:rStyle w:val="Hyperlink"/>
            <w:rFonts w:cstheme="minorHAnsi"/>
            <w:i/>
            <w:iCs/>
            <w:sz w:val="16"/>
            <w:szCs w:val="16"/>
            <w:shd w:val="clear" w:color="auto" w:fill="FFFFFF"/>
          </w:rPr>
          <w:t>https://fred.stlouisfed.org/series/PCOPPUSDM</w:t>
        </w:r>
      </w:hyperlink>
      <w:r w:rsidRPr="000322F4">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w:t>
      </w:r>
      <w:r w:rsidR="00A1734E">
        <w:rPr>
          <w:rFonts w:cstheme="minorHAnsi"/>
          <w:i/>
          <w:iCs/>
          <w:color w:val="222222"/>
          <w:sz w:val="16"/>
          <w:szCs w:val="16"/>
          <w:shd w:val="clear" w:color="auto" w:fill="FFFFFF"/>
        </w:rPr>
        <w:t>0</w:t>
      </w:r>
      <w:r>
        <w:rPr>
          <w:rFonts w:cstheme="minorHAnsi"/>
          <w:i/>
          <w:iCs/>
          <w:color w:val="222222"/>
          <w:sz w:val="16"/>
          <w:szCs w:val="16"/>
          <w:shd w:val="clear" w:color="auto" w:fill="FFFFFF"/>
        </w:rPr>
        <w:t>, 2021</w:t>
      </w:r>
      <w:r w:rsidRPr="000322F4">
        <w:rPr>
          <w:rFonts w:cstheme="minorHAnsi"/>
          <w:i/>
          <w:iCs/>
          <w:color w:val="222222"/>
          <w:sz w:val="16"/>
          <w:szCs w:val="16"/>
          <w:shd w:val="clear" w:color="auto" w:fill="FFFFFF"/>
        </w:rPr>
        <w:t>.</w:t>
      </w:r>
    </w:p>
  </w:footnote>
  <w:footnote w:id="18">
    <w:p w14:paraId="6D0070D6" w14:textId="7256F2CC" w:rsidR="00A83597" w:rsidRDefault="00A83597">
      <w:pPr>
        <w:pStyle w:val="FootnoteText"/>
      </w:pPr>
      <w:r>
        <w:rPr>
          <w:rStyle w:val="FootnoteReference"/>
        </w:rPr>
        <w:footnoteRef/>
      </w:r>
      <w:r>
        <w:t xml:space="preserve"> </w:t>
      </w:r>
      <w:r w:rsidRPr="00A83597">
        <w:rPr>
          <w:rFonts w:cstheme="minorHAnsi"/>
          <w:i/>
          <w:iCs/>
          <w:color w:val="222222"/>
          <w:sz w:val="16"/>
          <w:szCs w:val="16"/>
          <w:shd w:val="clear" w:color="auto" w:fill="FFFFFF"/>
        </w:rPr>
        <w:t>International Monetary Fund</w:t>
      </w:r>
      <w:r w:rsidRPr="000322F4">
        <w:rPr>
          <w:rFonts w:cstheme="minorHAnsi"/>
          <w:i/>
          <w:iCs/>
          <w:color w:val="222222"/>
          <w:sz w:val="16"/>
          <w:szCs w:val="16"/>
          <w:shd w:val="clear" w:color="auto" w:fill="FFFFFF"/>
        </w:rPr>
        <w:t xml:space="preserve">, </w:t>
      </w:r>
      <w:r w:rsidRPr="00A83597">
        <w:rPr>
          <w:rFonts w:cstheme="minorHAnsi"/>
          <w:i/>
          <w:iCs/>
          <w:color w:val="222222"/>
          <w:sz w:val="16"/>
          <w:szCs w:val="16"/>
          <w:shd w:val="clear" w:color="auto" w:fill="FFFFFF"/>
        </w:rPr>
        <w:t xml:space="preserve">Global </w:t>
      </w:r>
      <w:r>
        <w:rPr>
          <w:rFonts w:cstheme="minorHAnsi"/>
          <w:i/>
          <w:iCs/>
          <w:color w:val="222222"/>
          <w:sz w:val="16"/>
          <w:szCs w:val="16"/>
          <w:shd w:val="clear" w:color="auto" w:fill="FFFFFF"/>
        </w:rPr>
        <w:t>P</w:t>
      </w:r>
      <w:r w:rsidRPr="00A83597">
        <w:rPr>
          <w:rFonts w:cstheme="minorHAnsi"/>
          <w:i/>
          <w:iCs/>
          <w:color w:val="222222"/>
          <w:sz w:val="16"/>
          <w:szCs w:val="16"/>
          <w:shd w:val="clear" w:color="auto" w:fill="FFFFFF"/>
        </w:rPr>
        <w:t xml:space="preserve">rice of </w:t>
      </w:r>
      <w:r>
        <w:rPr>
          <w:rFonts w:cstheme="minorHAnsi"/>
          <w:i/>
          <w:iCs/>
          <w:color w:val="222222"/>
          <w:sz w:val="16"/>
          <w:szCs w:val="16"/>
          <w:shd w:val="clear" w:color="auto" w:fill="FFFFFF"/>
        </w:rPr>
        <w:t>Iron Ore</w:t>
      </w:r>
      <w:r w:rsidRPr="00A83597">
        <w:rPr>
          <w:rFonts w:cstheme="minorHAnsi"/>
          <w:i/>
          <w:iCs/>
          <w:color w:val="222222"/>
          <w:sz w:val="16"/>
          <w:szCs w:val="16"/>
          <w:shd w:val="clear" w:color="auto" w:fill="FFFFFF"/>
        </w:rPr>
        <w:t xml:space="preserve"> </w:t>
      </w:r>
      <w:r w:rsidRPr="000322F4">
        <w:rPr>
          <w:rFonts w:cstheme="minorHAnsi"/>
          <w:i/>
          <w:iCs/>
          <w:color w:val="222222"/>
          <w:sz w:val="16"/>
          <w:szCs w:val="16"/>
          <w:shd w:val="clear" w:color="auto" w:fill="FFFFFF"/>
        </w:rPr>
        <w:t>[</w:t>
      </w:r>
      <w:r w:rsidRPr="00A83597">
        <w:rPr>
          <w:rFonts w:cstheme="minorHAnsi"/>
          <w:i/>
          <w:iCs/>
          <w:color w:val="222222"/>
          <w:sz w:val="16"/>
          <w:szCs w:val="16"/>
          <w:shd w:val="clear" w:color="auto" w:fill="FFFFFF"/>
        </w:rPr>
        <w:t>PIORECRUSDM</w:t>
      </w:r>
      <w:r w:rsidRPr="000322F4">
        <w:rPr>
          <w:rFonts w:cstheme="minorHAnsi"/>
          <w:i/>
          <w:iCs/>
          <w:color w:val="222222"/>
          <w:sz w:val="16"/>
          <w:szCs w:val="16"/>
          <w:shd w:val="clear" w:color="auto" w:fill="FFFFFF"/>
        </w:rPr>
        <w:t>], retrieved from FRED, Federal Reserve Bank of St. Louis; </w:t>
      </w:r>
      <w:hyperlink r:id="rId18" w:history="1">
        <w:r w:rsidRPr="001B4FCC">
          <w:rPr>
            <w:rStyle w:val="Hyperlink"/>
            <w:rFonts w:cstheme="minorHAnsi"/>
            <w:i/>
            <w:iCs/>
            <w:sz w:val="16"/>
            <w:szCs w:val="16"/>
            <w:shd w:val="clear" w:color="auto" w:fill="FFFFFF"/>
          </w:rPr>
          <w:t>https://fred.stlouisfed.org/series/PIORECRUSDM</w:t>
        </w:r>
      </w:hyperlink>
      <w:r w:rsidRPr="000322F4">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w:t>
      </w:r>
      <w:r w:rsidR="00A1734E">
        <w:rPr>
          <w:rFonts w:cstheme="minorHAnsi"/>
          <w:i/>
          <w:iCs/>
          <w:color w:val="222222"/>
          <w:sz w:val="16"/>
          <w:szCs w:val="16"/>
          <w:shd w:val="clear" w:color="auto" w:fill="FFFFFF"/>
        </w:rPr>
        <w:t>0</w:t>
      </w:r>
      <w:r>
        <w:rPr>
          <w:rFonts w:cstheme="minorHAnsi"/>
          <w:i/>
          <w:iCs/>
          <w:color w:val="222222"/>
          <w:sz w:val="16"/>
          <w:szCs w:val="16"/>
          <w:shd w:val="clear" w:color="auto" w:fill="FFFFFF"/>
        </w:rPr>
        <w:t>, 2021</w:t>
      </w:r>
      <w:r w:rsidRPr="000322F4">
        <w:rPr>
          <w:rFonts w:cstheme="minorHAnsi"/>
          <w:i/>
          <w:iCs/>
          <w:color w:val="222222"/>
          <w:sz w:val="16"/>
          <w:szCs w:val="16"/>
          <w:shd w:val="clear" w:color="auto" w:fill="FFFFFF"/>
        </w:rPr>
        <w:t>.</w:t>
      </w:r>
    </w:p>
  </w:footnote>
  <w:footnote w:id="19">
    <w:p w14:paraId="5713028A" w14:textId="30C67312" w:rsidR="00A83597" w:rsidRDefault="00A83597">
      <w:pPr>
        <w:pStyle w:val="FootnoteText"/>
      </w:pPr>
      <w:r>
        <w:rPr>
          <w:rStyle w:val="FootnoteReference"/>
        </w:rPr>
        <w:footnoteRef/>
      </w:r>
      <w:r>
        <w:t xml:space="preserve"> </w:t>
      </w:r>
      <w:r w:rsidRPr="00A83597">
        <w:rPr>
          <w:rFonts w:cstheme="minorHAnsi"/>
          <w:i/>
          <w:iCs/>
          <w:color w:val="222222"/>
          <w:sz w:val="16"/>
          <w:szCs w:val="16"/>
          <w:shd w:val="clear" w:color="auto" w:fill="FFFFFF"/>
        </w:rPr>
        <w:t>International Monetary Fund</w:t>
      </w:r>
      <w:r w:rsidRPr="000322F4">
        <w:rPr>
          <w:rFonts w:cstheme="minorHAnsi"/>
          <w:i/>
          <w:iCs/>
          <w:color w:val="222222"/>
          <w:sz w:val="16"/>
          <w:szCs w:val="16"/>
          <w:shd w:val="clear" w:color="auto" w:fill="FFFFFF"/>
        </w:rPr>
        <w:t xml:space="preserve">, </w:t>
      </w:r>
      <w:r w:rsidRPr="00A83597">
        <w:rPr>
          <w:rFonts w:cstheme="minorHAnsi"/>
          <w:i/>
          <w:iCs/>
          <w:color w:val="222222"/>
          <w:sz w:val="16"/>
          <w:szCs w:val="16"/>
          <w:shd w:val="clear" w:color="auto" w:fill="FFFFFF"/>
        </w:rPr>
        <w:t xml:space="preserve">Global </w:t>
      </w:r>
      <w:r>
        <w:rPr>
          <w:rFonts w:cstheme="minorHAnsi"/>
          <w:i/>
          <w:iCs/>
          <w:color w:val="222222"/>
          <w:sz w:val="16"/>
          <w:szCs w:val="16"/>
          <w:shd w:val="clear" w:color="auto" w:fill="FFFFFF"/>
        </w:rPr>
        <w:t>P</w:t>
      </w:r>
      <w:r w:rsidRPr="00A83597">
        <w:rPr>
          <w:rFonts w:cstheme="minorHAnsi"/>
          <w:i/>
          <w:iCs/>
          <w:color w:val="222222"/>
          <w:sz w:val="16"/>
          <w:szCs w:val="16"/>
          <w:shd w:val="clear" w:color="auto" w:fill="FFFFFF"/>
        </w:rPr>
        <w:t xml:space="preserve">rice of </w:t>
      </w:r>
      <w:r>
        <w:rPr>
          <w:rFonts w:cstheme="minorHAnsi"/>
          <w:i/>
          <w:iCs/>
          <w:color w:val="222222"/>
          <w:sz w:val="16"/>
          <w:szCs w:val="16"/>
          <w:shd w:val="clear" w:color="auto" w:fill="FFFFFF"/>
        </w:rPr>
        <w:t>Corn</w:t>
      </w:r>
      <w:r w:rsidRPr="00A83597">
        <w:rPr>
          <w:rFonts w:cstheme="minorHAnsi"/>
          <w:i/>
          <w:iCs/>
          <w:color w:val="222222"/>
          <w:sz w:val="16"/>
          <w:szCs w:val="16"/>
          <w:shd w:val="clear" w:color="auto" w:fill="FFFFFF"/>
        </w:rPr>
        <w:t xml:space="preserve"> </w:t>
      </w:r>
      <w:r w:rsidRPr="000322F4">
        <w:rPr>
          <w:rFonts w:cstheme="minorHAnsi"/>
          <w:i/>
          <w:iCs/>
          <w:color w:val="222222"/>
          <w:sz w:val="16"/>
          <w:szCs w:val="16"/>
          <w:shd w:val="clear" w:color="auto" w:fill="FFFFFF"/>
        </w:rPr>
        <w:t>[</w:t>
      </w:r>
      <w:r w:rsidRPr="00A83597">
        <w:rPr>
          <w:rFonts w:cstheme="minorHAnsi"/>
          <w:i/>
          <w:iCs/>
          <w:color w:val="222222"/>
          <w:sz w:val="16"/>
          <w:szCs w:val="16"/>
          <w:shd w:val="clear" w:color="auto" w:fill="FFFFFF"/>
        </w:rPr>
        <w:t>PMAIZMTUSDM</w:t>
      </w:r>
      <w:r w:rsidRPr="000322F4">
        <w:rPr>
          <w:rFonts w:cstheme="minorHAnsi"/>
          <w:i/>
          <w:iCs/>
          <w:color w:val="222222"/>
          <w:sz w:val="16"/>
          <w:szCs w:val="16"/>
          <w:shd w:val="clear" w:color="auto" w:fill="FFFFFF"/>
        </w:rPr>
        <w:t>], retrieved from FRED, Federal Reserve Bank of St. Louis; </w:t>
      </w:r>
      <w:hyperlink r:id="rId19" w:history="1">
        <w:r w:rsidRPr="001B4FCC">
          <w:rPr>
            <w:rStyle w:val="Hyperlink"/>
            <w:rFonts w:cstheme="minorHAnsi"/>
            <w:i/>
            <w:iCs/>
            <w:sz w:val="16"/>
            <w:szCs w:val="16"/>
            <w:shd w:val="clear" w:color="auto" w:fill="FFFFFF"/>
          </w:rPr>
          <w:t>https://fred.stlouisfed.org/series/PMAIZMTUSDM</w:t>
        </w:r>
      </w:hyperlink>
      <w:r w:rsidRPr="000322F4">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w:t>
      </w:r>
      <w:r w:rsidR="00A1734E">
        <w:rPr>
          <w:rFonts w:cstheme="minorHAnsi"/>
          <w:i/>
          <w:iCs/>
          <w:color w:val="222222"/>
          <w:sz w:val="16"/>
          <w:szCs w:val="16"/>
          <w:shd w:val="clear" w:color="auto" w:fill="FFFFFF"/>
        </w:rPr>
        <w:t>0</w:t>
      </w:r>
      <w:r>
        <w:rPr>
          <w:rFonts w:cstheme="minorHAnsi"/>
          <w:i/>
          <w:iCs/>
          <w:color w:val="222222"/>
          <w:sz w:val="16"/>
          <w:szCs w:val="16"/>
          <w:shd w:val="clear" w:color="auto" w:fill="FFFFFF"/>
        </w:rPr>
        <w:t>, 2021</w:t>
      </w:r>
      <w:r w:rsidRPr="000322F4">
        <w:rPr>
          <w:rFonts w:cstheme="minorHAnsi"/>
          <w:i/>
          <w:iCs/>
          <w:color w:val="222222"/>
          <w:sz w:val="16"/>
          <w:szCs w:val="16"/>
          <w:shd w:val="clear" w:color="auto" w:fill="FFFFFF"/>
        </w:rPr>
        <w:t>.</w:t>
      </w:r>
    </w:p>
  </w:footnote>
  <w:footnote w:id="20">
    <w:p w14:paraId="11221A52" w14:textId="5383D790" w:rsidR="003D1D39" w:rsidRPr="00BF5CE2" w:rsidRDefault="003D1D39">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the Census, Housing Starts: Total: New Privately Owned Housing Units Started [HOUST],</w:t>
      </w:r>
      <w:r w:rsidRPr="00BF5CE2">
        <w:rPr>
          <w:rFonts w:cstheme="minorHAnsi"/>
          <w:i/>
          <w:iCs/>
          <w:color w:val="222222"/>
          <w:sz w:val="16"/>
          <w:szCs w:val="16"/>
          <w:shd w:val="clear" w:color="auto" w:fill="FFFFFF"/>
        </w:rPr>
        <w:t xml:space="preserve"> retrieved from FRED, Federal Reserve Bank of St. Louis; </w:t>
      </w:r>
      <w:hyperlink r:id="rId20" w:history="1">
        <w:r w:rsidRPr="00BF5CE2">
          <w:rPr>
            <w:rStyle w:val="Hyperlink"/>
            <w:rFonts w:cstheme="minorHAnsi"/>
            <w:i/>
            <w:iCs/>
            <w:sz w:val="16"/>
            <w:szCs w:val="16"/>
            <w:shd w:val="clear" w:color="auto" w:fill="FFFFFF"/>
          </w:rPr>
          <w:t>https://fred.stlouisfed.org/series/HOUST</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21">
    <w:p w14:paraId="6A794CBD" w14:textId="01E357D4" w:rsidR="003D1D39" w:rsidRPr="00250313" w:rsidRDefault="003D1D39">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Freddie Mac, 30-Year Fixed Rate Mortgage Average in the United States [MORTGAGE30US],</w:t>
      </w:r>
      <w:r w:rsidRPr="00BF5CE2">
        <w:rPr>
          <w:rFonts w:cstheme="minorHAnsi"/>
          <w:i/>
          <w:iCs/>
          <w:color w:val="222222"/>
          <w:sz w:val="16"/>
          <w:szCs w:val="16"/>
          <w:shd w:val="clear" w:color="auto" w:fill="FFFFFF"/>
        </w:rPr>
        <w:t xml:space="preserve"> retrieved from FRED, Federal Reserve Bank of St. Louis; </w:t>
      </w:r>
      <w:hyperlink r:id="rId21" w:history="1">
        <w:r w:rsidRPr="00BF5CE2">
          <w:rPr>
            <w:rStyle w:val="Hyperlink"/>
            <w:rFonts w:cstheme="minorHAnsi"/>
            <w:i/>
            <w:iCs/>
            <w:sz w:val="16"/>
            <w:szCs w:val="16"/>
            <w:shd w:val="clear" w:color="auto" w:fill="FFFFFF"/>
          </w:rPr>
          <w:t>https://fred.stlouisfed.org/series/MORTGAGE30US</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22">
    <w:p w14:paraId="48E5411D" w14:textId="665AD57D" w:rsidR="003D1D39" w:rsidRPr="00BF5CE2" w:rsidRDefault="003D1D39">
      <w:pPr>
        <w:pStyle w:val="FootnoteText"/>
        <w:rPr>
          <w:sz w:val="16"/>
          <w:szCs w:val="16"/>
          <w:lang w:val="en-PH"/>
        </w:rPr>
      </w:pPr>
      <w:r w:rsidRPr="00BF5CE2">
        <w:rPr>
          <w:rStyle w:val="FootnoteReference"/>
          <w:sz w:val="16"/>
          <w:szCs w:val="16"/>
        </w:rPr>
        <w:footnoteRef/>
      </w:r>
      <w:r w:rsidRPr="00BF5CE2">
        <w:rPr>
          <w:sz w:val="16"/>
          <w:szCs w:val="16"/>
        </w:rPr>
        <w:t xml:space="preserve"> </w:t>
      </w:r>
      <w:r w:rsidRPr="00BF5CE2">
        <w:rPr>
          <w:sz w:val="16"/>
          <w:szCs w:val="16"/>
          <w:lang w:val="en-PH"/>
        </w:rPr>
        <w:t>S&amp;P Down Jones Indices LLC, S&amp;P/Case-Shiller 20-City Composite Home Price Index [SPCS20RSA],</w:t>
      </w:r>
      <w:r w:rsidRPr="00BF5CE2">
        <w:rPr>
          <w:rFonts w:cstheme="minorHAnsi"/>
          <w:i/>
          <w:iCs/>
          <w:color w:val="222222"/>
          <w:sz w:val="16"/>
          <w:szCs w:val="16"/>
          <w:shd w:val="clear" w:color="auto" w:fill="FFFFFF"/>
        </w:rPr>
        <w:t xml:space="preserve"> retrieved from FRED, Federal Reserve Bank of St. Louis; </w:t>
      </w:r>
      <w:hyperlink r:id="rId22" w:history="1">
        <w:r w:rsidRPr="00BF5CE2">
          <w:rPr>
            <w:rStyle w:val="Hyperlink"/>
            <w:rFonts w:cstheme="minorHAnsi"/>
            <w:i/>
            <w:iCs/>
            <w:sz w:val="16"/>
            <w:szCs w:val="16"/>
            <w:shd w:val="clear" w:color="auto" w:fill="FFFFFF"/>
          </w:rPr>
          <w:t>https://fred.stlouisfed.org/series/SPCS20RSA</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23">
    <w:p w14:paraId="3C84FE4A" w14:textId="2657B723" w:rsidR="003D1D39" w:rsidRPr="00BF5CE2" w:rsidRDefault="003D1D39">
      <w:pPr>
        <w:pStyle w:val="FootnoteText"/>
        <w:rPr>
          <w:sz w:val="16"/>
          <w:szCs w:val="16"/>
          <w:lang w:val="en-PH"/>
        </w:rPr>
      </w:pPr>
      <w:r w:rsidRPr="00BF5CE2">
        <w:rPr>
          <w:rStyle w:val="FootnoteReference"/>
          <w:sz w:val="16"/>
          <w:szCs w:val="16"/>
        </w:rPr>
        <w:footnoteRef/>
      </w:r>
      <w:r w:rsidRPr="00BF5CE2">
        <w:rPr>
          <w:sz w:val="16"/>
          <w:szCs w:val="16"/>
          <w:lang w:val="en-PH"/>
        </w:rPr>
        <w:t xml:space="preserve"> U.S. Bureau of Economic Analysis, Personal Consumption Expenditures [PCE],</w:t>
      </w:r>
      <w:r w:rsidRPr="00BF5CE2">
        <w:rPr>
          <w:rFonts w:cstheme="minorHAnsi"/>
          <w:i/>
          <w:iCs/>
          <w:color w:val="222222"/>
          <w:sz w:val="16"/>
          <w:szCs w:val="16"/>
          <w:shd w:val="clear" w:color="auto" w:fill="FFFFFF"/>
        </w:rPr>
        <w:t xml:space="preserve"> retrieved from FRED, Federal Reserve Bank of St. Louis; </w:t>
      </w:r>
      <w:hyperlink r:id="rId23" w:history="1">
        <w:r w:rsidRPr="00BF5CE2">
          <w:rPr>
            <w:rStyle w:val="Hyperlink"/>
            <w:rFonts w:cstheme="minorHAnsi"/>
            <w:i/>
            <w:iCs/>
            <w:sz w:val="16"/>
            <w:szCs w:val="16"/>
            <w:shd w:val="clear" w:color="auto" w:fill="FFFFFF"/>
          </w:rPr>
          <w:t>https://fred.stlouisfed.org/series/PCE</w:t>
        </w:r>
      </w:hyperlink>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24">
    <w:p w14:paraId="08E11874" w14:textId="04B4B1FB" w:rsidR="003D1D39" w:rsidRPr="00933E80" w:rsidRDefault="003D1D39">
      <w:pPr>
        <w:pStyle w:val="FootnoteText"/>
        <w:rPr>
          <w:lang w:val="en-PH"/>
        </w:rPr>
      </w:pPr>
      <w:r w:rsidRPr="00BF5CE2">
        <w:rPr>
          <w:rStyle w:val="FootnoteReference"/>
          <w:sz w:val="16"/>
          <w:szCs w:val="16"/>
        </w:rPr>
        <w:footnoteRef/>
      </w:r>
      <w:r w:rsidRPr="00BF5CE2">
        <w:rPr>
          <w:sz w:val="16"/>
          <w:szCs w:val="16"/>
        </w:rPr>
        <w:t xml:space="preserve"> </w:t>
      </w:r>
      <w:r w:rsidRPr="00BF5CE2">
        <w:rPr>
          <w:sz w:val="16"/>
          <w:szCs w:val="16"/>
          <w:lang w:val="en-PH"/>
        </w:rPr>
        <w:t>U.S. Bureau of Economic Analysis, Light Weight Vehicle Sales: Autos and Light Trucks [ALTSALES</w:t>
      </w:r>
      <w:bookmarkStart w:id="0" w:name="_Hlk79177981"/>
      <w:r w:rsidRPr="00BF5CE2">
        <w:rPr>
          <w:sz w:val="16"/>
          <w:szCs w:val="16"/>
          <w:lang w:val="en-PH"/>
        </w:rPr>
        <w:t>],</w:t>
      </w:r>
      <w:r w:rsidRPr="00BF5CE2">
        <w:rPr>
          <w:rFonts w:cstheme="minorHAnsi"/>
          <w:i/>
          <w:iCs/>
          <w:color w:val="222222"/>
          <w:sz w:val="16"/>
          <w:szCs w:val="16"/>
          <w:shd w:val="clear" w:color="auto" w:fill="FFFFFF"/>
        </w:rPr>
        <w:t xml:space="preserve"> retrieved from FRED, Federal Reserve Bank of St. Louis; </w:t>
      </w:r>
      <w:bookmarkEnd w:id="0"/>
      <w:r w:rsidR="00DF6838">
        <w:fldChar w:fldCharType="begin"/>
      </w:r>
      <w:r w:rsidR="00DF6838">
        <w:instrText xml:space="preserve"> HYPERLINK "https://fred.stlouisfed.org/series/ALTSALES" </w:instrText>
      </w:r>
      <w:r w:rsidR="00DF6838">
        <w:fldChar w:fldCharType="separate"/>
      </w:r>
      <w:r w:rsidRPr="00BF5CE2">
        <w:rPr>
          <w:rStyle w:val="Hyperlink"/>
          <w:rFonts w:cstheme="minorHAnsi"/>
          <w:i/>
          <w:iCs/>
          <w:sz w:val="16"/>
          <w:szCs w:val="16"/>
          <w:shd w:val="clear" w:color="auto" w:fill="FFFFFF"/>
        </w:rPr>
        <w:t>https://fred.stlouisfed.org/series/ALTSALES</w:t>
      </w:r>
      <w:r w:rsidR="00DF6838">
        <w:rPr>
          <w:rStyle w:val="Hyperlink"/>
          <w:rFonts w:cstheme="minorHAnsi"/>
          <w:i/>
          <w:iCs/>
          <w:sz w:val="16"/>
          <w:szCs w:val="16"/>
          <w:shd w:val="clear" w:color="auto" w:fill="FFFFFF"/>
        </w:rPr>
        <w:fldChar w:fldCharType="end"/>
      </w:r>
      <w:r w:rsidRPr="00BF5CE2">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BF5CE2">
        <w:rPr>
          <w:rFonts w:cstheme="minorHAnsi"/>
          <w:i/>
          <w:iCs/>
          <w:color w:val="222222"/>
          <w:sz w:val="16"/>
          <w:szCs w:val="16"/>
          <w:shd w:val="clear" w:color="auto" w:fill="FFFFFF"/>
        </w:rPr>
        <w:t>.</w:t>
      </w:r>
    </w:p>
  </w:footnote>
  <w:footnote w:id="25">
    <w:p w14:paraId="1D43F300" w14:textId="4AB4E9AC" w:rsidR="003D1D39" w:rsidRDefault="003D1D39">
      <w:pPr>
        <w:pStyle w:val="FootnoteText"/>
      </w:pPr>
      <w:r>
        <w:rPr>
          <w:rStyle w:val="FootnoteReference"/>
        </w:rPr>
        <w:footnoteRef/>
      </w:r>
      <w:r>
        <w:t xml:space="preserve"> </w:t>
      </w:r>
      <w:r w:rsidR="00611626" w:rsidRPr="00611626">
        <w:rPr>
          <w:sz w:val="16"/>
          <w:szCs w:val="16"/>
        </w:rPr>
        <w:t>U.S. Bureau of Labor Statistics</w:t>
      </w:r>
      <w:r w:rsidR="00611626">
        <w:rPr>
          <w:sz w:val="16"/>
          <w:szCs w:val="16"/>
        </w:rPr>
        <w:t xml:space="preserve">, </w:t>
      </w:r>
      <w:r w:rsidR="00611626" w:rsidRPr="00611626">
        <w:rPr>
          <w:sz w:val="16"/>
          <w:szCs w:val="16"/>
        </w:rPr>
        <w:t>Consumer Price Index for All Urban Consumers: Used Cars and Trucks in U.S. City Average</w:t>
      </w:r>
      <w:r w:rsidR="00611626">
        <w:rPr>
          <w:sz w:val="16"/>
          <w:szCs w:val="16"/>
        </w:rPr>
        <w:t xml:space="preserve"> [</w:t>
      </w:r>
      <w:r w:rsidR="00611626" w:rsidRPr="00611626">
        <w:rPr>
          <w:sz w:val="16"/>
          <w:szCs w:val="16"/>
        </w:rPr>
        <w:t>CUSR0000SETA02</w:t>
      </w:r>
      <w:r w:rsidR="00611626">
        <w:rPr>
          <w:sz w:val="16"/>
          <w:szCs w:val="16"/>
        </w:rPr>
        <w:t>],</w:t>
      </w:r>
      <w:r w:rsidR="00611626" w:rsidRPr="00611626">
        <w:rPr>
          <w:sz w:val="16"/>
          <w:szCs w:val="16"/>
        </w:rPr>
        <w:t xml:space="preserve"> retrieved from FRED, Federal Reserve Bank of St. Louis; </w:t>
      </w:r>
      <w:hyperlink r:id="rId24" w:history="1">
        <w:r w:rsidR="00611626" w:rsidRPr="002838E2">
          <w:rPr>
            <w:rStyle w:val="Hyperlink"/>
            <w:sz w:val="16"/>
            <w:szCs w:val="16"/>
          </w:rPr>
          <w:t>https://fred.stlouisfed.org/series/CUSR0000SETA02</w:t>
        </w:r>
      </w:hyperlink>
      <w:r w:rsidR="00611626">
        <w:t xml:space="preserve">, </w:t>
      </w:r>
      <w:r w:rsidR="00611626">
        <w:rPr>
          <w:rFonts w:cstheme="minorHAnsi"/>
          <w:i/>
          <w:iCs/>
          <w:color w:val="222222"/>
          <w:sz w:val="16"/>
          <w:szCs w:val="16"/>
          <w:shd w:val="clear" w:color="auto" w:fill="FFFFFF"/>
        </w:rPr>
        <w:t>Jul 30, 2021</w:t>
      </w:r>
      <w:r w:rsidR="00611626" w:rsidRPr="00BF5CE2">
        <w:rPr>
          <w:rFonts w:cstheme="minorHAnsi"/>
          <w:i/>
          <w:iCs/>
          <w:color w:val="222222"/>
          <w:sz w:val="16"/>
          <w:szCs w:val="16"/>
          <w:shd w:val="clear" w:color="auto" w:fill="FFFFFF"/>
        </w:rPr>
        <w:t>.</w:t>
      </w:r>
    </w:p>
  </w:footnote>
  <w:footnote w:id="26">
    <w:p w14:paraId="01357EF0" w14:textId="1A272199" w:rsidR="003D1D39" w:rsidRPr="00364347" w:rsidRDefault="003D1D39" w:rsidP="00291FFB">
      <w:pPr>
        <w:pStyle w:val="FootnoteText"/>
        <w:rPr>
          <w:i/>
          <w:iCs/>
          <w:sz w:val="16"/>
          <w:szCs w:val="16"/>
          <w:lang w:val="en-PH"/>
        </w:rPr>
      </w:pPr>
      <w:r w:rsidRPr="00364347">
        <w:rPr>
          <w:rStyle w:val="FootnoteReference"/>
        </w:rPr>
        <w:footnoteRef/>
      </w:r>
      <w:r w:rsidRPr="00364347">
        <w:rPr>
          <w:rStyle w:val="FootnoteReference"/>
        </w:rPr>
        <w:t xml:space="preserve"> </w:t>
      </w:r>
      <w:r w:rsidRPr="00364347">
        <w:rPr>
          <w:i/>
          <w:iCs/>
          <w:sz w:val="16"/>
          <w:szCs w:val="16"/>
          <w:lang w:val="en-PH"/>
        </w:rPr>
        <w:t xml:space="preserve">University of Michigan, University of Michigan: Consumer Sentiment [UMCSENT], retrieved from FRED, Federal Reserve Bank of St. Louis; </w:t>
      </w:r>
      <w:hyperlink r:id="rId25" w:history="1">
        <w:r w:rsidRPr="00364347">
          <w:rPr>
            <w:rStyle w:val="Hyperlink"/>
            <w:i/>
            <w:iCs/>
            <w:sz w:val="16"/>
            <w:szCs w:val="16"/>
            <w:lang w:val="en-PH"/>
          </w:rPr>
          <w:t>https://fred.stlouisfed.org/series/UMCSENT</w:t>
        </w:r>
      </w:hyperlink>
      <w:r w:rsidRPr="00364347">
        <w:rPr>
          <w:i/>
          <w:iCs/>
          <w:sz w:val="16"/>
          <w:szCs w:val="16"/>
          <w:lang w:val="en-PH"/>
        </w:rPr>
        <w:t xml:space="preserve">, </w:t>
      </w:r>
      <w:r>
        <w:rPr>
          <w:i/>
          <w:iCs/>
          <w:sz w:val="16"/>
          <w:szCs w:val="16"/>
          <w:lang w:val="en-PH"/>
        </w:rPr>
        <w:t>Jul 30, 2021</w:t>
      </w:r>
      <w:r w:rsidRPr="00364347">
        <w:rPr>
          <w:i/>
          <w:iCs/>
          <w:sz w:val="16"/>
          <w:szCs w:val="16"/>
          <w:lang w:val="en-PH"/>
        </w:rPr>
        <w:t>.</w:t>
      </w:r>
    </w:p>
    <w:p w14:paraId="10C86738" w14:textId="29101548" w:rsidR="003D1D39" w:rsidRDefault="003D1D39">
      <w:pPr>
        <w:pStyle w:val="FootnoteText"/>
      </w:pPr>
    </w:p>
  </w:footnote>
  <w:footnote w:id="27">
    <w:p w14:paraId="3E58D959" w14:textId="4D300948" w:rsidR="003D1D39" w:rsidRPr="00364347" w:rsidRDefault="003D1D39">
      <w:pPr>
        <w:pStyle w:val="FootnoteText"/>
        <w:rPr>
          <w:i/>
          <w:iCs/>
          <w:sz w:val="16"/>
          <w:szCs w:val="16"/>
        </w:rPr>
      </w:pPr>
      <w:r w:rsidRPr="00364347">
        <w:rPr>
          <w:rStyle w:val="FootnoteReference"/>
        </w:rPr>
        <w:footnoteRef/>
      </w:r>
      <w:r w:rsidRPr="00364347">
        <w:rPr>
          <w:rStyle w:val="FootnoteReference"/>
        </w:rPr>
        <w:t xml:space="preserve"> </w:t>
      </w:r>
      <w:r w:rsidRPr="00364347">
        <w:rPr>
          <w:i/>
          <w:iCs/>
          <w:sz w:val="16"/>
          <w:szCs w:val="16"/>
        </w:rPr>
        <w:t xml:space="preserve">Chicago Board Options Exchange, CBOE Volatility Index: VIX [VIXCLS], retrieved from FRED, Federal Reserve Bank of St. Louis; </w:t>
      </w:r>
      <w:hyperlink r:id="rId26" w:history="1">
        <w:r w:rsidRPr="00364347">
          <w:rPr>
            <w:rStyle w:val="Hyperlink"/>
            <w:i/>
            <w:iCs/>
            <w:sz w:val="16"/>
            <w:szCs w:val="16"/>
          </w:rPr>
          <w:t>https://fred.stlouisfed.org/series/VIXCLS</w:t>
        </w:r>
      </w:hyperlink>
      <w:r w:rsidRPr="00364347">
        <w:rPr>
          <w:i/>
          <w:iCs/>
          <w:sz w:val="16"/>
          <w:szCs w:val="16"/>
        </w:rPr>
        <w:t xml:space="preserve">, </w:t>
      </w:r>
      <w:r>
        <w:rPr>
          <w:i/>
          <w:iCs/>
          <w:sz w:val="16"/>
          <w:szCs w:val="16"/>
        </w:rPr>
        <w:t>Jul 30, 2021</w:t>
      </w:r>
      <w:r w:rsidRPr="00364347">
        <w:rPr>
          <w:i/>
          <w:iCs/>
          <w:sz w:val="16"/>
          <w:szCs w:val="16"/>
        </w:rPr>
        <w:t>.</w:t>
      </w:r>
    </w:p>
  </w:footnote>
  <w:footnote w:id="28">
    <w:p w14:paraId="1CF53D3A" w14:textId="402E8F97" w:rsidR="003D1D39" w:rsidRPr="00BF5CE2" w:rsidRDefault="003D1D39">
      <w:pPr>
        <w:pStyle w:val="FootnoteText"/>
        <w:rPr>
          <w:lang w:val="en-PH"/>
        </w:rPr>
      </w:pPr>
      <w:r w:rsidRPr="002B29C7">
        <w:rPr>
          <w:rStyle w:val="FootnoteReference"/>
          <w:sz w:val="16"/>
          <w:szCs w:val="16"/>
        </w:rPr>
        <w:footnoteRef/>
      </w:r>
      <w:r w:rsidRPr="002B29C7">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Growth Rate of Real Gross Domestic Product [GDPC1CTM],</w:t>
      </w:r>
      <w:r w:rsidRPr="00364347">
        <w:rPr>
          <w:rFonts w:cstheme="minorHAnsi"/>
          <w:i/>
          <w:iCs/>
          <w:color w:val="222222"/>
          <w:sz w:val="16"/>
          <w:szCs w:val="16"/>
          <w:shd w:val="clear" w:color="auto" w:fill="FFFFFF"/>
        </w:rPr>
        <w:t xml:space="preserve"> retr</w:t>
      </w:r>
      <w:r w:rsidRPr="002B29C7">
        <w:rPr>
          <w:rFonts w:cstheme="minorHAnsi"/>
          <w:i/>
          <w:iCs/>
          <w:color w:val="222222"/>
          <w:sz w:val="16"/>
          <w:szCs w:val="16"/>
          <w:shd w:val="clear" w:color="auto" w:fill="FFFFFF"/>
        </w:rPr>
        <w:t>ieved from FRED, Federal Reserve Bank of St. Louis; </w:t>
      </w:r>
      <w:hyperlink r:id="rId27" w:history="1">
        <w:r w:rsidRPr="00DF1D66">
          <w:rPr>
            <w:rStyle w:val="Hyperlink"/>
            <w:rFonts w:cstheme="minorHAnsi"/>
            <w:i/>
            <w:iCs/>
            <w:sz w:val="16"/>
            <w:szCs w:val="16"/>
            <w:shd w:val="clear" w:color="auto" w:fill="FFFFFF"/>
          </w:rPr>
          <w:t>https://fred.stlouisfed.org/series/GDPC1CTM</w:t>
        </w:r>
      </w:hyperlink>
      <w:r w:rsidRPr="002B29C7">
        <w:rPr>
          <w:rFonts w:cstheme="minorHAnsi"/>
          <w:i/>
          <w:iCs/>
          <w:color w:val="222222"/>
          <w:sz w:val="16"/>
          <w:szCs w:val="16"/>
          <w:shd w:val="clear" w:color="auto" w:fill="FFFFFF"/>
        </w:rPr>
        <w:t>,</w:t>
      </w:r>
      <w:r>
        <w:rPr>
          <w:rFonts w:cstheme="minorHAnsi"/>
          <w:i/>
          <w:iCs/>
          <w:color w:val="222222"/>
          <w:sz w:val="16"/>
          <w:szCs w:val="16"/>
          <w:shd w:val="clear" w:color="auto" w:fill="FFFFFF"/>
        </w:rPr>
        <w:t xml:space="preserve"> Jul 30, 2021</w:t>
      </w:r>
      <w:r w:rsidRPr="002B29C7">
        <w:rPr>
          <w:rFonts w:cstheme="minorHAnsi"/>
          <w:i/>
          <w:iCs/>
          <w:color w:val="222222"/>
          <w:sz w:val="16"/>
          <w:szCs w:val="16"/>
          <w:shd w:val="clear" w:color="auto" w:fill="FFFFFF"/>
        </w:rPr>
        <w:t>.</w:t>
      </w:r>
    </w:p>
  </w:footnote>
  <w:footnote w:id="29">
    <w:p w14:paraId="054982F6" w14:textId="2F3143E2" w:rsidR="003D1D39" w:rsidRPr="005D3CEF" w:rsidRDefault="003D1D39">
      <w:pPr>
        <w:pStyle w:val="FootnoteText"/>
        <w:rPr>
          <w:sz w:val="16"/>
          <w:szCs w:val="16"/>
          <w:lang w:val="en-PH"/>
        </w:rPr>
      </w:pPr>
      <w:r w:rsidRPr="005D3CEF">
        <w:rPr>
          <w:rStyle w:val="FootnoteReference"/>
          <w:sz w:val="16"/>
          <w:szCs w:val="16"/>
        </w:rPr>
        <w:footnoteRef/>
      </w:r>
      <w:r w:rsidRPr="005D3CEF">
        <w:rPr>
          <w:sz w:val="16"/>
          <w:szCs w:val="16"/>
        </w:rPr>
        <w:t xml:space="preserve"> </w:t>
      </w:r>
      <w:r w:rsidRPr="00364347">
        <w:rPr>
          <w:i/>
          <w:iCs/>
          <w:sz w:val="16"/>
          <w:szCs w:val="16"/>
        </w:rPr>
        <w:t>Federal Reserve Bank of St. Louis</w:t>
      </w:r>
      <w:r w:rsidRPr="00364347">
        <w:rPr>
          <w:i/>
          <w:iCs/>
          <w:sz w:val="16"/>
          <w:szCs w:val="16"/>
          <w:lang w:val="en-PH"/>
        </w:rPr>
        <w:t>, FOMC Summary of Economic Projections for the Personal Consumption Expenditures Inflation Rate, Central Tendency, Midpoint [PCECTPICTM],</w:t>
      </w:r>
      <w:r w:rsidRPr="00364347">
        <w:rPr>
          <w:rFonts w:cstheme="minorHAnsi"/>
          <w:i/>
          <w:iCs/>
          <w:color w:val="222222"/>
          <w:sz w:val="16"/>
          <w:szCs w:val="16"/>
          <w:shd w:val="clear" w:color="auto" w:fill="FFFFFF"/>
        </w:rPr>
        <w:t xml:space="preserve"> retrieved from FRED, Federal Reserve Bank of St. Louis; </w:t>
      </w:r>
      <w:hyperlink r:id="rId28" w:history="1">
        <w:r w:rsidRPr="00364347">
          <w:rPr>
            <w:rStyle w:val="Hyperlink"/>
            <w:rFonts w:cstheme="minorHAnsi"/>
            <w:i/>
            <w:iCs/>
            <w:sz w:val="16"/>
            <w:szCs w:val="16"/>
            <w:shd w:val="clear" w:color="auto" w:fill="FFFFFF"/>
          </w:rPr>
          <w:t>https://fred.stlouisfed.org/series/PCECTPICTM</w:t>
        </w:r>
      </w:hyperlink>
      <w:r w:rsidRPr="00364347">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364347">
        <w:rPr>
          <w:rFonts w:cstheme="minorHAnsi"/>
          <w:i/>
          <w:iCs/>
          <w:color w:val="222222"/>
          <w:sz w:val="16"/>
          <w:szCs w:val="16"/>
          <w:shd w:val="clear" w:color="auto" w:fill="FFFFFF"/>
        </w:rPr>
        <w:t>.</w:t>
      </w:r>
    </w:p>
  </w:footnote>
  <w:footnote w:id="30">
    <w:p w14:paraId="4A7DBD07" w14:textId="50110C68" w:rsidR="003D1D39" w:rsidRPr="00E72196" w:rsidRDefault="003D1D39" w:rsidP="0049182B">
      <w:pPr>
        <w:pStyle w:val="FootnoteText"/>
        <w:jc w:val="both"/>
        <w:rPr>
          <w:lang w:val="en-PH"/>
        </w:rPr>
      </w:pPr>
      <w:r>
        <w:rPr>
          <w:rStyle w:val="FootnoteReference"/>
        </w:rPr>
        <w:footnoteRef/>
      </w:r>
      <w:r>
        <w:t xml:space="preserve"> </w:t>
      </w:r>
      <w:r w:rsidRPr="00364347">
        <w:rPr>
          <w:i/>
          <w:iCs/>
          <w:sz w:val="16"/>
          <w:szCs w:val="16"/>
        </w:rPr>
        <w:t>Federal Reserve Bank of St. Louis</w:t>
      </w:r>
      <w:r w:rsidRPr="00364347">
        <w:rPr>
          <w:i/>
          <w:iCs/>
          <w:sz w:val="16"/>
          <w:szCs w:val="16"/>
          <w:lang w:val="en-PH"/>
        </w:rPr>
        <w:t>, FOMC Summary of Economic Projections for the Civilian Unemployment Rate, Central Tendency, Midpoint</w:t>
      </w:r>
      <w:r>
        <w:rPr>
          <w:i/>
          <w:iCs/>
          <w:sz w:val="16"/>
          <w:szCs w:val="16"/>
          <w:lang w:val="en-PH"/>
        </w:rPr>
        <w:t xml:space="preserve"> </w:t>
      </w:r>
      <w:r w:rsidRPr="00364347">
        <w:rPr>
          <w:i/>
          <w:iCs/>
          <w:sz w:val="16"/>
          <w:szCs w:val="16"/>
          <w:lang w:val="en-PH"/>
        </w:rPr>
        <w:t>[UNRATECTM],</w:t>
      </w:r>
      <w:r w:rsidRPr="00364347">
        <w:rPr>
          <w:rFonts w:cstheme="minorHAnsi"/>
          <w:i/>
          <w:iCs/>
          <w:color w:val="222222"/>
          <w:sz w:val="16"/>
          <w:szCs w:val="16"/>
          <w:shd w:val="clear" w:color="auto" w:fill="FFFFFF"/>
        </w:rPr>
        <w:t xml:space="preserve"> retri</w:t>
      </w:r>
      <w:r w:rsidRPr="005D3CEF">
        <w:rPr>
          <w:rFonts w:cstheme="minorHAnsi"/>
          <w:i/>
          <w:iCs/>
          <w:color w:val="222222"/>
          <w:sz w:val="16"/>
          <w:szCs w:val="16"/>
          <w:shd w:val="clear" w:color="auto" w:fill="FFFFFF"/>
        </w:rPr>
        <w:t>eved from FRED, Federal Reserve Bank of St. Louis; </w:t>
      </w:r>
      <w:hyperlink r:id="rId29" w:history="1">
        <w:r w:rsidRPr="00DF1D66">
          <w:rPr>
            <w:rStyle w:val="Hyperlink"/>
            <w:rFonts w:cstheme="minorHAnsi"/>
            <w:i/>
            <w:iCs/>
            <w:sz w:val="16"/>
            <w:szCs w:val="16"/>
            <w:shd w:val="clear" w:color="auto" w:fill="FFFFFF"/>
          </w:rPr>
          <w:t>https://fred.stlouisfed.org/series/UNRATECTM</w:t>
        </w:r>
      </w:hyperlink>
      <w:r w:rsidRPr="005D3CEF">
        <w:rPr>
          <w:rFonts w:cstheme="minorHAnsi"/>
          <w:i/>
          <w:iCs/>
          <w:color w:val="222222"/>
          <w:sz w:val="16"/>
          <w:szCs w:val="16"/>
          <w:shd w:val="clear" w:color="auto" w:fill="FFFFFF"/>
        </w:rPr>
        <w:t xml:space="preserve">, </w:t>
      </w:r>
      <w:r>
        <w:rPr>
          <w:rFonts w:cstheme="minorHAnsi"/>
          <w:i/>
          <w:iCs/>
          <w:color w:val="222222"/>
          <w:sz w:val="16"/>
          <w:szCs w:val="16"/>
          <w:shd w:val="clear" w:color="auto" w:fill="FFFFFF"/>
        </w:rPr>
        <w:t>Jul 30, 2021</w:t>
      </w:r>
      <w:r w:rsidRPr="005D3CEF">
        <w:rPr>
          <w:rFonts w:cstheme="minorHAnsi"/>
          <w:i/>
          <w:iCs/>
          <w:color w:val="222222"/>
          <w:sz w:val="16"/>
          <w:szCs w:val="16"/>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D5FE7" w14:textId="77777777" w:rsidR="003D1D39" w:rsidRPr="00460436" w:rsidRDefault="003D1D39" w:rsidP="00460436">
    <w:pPr>
      <w:pStyle w:val="Header"/>
      <w:jc w:val="right"/>
      <w:rPr>
        <w:rStyle w:val="IntenseEmphasis"/>
      </w:rPr>
    </w:pPr>
    <w:r w:rsidRPr="00460436">
      <w:rPr>
        <w:rStyle w:val="IntenseEmphasis"/>
      </w:rPr>
      <w:t>Quarterly Economic Update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5F2D28"/>
    <w:multiLevelType w:val="hybridMultilevel"/>
    <w:tmpl w:val="3CC48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254B19"/>
    <w:multiLevelType w:val="hybridMultilevel"/>
    <w:tmpl w:val="82C2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B907BB"/>
    <w:multiLevelType w:val="hybridMultilevel"/>
    <w:tmpl w:val="A0F67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1E6018"/>
    <w:multiLevelType w:val="hybridMultilevel"/>
    <w:tmpl w:val="62A6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111"/>
    <w:rsid w:val="0000055B"/>
    <w:rsid w:val="000017CB"/>
    <w:rsid w:val="00001B20"/>
    <w:rsid w:val="000048BB"/>
    <w:rsid w:val="00005111"/>
    <w:rsid w:val="00014CBA"/>
    <w:rsid w:val="00021EA4"/>
    <w:rsid w:val="00022BB4"/>
    <w:rsid w:val="00023FB9"/>
    <w:rsid w:val="000248D0"/>
    <w:rsid w:val="00024E64"/>
    <w:rsid w:val="0002602B"/>
    <w:rsid w:val="0002760A"/>
    <w:rsid w:val="00027E1E"/>
    <w:rsid w:val="00030ECA"/>
    <w:rsid w:val="0003136B"/>
    <w:rsid w:val="000322F4"/>
    <w:rsid w:val="00033B75"/>
    <w:rsid w:val="00035810"/>
    <w:rsid w:val="00035F0C"/>
    <w:rsid w:val="0003611B"/>
    <w:rsid w:val="0004025D"/>
    <w:rsid w:val="0004306B"/>
    <w:rsid w:val="00046A04"/>
    <w:rsid w:val="00047034"/>
    <w:rsid w:val="00047E74"/>
    <w:rsid w:val="0005198D"/>
    <w:rsid w:val="00052F94"/>
    <w:rsid w:val="00053E46"/>
    <w:rsid w:val="0005726F"/>
    <w:rsid w:val="00057711"/>
    <w:rsid w:val="00060AA5"/>
    <w:rsid w:val="00061DAA"/>
    <w:rsid w:val="000644DB"/>
    <w:rsid w:val="000650B3"/>
    <w:rsid w:val="00065E14"/>
    <w:rsid w:val="0007056A"/>
    <w:rsid w:val="00071875"/>
    <w:rsid w:val="00072C36"/>
    <w:rsid w:val="000738AD"/>
    <w:rsid w:val="00074123"/>
    <w:rsid w:val="000742F7"/>
    <w:rsid w:val="0007515A"/>
    <w:rsid w:val="00076850"/>
    <w:rsid w:val="000807FF"/>
    <w:rsid w:val="00084604"/>
    <w:rsid w:val="00084608"/>
    <w:rsid w:val="00084C45"/>
    <w:rsid w:val="00086DBA"/>
    <w:rsid w:val="000874E3"/>
    <w:rsid w:val="00090DA6"/>
    <w:rsid w:val="00093D9A"/>
    <w:rsid w:val="00093EF4"/>
    <w:rsid w:val="0009699C"/>
    <w:rsid w:val="000A0001"/>
    <w:rsid w:val="000A0FCA"/>
    <w:rsid w:val="000A1224"/>
    <w:rsid w:val="000A239B"/>
    <w:rsid w:val="000A2C4B"/>
    <w:rsid w:val="000A3240"/>
    <w:rsid w:val="000A79DC"/>
    <w:rsid w:val="000B0583"/>
    <w:rsid w:val="000B0B86"/>
    <w:rsid w:val="000B42F9"/>
    <w:rsid w:val="000B4F85"/>
    <w:rsid w:val="000B5DA2"/>
    <w:rsid w:val="000B6EBB"/>
    <w:rsid w:val="000C1495"/>
    <w:rsid w:val="000C19DD"/>
    <w:rsid w:val="000C2E7D"/>
    <w:rsid w:val="000C6EEB"/>
    <w:rsid w:val="000C71C7"/>
    <w:rsid w:val="000D3995"/>
    <w:rsid w:val="000D47AB"/>
    <w:rsid w:val="000D4973"/>
    <w:rsid w:val="000D4AF1"/>
    <w:rsid w:val="000D5719"/>
    <w:rsid w:val="000D646D"/>
    <w:rsid w:val="000D7BDC"/>
    <w:rsid w:val="000E1BAA"/>
    <w:rsid w:val="000E3192"/>
    <w:rsid w:val="000E5860"/>
    <w:rsid w:val="000E6060"/>
    <w:rsid w:val="000E6A61"/>
    <w:rsid w:val="000F1648"/>
    <w:rsid w:val="000F4AC6"/>
    <w:rsid w:val="000F59FF"/>
    <w:rsid w:val="001009B9"/>
    <w:rsid w:val="00100DF8"/>
    <w:rsid w:val="00102080"/>
    <w:rsid w:val="0010260B"/>
    <w:rsid w:val="00105413"/>
    <w:rsid w:val="001058D4"/>
    <w:rsid w:val="00105A55"/>
    <w:rsid w:val="00107AB4"/>
    <w:rsid w:val="001116CA"/>
    <w:rsid w:val="00111911"/>
    <w:rsid w:val="00111974"/>
    <w:rsid w:val="00113C90"/>
    <w:rsid w:val="001149CD"/>
    <w:rsid w:val="00115717"/>
    <w:rsid w:val="00116B91"/>
    <w:rsid w:val="00117BB0"/>
    <w:rsid w:val="00121E2F"/>
    <w:rsid w:val="00122842"/>
    <w:rsid w:val="001235D8"/>
    <w:rsid w:val="001277B9"/>
    <w:rsid w:val="00130055"/>
    <w:rsid w:val="00131885"/>
    <w:rsid w:val="00131A14"/>
    <w:rsid w:val="00134A21"/>
    <w:rsid w:val="00140712"/>
    <w:rsid w:val="00140763"/>
    <w:rsid w:val="00140FEE"/>
    <w:rsid w:val="001451F8"/>
    <w:rsid w:val="001460CC"/>
    <w:rsid w:val="001475FF"/>
    <w:rsid w:val="0015037B"/>
    <w:rsid w:val="001511FF"/>
    <w:rsid w:val="00153FBB"/>
    <w:rsid w:val="001545F2"/>
    <w:rsid w:val="00155E88"/>
    <w:rsid w:val="00156FE4"/>
    <w:rsid w:val="0016088B"/>
    <w:rsid w:val="00162E77"/>
    <w:rsid w:val="00163F37"/>
    <w:rsid w:val="00164566"/>
    <w:rsid w:val="00166778"/>
    <w:rsid w:val="0016688A"/>
    <w:rsid w:val="00166C08"/>
    <w:rsid w:val="00166F90"/>
    <w:rsid w:val="00171C8E"/>
    <w:rsid w:val="00172307"/>
    <w:rsid w:val="001737B6"/>
    <w:rsid w:val="00173FBF"/>
    <w:rsid w:val="001744C6"/>
    <w:rsid w:val="0017465F"/>
    <w:rsid w:val="00174B44"/>
    <w:rsid w:val="00174BCD"/>
    <w:rsid w:val="00174CC3"/>
    <w:rsid w:val="001756EC"/>
    <w:rsid w:val="0017576B"/>
    <w:rsid w:val="00176C00"/>
    <w:rsid w:val="00176F91"/>
    <w:rsid w:val="001773AA"/>
    <w:rsid w:val="0018096F"/>
    <w:rsid w:val="00180CA9"/>
    <w:rsid w:val="001819E6"/>
    <w:rsid w:val="00183B61"/>
    <w:rsid w:val="00186318"/>
    <w:rsid w:val="00186873"/>
    <w:rsid w:val="001868CB"/>
    <w:rsid w:val="00187669"/>
    <w:rsid w:val="00193436"/>
    <w:rsid w:val="00195B12"/>
    <w:rsid w:val="001A21D2"/>
    <w:rsid w:val="001A3FBA"/>
    <w:rsid w:val="001A4F9E"/>
    <w:rsid w:val="001A5EDF"/>
    <w:rsid w:val="001A6C86"/>
    <w:rsid w:val="001B1490"/>
    <w:rsid w:val="001B4B76"/>
    <w:rsid w:val="001C0418"/>
    <w:rsid w:val="001C0F2A"/>
    <w:rsid w:val="001C1070"/>
    <w:rsid w:val="001C14A1"/>
    <w:rsid w:val="001C2541"/>
    <w:rsid w:val="001C38B9"/>
    <w:rsid w:val="001C5F4E"/>
    <w:rsid w:val="001C7617"/>
    <w:rsid w:val="001D7D8D"/>
    <w:rsid w:val="001E04F8"/>
    <w:rsid w:val="001E15B0"/>
    <w:rsid w:val="001E26E8"/>
    <w:rsid w:val="001E42A6"/>
    <w:rsid w:val="001E6FCC"/>
    <w:rsid w:val="001E7445"/>
    <w:rsid w:val="001F4E3D"/>
    <w:rsid w:val="001F7970"/>
    <w:rsid w:val="0020145F"/>
    <w:rsid w:val="002024E2"/>
    <w:rsid w:val="00203609"/>
    <w:rsid w:val="00204D9D"/>
    <w:rsid w:val="00210DB1"/>
    <w:rsid w:val="0021377C"/>
    <w:rsid w:val="00217AD5"/>
    <w:rsid w:val="00220B63"/>
    <w:rsid w:val="002218BC"/>
    <w:rsid w:val="002219B5"/>
    <w:rsid w:val="0022226D"/>
    <w:rsid w:val="002301AB"/>
    <w:rsid w:val="002308A9"/>
    <w:rsid w:val="00230D29"/>
    <w:rsid w:val="00231BB2"/>
    <w:rsid w:val="00231FA3"/>
    <w:rsid w:val="00232336"/>
    <w:rsid w:val="00234F94"/>
    <w:rsid w:val="002361FB"/>
    <w:rsid w:val="00236B68"/>
    <w:rsid w:val="00237901"/>
    <w:rsid w:val="00237E71"/>
    <w:rsid w:val="002406D9"/>
    <w:rsid w:val="002435D7"/>
    <w:rsid w:val="00244C4D"/>
    <w:rsid w:val="00245903"/>
    <w:rsid w:val="002502D5"/>
    <w:rsid w:val="00250313"/>
    <w:rsid w:val="002516C6"/>
    <w:rsid w:val="002521FF"/>
    <w:rsid w:val="0025222E"/>
    <w:rsid w:val="00252A9B"/>
    <w:rsid w:val="002530D7"/>
    <w:rsid w:val="00254176"/>
    <w:rsid w:val="0025469C"/>
    <w:rsid w:val="00255530"/>
    <w:rsid w:val="00255C32"/>
    <w:rsid w:val="0025666D"/>
    <w:rsid w:val="00257944"/>
    <w:rsid w:val="002608F3"/>
    <w:rsid w:val="00261A6E"/>
    <w:rsid w:val="0026329B"/>
    <w:rsid w:val="00265131"/>
    <w:rsid w:val="0026599C"/>
    <w:rsid w:val="002731EF"/>
    <w:rsid w:val="002743DC"/>
    <w:rsid w:val="0027585A"/>
    <w:rsid w:val="002775DB"/>
    <w:rsid w:val="002817E1"/>
    <w:rsid w:val="0028237E"/>
    <w:rsid w:val="00283D6F"/>
    <w:rsid w:val="002857FD"/>
    <w:rsid w:val="00285F67"/>
    <w:rsid w:val="00291763"/>
    <w:rsid w:val="00291FFB"/>
    <w:rsid w:val="00292B24"/>
    <w:rsid w:val="00296BEB"/>
    <w:rsid w:val="002972D2"/>
    <w:rsid w:val="002978F9"/>
    <w:rsid w:val="002A0B80"/>
    <w:rsid w:val="002A14C5"/>
    <w:rsid w:val="002A375D"/>
    <w:rsid w:val="002A3CB2"/>
    <w:rsid w:val="002A45E8"/>
    <w:rsid w:val="002A764F"/>
    <w:rsid w:val="002B16D0"/>
    <w:rsid w:val="002B29C7"/>
    <w:rsid w:val="002B2BBA"/>
    <w:rsid w:val="002B4308"/>
    <w:rsid w:val="002C0EC8"/>
    <w:rsid w:val="002C1F64"/>
    <w:rsid w:val="002C240B"/>
    <w:rsid w:val="002C3C67"/>
    <w:rsid w:val="002C429F"/>
    <w:rsid w:val="002C5E52"/>
    <w:rsid w:val="002C601A"/>
    <w:rsid w:val="002C69A4"/>
    <w:rsid w:val="002D4C10"/>
    <w:rsid w:val="002D5CC3"/>
    <w:rsid w:val="002D660A"/>
    <w:rsid w:val="002D78A5"/>
    <w:rsid w:val="002E0DC9"/>
    <w:rsid w:val="002E2644"/>
    <w:rsid w:val="002E3213"/>
    <w:rsid w:val="002E3647"/>
    <w:rsid w:val="002E3E26"/>
    <w:rsid w:val="002E4494"/>
    <w:rsid w:val="002E58CF"/>
    <w:rsid w:val="002E6FDE"/>
    <w:rsid w:val="002E7ACF"/>
    <w:rsid w:val="002F0CDA"/>
    <w:rsid w:val="002F1660"/>
    <w:rsid w:val="002F1B2A"/>
    <w:rsid w:val="002F1B4B"/>
    <w:rsid w:val="002F1C7B"/>
    <w:rsid w:val="002F3682"/>
    <w:rsid w:val="002F3ADD"/>
    <w:rsid w:val="002F3CE6"/>
    <w:rsid w:val="002F6282"/>
    <w:rsid w:val="002F63F8"/>
    <w:rsid w:val="002F7417"/>
    <w:rsid w:val="003028B3"/>
    <w:rsid w:val="00304B4E"/>
    <w:rsid w:val="00306B1D"/>
    <w:rsid w:val="003071CD"/>
    <w:rsid w:val="00307A87"/>
    <w:rsid w:val="0031179D"/>
    <w:rsid w:val="00311E77"/>
    <w:rsid w:val="00314985"/>
    <w:rsid w:val="003167AC"/>
    <w:rsid w:val="00316CBD"/>
    <w:rsid w:val="00316E8F"/>
    <w:rsid w:val="00317448"/>
    <w:rsid w:val="003175DC"/>
    <w:rsid w:val="00321AA2"/>
    <w:rsid w:val="00322C58"/>
    <w:rsid w:val="00323C75"/>
    <w:rsid w:val="00327700"/>
    <w:rsid w:val="0033052C"/>
    <w:rsid w:val="003316E9"/>
    <w:rsid w:val="00331CF3"/>
    <w:rsid w:val="00332197"/>
    <w:rsid w:val="00334DE4"/>
    <w:rsid w:val="00336F2C"/>
    <w:rsid w:val="003376CD"/>
    <w:rsid w:val="00337BD8"/>
    <w:rsid w:val="00340262"/>
    <w:rsid w:val="00340B8A"/>
    <w:rsid w:val="003412DA"/>
    <w:rsid w:val="003414E7"/>
    <w:rsid w:val="00346350"/>
    <w:rsid w:val="00346E54"/>
    <w:rsid w:val="003477B7"/>
    <w:rsid w:val="003479C3"/>
    <w:rsid w:val="00353F0A"/>
    <w:rsid w:val="00354195"/>
    <w:rsid w:val="00354414"/>
    <w:rsid w:val="0035542E"/>
    <w:rsid w:val="00360100"/>
    <w:rsid w:val="00361E70"/>
    <w:rsid w:val="00362202"/>
    <w:rsid w:val="00363E78"/>
    <w:rsid w:val="00364347"/>
    <w:rsid w:val="003643F8"/>
    <w:rsid w:val="0036641E"/>
    <w:rsid w:val="003711BF"/>
    <w:rsid w:val="00371414"/>
    <w:rsid w:val="00372F3C"/>
    <w:rsid w:val="003802E7"/>
    <w:rsid w:val="003812D0"/>
    <w:rsid w:val="0038144F"/>
    <w:rsid w:val="00381A81"/>
    <w:rsid w:val="00382C86"/>
    <w:rsid w:val="00385105"/>
    <w:rsid w:val="00386023"/>
    <w:rsid w:val="00387C82"/>
    <w:rsid w:val="0039196F"/>
    <w:rsid w:val="00392D01"/>
    <w:rsid w:val="00393B78"/>
    <w:rsid w:val="0039421C"/>
    <w:rsid w:val="00394236"/>
    <w:rsid w:val="00395B3E"/>
    <w:rsid w:val="00396E51"/>
    <w:rsid w:val="0039736B"/>
    <w:rsid w:val="00397F57"/>
    <w:rsid w:val="003A0447"/>
    <w:rsid w:val="003A390C"/>
    <w:rsid w:val="003A3D8A"/>
    <w:rsid w:val="003A4BCC"/>
    <w:rsid w:val="003A679B"/>
    <w:rsid w:val="003B0615"/>
    <w:rsid w:val="003B0B22"/>
    <w:rsid w:val="003B2BFB"/>
    <w:rsid w:val="003B4D22"/>
    <w:rsid w:val="003C1A72"/>
    <w:rsid w:val="003C1F24"/>
    <w:rsid w:val="003C2173"/>
    <w:rsid w:val="003C4023"/>
    <w:rsid w:val="003C4CAF"/>
    <w:rsid w:val="003D112A"/>
    <w:rsid w:val="003D1D39"/>
    <w:rsid w:val="003D3C51"/>
    <w:rsid w:val="003D4159"/>
    <w:rsid w:val="003E18DF"/>
    <w:rsid w:val="003E282E"/>
    <w:rsid w:val="003E3E2D"/>
    <w:rsid w:val="003E4ACB"/>
    <w:rsid w:val="003E5CFB"/>
    <w:rsid w:val="003F007D"/>
    <w:rsid w:val="003F2FE7"/>
    <w:rsid w:val="003F5061"/>
    <w:rsid w:val="00401A65"/>
    <w:rsid w:val="0040211C"/>
    <w:rsid w:val="00403355"/>
    <w:rsid w:val="0040653A"/>
    <w:rsid w:val="0041138E"/>
    <w:rsid w:val="00411404"/>
    <w:rsid w:val="00411A4C"/>
    <w:rsid w:val="004134F4"/>
    <w:rsid w:val="00413EE3"/>
    <w:rsid w:val="00421F60"/>
    <w:rsid w:val="0042476E"/>
    <w:rsid w:val="00424E74"/>
    <w:rsid w:val="00427110"/>
    <w:rsid w:val="0042719D"/>
    <w:rsid w:val="0043016A"/>
    <w:rsid w:val="00440FEB"/>
    <w:rsid w:val="00442163"/>
    <w:rsid w:val="00442565"/>
    <w:rsid w:val="00442A7A"/>
    <w:rsid w:val="00442BF6"/>
    <w:rsid w:val="00443A15"/>
    <w:rsid w:val="00445A11"/>
    <w:rsid w:val="00446C08"/>
    <w:rsid w:val="004476DE"/>
    <w:rsid w:val="00447E7F"/>
    <w:rsid w:val="00450276"/>
    <w:rsid w:val="004506CC"/>
    <w:rsid w:val="0045095D"/>
    <w:rsid w:val="0045097E"/>
    <w:rsid w:val="004513EB"/>
    <w:rsid w:val="00451755"/>
    <w:rsid w:val="00453708"/>
    <w:rsid w:val="00454F4B"/>
    <w:rsid w:val="0045550A"/>
    <w:rsid w:val="00457E1D"/>
    <w:rsid w:val="00460436"/>
    <w:rsid w:val="00460DE2"/>
    <w:rsid w:val="00460E43"/>
    <w:rsid w:val="00463560"/>
    <w:rsid w:val="00466612"/>
    <w:rsid w:val="00466861"/>
    <w:rsid w:val="00467AB1"/>
    <w:rsid w:val="004709B0"/>
    <w:rsid w:val="004759DB"/>
    <w:rsid w:val="004778D8"/>
    <w:rsid w:val="004846E4"/>
    <w:rsid w:val="004907DA"/>
    <w:rsid w:val="00490AFD"/>
    <w:rsid w:val="0049182B"/>
    <w:rsid w:val="00491B4B"/>
    <w:rsid w:val="00493CF1"/>
    <w:rsid w:val="00494933"/>
    <w:rsid w:val="004965CE"/>
    <w:rsid w:val="00496E13"/>
    <w:rsid w:val="004A0649"/>
    <w:rsid w:val="004A0947"/>
    <w:rsid w:val="004A0ABB"/>
    <w:rsid w:val="004A4BD1"/>
    <w:rsid w:val="004B047B"/>
    <w:rsid w:val="004B2BFB"/>
    <w:rsid w:val="004B2DF4"/>
    <w:rsid w:val="004B3923"/>
    <w:rsid w:val="004B3B5E"/>
    <w:rsid w:val="004B6D7A"/>
    <w:rsid w:val="004B76BB"/>
    <w:rsid w:val="004B7D92"/>
    <w:rsid w:val="004C20AB"/>
    <w:rsid w:val="004C587A"/>
    <w:rsid w:val="004C6B76"/>
    <w:rsid w:val="004D0515"/>
    <w:rsid w:val="004D099A"/>
    <w:rsid w:val="004D1BCA"/>
    <w:rsid w:val="004D1C9D"/>
    <w:rsid w:val="004D1DA4"/>
    <w:rsid w:val="004E1574"/>
    <w:rsid w:val="004E2AB3"/>
    <w:rsid w:val="004E2C09"/>
    <w:rsid w:val="004E3393"/>
    <w:rsid w:val="004E4A45"/>
    <w:rsid w:val="004E4B6F"/>
    <w:rsid w:val="004E5EC0"/>
    <w:rsid w:val="004E7265"/>
    <w:rsid w:val="004F1527"/>
    <w:rsid w:val="004F2735"/>
    <w:rsid w:val="004F307A"/>
    <w:rsid w:val="004F330B"/>
    <w:rsid w:val="004F3ADA"/>
    <w:rsid w:val="004F55C9"/>
    <w:rsid w:val="004F67A9"/>
    <w:rsid w:val="004F73C7"/>
    <w:rsid w:val="00502B32"/>
    <w:rsid w:val="00504F45"/>
    <w:rsid w:val="005117CA"/>
    <w:rsid w:val="005127D3"/>
    <w:rsid w:val="00515DB3"/>
    <w:rsid w:val="00515E9D"/>
    <w:rsid w:val="00516EDD"/>
    <w:rsid w:val="005200CA"/>
    <w:rsid w:val="0052077C"/>
    <w:rsid w:val="00521F1D"/>
    <w:rsid w:val="00525C1B"/>
    <w:rsid w:val="005261C1"/>
    <w:rsid w:val="00532A06"/>
    <w:rsid w:val="005356B5"/>
    <w:rsid w:val="00536754"/>
    <w:rsid w:val="00536B00"/>
    <w:rsid w:val="005378C5"/>
    <w:rsid w:val="00541D29"/>
    <w:rsid w:val="005425D7"/>
    <w:rsid w:val="00542F5A"/>
    <w:rsid w:val="00544623"/>
    <w:rsid w:val="005475F2"/>
    <w:rsid w:val="0055033B"/>
    <w:rsid w:val="005505E5"/>
    <w:rsid w:val="00550C7C"/>
    <w:rsid w:val="00551864"/>
    <w:rsid w:val="00554121"/>
    <w:rsid w:val="005554F5"/>
    <w:rsid w:val="0055555A"/>
    <w:rsid w:val="005563D4"/>
    <w:rsid w:val="00556EAD"/>
    <w:rsid w:val="00557239"/>
    <w:rsid w:val="005573A8"/>
    <w:rsid w:val="00562791"/>
    <w:rsid w:val="00562B39"/>
    <w:rsid w:val="0056320C"/>
    <w:rsid w:val="005650CD"/>
    <w:rsid w:val="005662B5"/>
    <w:rsid w:val="00570005"/>
    <w:rsid w:val="00570346"/>
    <w:rsid w:val="00571BD4"/>
    <w:rsid w:val="00572F03"/>
    <w:rsid w:val="005734C4"/>
    <w:rsid w:val="00575923"/>
    <w:rsid w:val="00576484"/>
    <w:rsid w:val="00576E9B"/>
    <w:rsid w:val="005779B7"/>
    <w:rsid w:val="00577C8E"/>
    <w:rsid w:val="005807C6"/>
    <w:rsid w:val="00580F92"/>
    <w:rsid w:val="005828F0"/>
    <w:rsid w:val="00583BEE"/>
    <w:rsid w:val="00584B8E"/>
    <w:rsid w:val="00587C5A"/>
    <w:rsid w:val="00590322"/>
    <w:rsid w:val="005917C1"/>
    <w:rsid w:val="00594B4A"/>
    <w:rsid w:val="005954B1"/>
    <w:rsid w:val="005A693F"/>
    <w:rsid w:val="005B1168"/>
    <w:rsid w:val="005B1ACA"/>
    <w:rsid w:val="005B40E5"/>
    <w:rsid w:val="005C021F"/>
    <w:rsid w:val="005C0423"/>
    <w:rsid w:val="005C0A6E"/>
    <w:rsid w:val="005C0D2D"/>
    <w:rsid w:val="005C2215"/>
    <w:rsid w:val="005C22CA"/>
    <w:rsid w:val="005C2F47"/>
    <w:rsid w:val="005C493F"/>
    <w:rsid w:val="005C532B"/>
    <w:rsid w:val="005C6411"/>
    <w:rsid w:val="005C6CD5"/>
    <w:rsid w:val="005C771E"/>
    <w:rsid w:val="005D06C9"/>
    <w:rsid w:val="005D1E0A"/>
    <w:rsid w:val="005D1E7F"/>
    <w:rsid w:val="005D3CEF"/>
    <w:rsid w:val="005D43B8"/>
    <w:rsid w:val="005D5553"/>
    <w:rsid w:val="005D6316"/>
    <w:rsid w:val="005E19C2"/>
    <w:rsid w:val="005E306A"/>
    <w:rsid w:val="005E3622"/>
    <w:rsid w:val="005E56AE"/>
    <w:rsid w:val="005E67EF"/>
    <w:rsid w:val="005E797B"/>
    <w:rsid w:val="005E7A94"/>
    <w:rsid w:val="005F07E9"/>
    <w:rsid w:val="005F1D7F"/>
    <w:rsid w:val="005F5744"/>
    <w:rsid w:val="006055F4"/>
    <w:rsid w:val="006068F7"/>
    <w:rsid w:val="00610140"/>
    <w:rsid w:val="0061080D"/>
    <w:rsid w:val="00610894"/>
    <w:rsid w:val="00611626"/>
    <w:rsid w:val="0061200D"/>
    <w:rsid w:val="006130EE"/>
    <w:rsid w:val="00613599"/>
    <w:rsid w:val="00615B70"/>
    <w:rsid w:val="006167DB"/>
    <w:rsid w:val="00617DFF"/>
    <w:rsid w:val="00617E5C"/>
    <w:rsid w:val="00620094"/>
    <w:rsid w:val="00621173"/>
    <w:rsid w:val="0062162D"/>
    <w:rsid w:val="00623672"/>
    <w:rsid w:val="0062444A"/>
    <w:rsid w:val="00624AEF"/>
    <w:rsid w:val="0062659E"/>
    <w:rsid w:val="00626DAC"/>
    <w:rsid w:val="00627C19"/>
    <w:rsid w:val="00627DE7"/>
    <w:rsid w:val="006314B9"/>
    <w:rsid w:val="00631555"/>
    <w:rsid w:val="00632F4E"/>
    <w:rsid w:val="006331A2"/>
    <w:rsid w:val="006342D9"/>
    <w:rsid w:val="00634658"/>
    <w:rsid w:val="00634787"/>
    <w:rsid w:val="00640C9C"/>
    <w:rsid w:val="00640DD5"/>
    <w:rsid w:val="00641A51"/>
    <w:rsid w:val="00643797"/>
    <w:rsid w:val="006439EA"/>
    <w:rsid w:val="00643FBF"/>
    <w:rsid w:val="006451FA"/>
    <w:rsid w:val="0064538F"/>
    <w:rsid w:val="00650430"/>
    <w:rsid w:val="00650582"/>
    <w:rsid w:val="00651AC2"/>
    <w:rsid w:val="00654B02"/>
    <w:rsid w:val="006553D1"/>
    <w:rsid w:val="006575D2"/>
    <w:rsid w:val="00657642"/>
    <w:rsid w:val="00660A13"/>
    <w:rsid w:val="00660C7A"/>
    <w:rsid w:val="00660C8A"/>
    <w:rsid w:val="006619DC"/>
    <w:rsid w:val="00661AA7"/>
    <w:rsid w:val="00662828"/>
    <w:rsid w:val="006646E8"/>
    <w:rsid w:val="006663D0"/>
    <w:rsid w:val="00670FB1"/>
    <w:rsid w:val="0067215A"/>
    <w:rsid w:val="00673A89"/>
    <w:rsid w:val="0067456E"/>
    <w:rsid w:val="006748EE"/>
    <w:rsid w:val="00675F26"/>
    <w:rsid w:val="00682B7E"/>
    <w:rsid w:val="00690C93"/>
    <w:rsid w:val="0069122E"/>
    <w:rsid w:val="00691D14"/>
    <w:rsid w:val="00694624"/>
    <w:rsid w:val="00695441"/>
    <w:rsid w:val="00695980"/>
    <w:rsid w:val="00696388"/>
    <w:rsid w:val="006970E9"/>
    <w:rsid w:val="006A01A0"/>
    <w:rsid w:val="006A0819"/>
    <w:rsid w:val="006A114D"/>
    <w:rsid w:val="006A5321"/>
    <w:rsid w:val="006A62EE"/>
    <w:rsid w:val="006A687C"/>
    <w:rsid w:val="006A6BFF"/>
    <w:rsid w:val="006B394A"/>
    <w:rsid w:val="006B3D25"/>
    <w:rsid w:val="006B792C"/>
    <w:rsid w:val="006C08FA"/>
    <w:rsid w:val="006C28D8"/>
    <w:rsid w:val="006C2DAB"/>
    <w:rsid w:val="006C6752"/>
    <w:rsid w:val="006C7116"/>
    <w:rsid w:val="006C7B04"/>
    <w:rsid w:val="006D2660"/>
    <w:rsid w:val="006D3877"/>
    <w:rsid w:val="006D4E8F"/>
    <w:rsid w:val="006D518C"/>
    <w:rsid w:val="006D579F"/>
    <w:rsid w:val="006E0830"/>
    <w:rsid w:val="006E4B4F"/>
    <w:rsid w:val="006E5760"/>
    <w:rsid w:val="006E608A"/>
    <w:rsid w:val="006E621A"/>
    <w:rsid w:val="006E69A7"/>
    <w:rsid w:val="006E6EAA"/>
    <w:rsid w:val="006F060A"/>
    <w:rsid w:val="006F0678"/>
    <w:rsid w:val="006F1B14"/>
    <w:rsid w:val="006F3E36"/>
    <w:rsid w:val="006F49C7"/>
    <w:rsid w:val="006F4DB7"/>
    <w:rsid w:val="006F58B0"/>
    <w:rsid w:val="006F6733"/>
    <w:rsid w:val="006F7FB2"/>
    <w:rsid w:val="00700166"/>
    <w:rsid w:val="00701D95"/>
    <w:rsid w:val="00703D80"/>
    <w:rsid w:val="007062B8"/>
    <w:rsid w:val="00707B5E"/>
    <w:rsid w:val="007102D3"/>
    <w:rsid w:val="007110AF"/>
    <w:rsid w:val="00714B74"/>
    <w:rsid w:val="00724C08"/>
    <w:rsid w:val="0072697B"/>
    <w:rsid w:val="00730BC7"/>
    <w:rsid w:val="00730C3D"/>
    <w:rsid w:val="007329E1"/>
    <w:rsid w:val="0073598E"/>
    <w:rsid w:val="007361CC"/>
    <w:rsid w:val="00737D58"/>
    <w:rsid w:val="00740863"/>
    <w:rsid w:val="0074137C"/>
    <w:rsid w:val="00741DA8"/>
    <w:rsid w:val="00742E84"/>
    <w:rsid w:val="00743683"/>
    <w:rsid w:val="00743A12"/>
    <w:rsid w:val="0075479C"/>
    <w:rsid w:val="00755B70"/>
    <w:rsid w:val="00756248"/>
    <w:rsid w:val="00756A49"/>
    <w:rsid w:val="007602B9"/>
    <w:rsid w:val="00761D36"/>
    <w:rsid w:val="0076272C"/>
    <w:rsid w:val="007635CE"/>
    <w:rsid w:val="0076678E"/>
    <w:rsid w:val="0076717F"/>
    <w:rsid w:val="0077027E"/>
    <w:rsid w:val="00770759"/>
    <w:rsid w:val="00772342"/>
    <w:rsid w:val="007736DF"/>
    <w:rsid w:val="00773AC4"/>
    <w:rsid w:val="00773B5B"/>
    <w:rsid w:val="00773E0E"/>
    <w:rsid w:val="007768C7"/>
    <w:rsid w:val="007807DE"/>
    <w:rsid w:val="00782F5F"/>
    <w:rsid w:val="0078488C"/>
    <w:rsid w:val="00791F5C"/>
    <w:rsid w:val="007929DB"/>
    <w:rsid w:val="00792E5D"/>
    <w:rsid w:val="00795569"/>
    <w:rsid w:val="00795ECE"/>
    <w:rsid w:val="0079609A"/>
    <w:rsid w:val="007A0574"/>
    <w:rsid w:val="007A05AD"/>
    <w:rsid w:val="007A0E93"/>
    <w:rsid w:val="007A4896"/>
    <w:rsid w:val="007A5255"/>
    <w:rsid w:val="007A770A"/>
    <w:rsid w:val="007A7FCF"/>
    <w:rsid w:val="007B0C0E"/>
    <w:rsid w:val="007B0FB5"/>
    <w:rsid w:val="007B178B"/>
    <w:rsid w:val="007B3A9E"/>
    <w:rsid w:val="007B5780"/>
    <w:rsid w:val="007B5CA1"/>
    <w:rsid w:val="007B7D73"/>
    <w:rsid w:val="007C1E79"/>
    <w:rsid w:val="007C4944"/>
    <w:rsid w:val="007C54CB"/>
    <w:rsid w:val="007C5517"/>
    <w:rsid w:val="007D4FF9"/>
    <w:rsid w:val="007E3ED3"/>
    <w:rsid w:val="007E5B14"/>
    <w:rsid w:val="007E7320"/>
    <w:rsid w:val="007E76B7"/>
    <w:rsid w:val="007F04AE"/>
    <w:rsid w:val="007F1968"/>
    <w:rsid w:val="007F34A5"/>
    <w:rsid w:val="007F58C3"/>
    <w:rsid w:val="007F590E"/>
    <w:rsid w:val="007F5A38"/>
    <w:rsid w:val="007F5D12"/>
    <w:rsid w:val="007F67C3"/>
    <w:rsid w:val="0080028D"/>
    <w:rsid w:val="0080052B"/>
    <w:rsid w:val="00805C12"/>
    <w:rsid w:val="0080666E"/>
    <w:rsid w:val="00811606"/>
    <w:rsid w:val="00811FA7"/>
    <w:rsid w:val="008129B2"/>
    <w:rsid w:val="00813396"/>
    <w:rsid w:val="008155BA"/>
    <w:rsid w:val="008162B7"/>
    <w:rsid w:val="00816313"/>
    <w:rsid w:val="00816C0F"/>
    <w:rsid w:val="0081792D"/>
    <w:rsid w:val="00822038"/>
    <w:rsid w:val="00822897"/>
    <w:rsid w:val="00823A4E"/>
    <w:rsid w:val="00823E2B"/>
    <w:rsid w:val="00826AE7"/>
    <w:rsid w:val="00826F0B"/>
    <w:rsid w:val="00831041"/>
    <w:rsid w:val="008339F4"/>
    <w:rsid w:val="00833A07"/>
    <w:rsid w:val="00835434"/>
    <w:rsid w:val="00836176"/>
    <w:rsid w:val="00836E7F"/>
    <w:rsid w:val="00837DF2"/>
    <w:rsid w:val="00842094"/>
    <w:rsid w:val="0084463F"/>
    <w:rsid w:val="0084528D"/>
    <w:rsid w:val="00850A64"/>
    <w:rsid w:val="00855A46"/>
    <w:rsid w:val="00855C4E"/>
    <w:rsid w:val="008564EA"/>
    <w:rsid w:val="00857079"/>
    <w:rsid w:val="00860631"/>
    <w:rsid w:val="008636F9"/>
    <w:rsid w:val="0086476C"/>
    <w:rsid w:val="00865CE8"/>
    <w:rsid w:val="008664EB"/>
    <w:rsid w:val="00867D68"/>
    <w:rsid w:val="00870469"/>
    <w:rsid w:val="00873466"/>
    <w:rsid w:val="008744EA"/>
    <w:rsid w:val="00874DE9"/>
    <w:rsid w:val="00875F25"/>
    <w:rsid w:val="0087715C"/>
    <w:rsid w:val="00877D3C"/>
    <w:rsid w:val="00882E60"/>
    <w:rsid w:val="00882F96"/>
    <w:rsid w:val="008844A2"/>
    <w:rsid w:val="008845A9"/>
    <w:rsid w:val="008860FC"/>
    <w:rsid w:val="00886D3A"/>
    <w:rsid w:val="008874C1"/>
    <w:rsid w:val="00890513"/>
    <w:rsid w:val="0089070C"/>
    <w:rsid w:val="00890B68"/>
    <w:rsid w:val="0089260E"/>
    <w:rsid w:val="00892D49"/>
    <w:rsid w:val="008932A3"/>
    <w:rsid w:val="00893CB8"/>
    <w:rsid w:val="00894CA7"/>
    <w:rsid w:val="00894FB2"/>
    <w:rsid w:val="00895002"/>
    <w:rsid w:val="00895BD8"/>
    <w:rsid w:val="0089655B"/>
    <w:rsid w:val="00896C0D"/>
    <w:rsid w:val="00896D03"/>
    <w:rsid w:val="00896EB1"/>
    <w:rsid w:val="008972D1"/>
    <w:rsid w:val="00897BC8"/>
    <w:rsid w:val="008A0838"/>
    <w:rsid w:val="008A13E7"/>
    <w:rsid w:val="008A3F35"/>
    <w:rsid w:val="008A581A"/>
    <w:rsid w:val="008A5F7F"/>
    <w:rsid w:val="008A63E2"/>
    <w:rsid w:val="008A6630"/>
    <w:rsid w:val="008A6DB9"/>
    <w:rsid w:val="008A7D83"/>
    <w:rsid w:val="008B0154"/>
    <w:rsid w:val="008B1963"/>
    <w:rsid w:val="008B20D0"/>
    <w:rsid w:val="008B24F2"/>
    <w:rsid w:val="008B2769"/>
    <w:rsid w:val="008B37F0"/>
    <w:rsid w:val="008B3E4E"/>
    <w:rsid w:val="008B41BC"/>
    <w:rsid w:val="008B4702"/>
    <w:rsid w:val="008B65B4"/>
    <w:rsid w:val="008C0F54"/>
    <w:rsid w:val="008C1C56"/>
    <w:rsid w:val="008C5503"/>
    <w:rsid w:val="008C5726"/>
    <w:rsid w:val="008C798A"/>
    <w:rsid w:val="008D1C86"/>
    <w:rsid w:val="008D47F6"/>
    <w:rsid w:val="008D6371"/>
    <w:rsid w:val="008E1296"/>
    <w:rsid w:val="008E270A"/>
    <w:rsid w:val="008E672E"/>
    <w:rsid w:val="008E72E3"/>
    <w:rsid w:val="008F4B7D"/>
    <w:rsid w:val="008F4B82"/>
    <w:rsid w:val="009130AF"/>
    <w:rsid w:val="00913825"/>
    <w:rsid w:val="009140B9"/>
    <w:rsid w:val="009141C1"/>
    <w:rsid w:val="009148CA"/>
    <w:rsid w:val="00914EA8"/>
    <w:rsid w:val="0091664E"/>
    <w:rsid w:val="009169A4"/>
    <w:rsid w:val="009170B7"/>
    <w:rsid w:val="00920236"/>
    <w:rsid w:val="009219D9"/>
    <w:rsid w:val="0092287E"/>
    <w:rsid w:val="0092347C"/>
    <w:rsid w:val="0092472D"/>
    <w:rsid w:val="00925F58"/>
    <w:rsid w:val="009262AA"/>
    <w:rsid w:val="00926438"/>
    <w:rsid w:val="009323CA"/>
    <w:rsid w:val="0093291C"/>
    <w:rsid w:val="00932DD8"/>
    <w:rsid w:val="00933213"/>
    <w:rsid w:val="00933E80"/>
    <w:rsid w:val="009343D3"/>
    <w:rsid w:val="00937D2C"/>
    <w:rsid w:val="009411C1"/>
    <w:rsid w:val="00942366"/>
    <w:rsid w:val="00943329"/>
    <w:rsid w:val="00943ED3"/>
    <w:rsid w:val="009443D6"/>
    <w:rsid w:val="009445E7"/>
    <w:rsid w:val="0094654A"/>
    <w:rsid w:val="0094736B"/>
    <w:rsid w:val="0095004D"/>
    <w:rsid w:val="009515AA"/>
    <w:rsid w:val="00951DAA"/>
    <w:rsid w:val="009524D9"/>
    <w:rsid w:val="009526E8"/>
    <w:rsid w:val="00952AF7"/>
    <w:rsid w:val="00953DDB"/>
    <w:rsid w:val="00955094"/>
    <w:rsid w:val="00960B49"/>
    <w:rsid w:val="009648C3"/>
    <w:rsid w:val="00964DD4"/>
    <w:rsid w:val="009669F1"/>
    <w:rsid w:val="00966BA6"/>
    <w:rsid w:val="0096732C"/>
    <w:rsid w:val="009675A9"/>
    <w:rsid w:val="009714E6"/>
    <w:rsid w:val="00971553"/>
    <w:rsid w:val="009717A1"/>
    <w:rsid w:val="009774D1"/>
    <w:rsid w:val="00977737"/>
    <w:rsid w:val="00981C70"/>
    <w:rsid w:val="00982654"/>
    <w:rsid w:val="00982B60"/>
    <w:rsid w:val="00983A76"/>
    <w:rsid w:val="009878F0"/>
    <w:rsid w:val="00987AB7"/>
    <w:rsid w:val="00987FB6"/>
    <w:rsid w:val="00990761"/>
    <w:rsid w:val="00992467"/>
    <w:rsid w:val="009972A2"/>
    <w:rsid w:val="0099783F"/>
    <w:rsid w:val="009A0B29"/>
    <w:rsid w:val="009A106A"/>
    <w:rsid w:val="009A13D9"/>
    <w:rsid w:val="009A1711"/>
    <w:rsid w:val="009A181B"/>
    <w:rsid w:val="009A36DD"/>
    <w:rsid w:val="009A4508"/>
    <w:rsid w:val="009A6A40"/>
    <w:rsid w:val="009B1B6B"/>
    <w:rsid w:val="009B2A0E"/>
    <w:rsid w:val="009B462A"/>
    <w:rsid w:val="009B52AF"/>
    <w:rsid w:val="009B5606"/>
    <w:rsid w:val="009B603A"/>
    <w:rsid w:val="009B7956"/>
    <w:rsid w:val="009C057C"/>
    <w:rsid w:val="009C0945"/>
    <w:rsid w:val="009C0F33"/>
    <w:rsid w:val="009C1E6B"/>
    <w:rsid w:val="009C4651"/>
    <w:rsid w:val="009C5CDE"/>
    <w:rsid w:val="009C74AB"/>
    <w:rsid w:val="009D26B5"/>
    <w:rsid w:val="009D3151"/>
    <w:rsid w:val="009D5A7B"/>
    <w:rsid w:val="009D7CB0"/>
    <w:rsid w:val="009E013E"/>
    <w:rsid w:val="009E2682"/>
    <w:rsid w:val="009E44F2"/>
    <w:rsid w:val="009E4A2E"/>
    <w:rsid w:val="009E4D8D"/>
    <w:rsid w:val="009E6453"/>
    <w:rsid w:val="009F19E8"/>
    <w:rsid w:val="009F1C9C"/>
    <w:rsid w:val="009F272A"/>
    <w:rsid w:val="009F2830"/>
    <w:rsid w:val="009F3181"/>
    <w:rsid w:val="009F6EB6"/>
    <w:rsid w:val="009F790B"/>
    <w:rsid w:val="009F7EB5"/>
    <w:rsid w:val="00A01E81"/>
    <w:rsid w:val="00A04AD3"/>
    <w:rsid w:val="00A073CB"/>
    <w:rsid w:val="00A07D5A"/>
    <w:rsid w:val="00A11CAC"/>
    <w:rsid w:val="00A1419D"/>
    <w:rsid w:val="00A14C86"/>
    <w:rsid w:val="00A14CD4"/>
    <w:rsid w:val="00A1734E"/>
    <w:rsid w:val="00A17C3A"/>
    <w:rsid w:val="00A223EC"/>
    <w:rsid w:val="00A262DF"/>
    <w:rsid w:val="00A2684A"/>
    <w:rsid w:val="00A27EB6"/>
    <w:rsid w:val="00A30440"/>
    <w:rsid w:val="00A325AB"/>
    <w:rsid w:val="00A41316"/>
    <w:rsid w:val="00A45F59"/>
    <w:rsid w:val="00A5218C"/>
    <w:rsid w:val="00A52469"/>
    <w:rsid w:val="00A52E02"/>
    <w:rsid w:val="00A57EA4"/>
    <w:rsid w:val="00A60213"/>
    <w:rsid w:val="00A6114B"/>
    <w:rsid w:val="00A615E8"/>
    <w:rsid w:val="00A61C0E"/>
    <w:rsid w:val="00A645D8"/>
    <w:rsid w:val="00A670FB"/>
    <w:rsid w:val="00A72343"/>
    <w:rsid w:val="00A730DC"/>
    <w:rsid w:val="00A73A66"/>
    <w:rsid w:val="00A75687"/>
    <w:rsid w:val="00A76F02"/>
    <w:rsid w:val="00A77399"/>
    <w:rsid w:val="00A77981"/>
    <w:rsid w:val="00A82B9E"/>
    <w:rsid w:val="00A83597"/>
    <w:rsid w:val="00A841DE"/>
    <w:rsid w:val="00A8559D"/>
    <w:rsid w:val="00A931A3"/>
    <w:rsid w:val="00A9408A"/>
    <w:rsid w:val="00A96795"/>
    <w:rsid w:val="00A96A6A"/>
    <w:rsid w:val="00A96E27"/>
    <w:rsid w:val="00A97343"/>
    <w:rsid w:val="00AA1DAF"/>
    <w:rsid w:val="00AA236F"/>
    <w:rsid w:val="00AA2E90"/>
    <w:rsid w:val="00AA37BC"/>
    <w:rsid w:val="00AA4A29"/>
    <w:rsid w:val="00AA651C"/>
    <w:rsid w:val="00AA74C1"/>
    <w:rsid w:val="00AA7A1B"/>
    <w:rsid w:val="00AB236A"/>
    <w:rsid w:val="00AB498D"/>
    <w:rsid w:val="00AB4C96"/>
    <w:rsid w:val="00AB5122"/>
    <w:rsid w:val="00AB56C9"/>
    <w:rsid w:val="00AB6E43"/>
    <w:rsid w:val="00AB6F46"/>
    <w:rsid w:val="00AB7603"/>
    <w:rsid w:val="00AC45F1"/>
    <w:rsid w:val="00AC6BB2"/>
    <w:rsid w:val="00AD0524"/>
    <w:rsid w:val="00AD5BB8"/>
    <w:rsid w:val="00AE306C"/>
    <w:rsid w:val="00AE3402"/>
    <w:rsid w:val="00AE3668"/>
    <w:rsid w:val="00AE4E03"/>
    <w:rsid w:val="00AE53C0"/>
    <w:rsid w:val="00AE64EF"/>
    <w:rsid w:val="00AE7215"/>
    <w:rsid w:val="00AF2763"/>
    <w:rsid w:val="00AF2BA7"/>
    <w:rsid w:val="00AF306C"/>
    <w:rsid w:val="00AF420E"/>
    <w:rsid w:val="00AF6040"/>
    <w:rsid w:val="00AF653C"/>
    <w:rsid w:val="00AF7938"/>
    <w:rsid w:val="00B0030B"/>
    <w:rsid w:val="00B00681"/>
    <w:rsid w:val="00B00A5E"/>
    <w:rsid w:val="00B00E83"/>
    <w:rsid w:val="00B0395F"/>
    <w:rsid w:val="00B064A0"/>
    <w:rsid w:val="00B071DB"/>
    <w:rsid w:val="00B135D7"/>
    <w:rsid w:val="00B1388C"/>
    <w:rsid w:val="00B1397B"/>
    <w:rsid w:val="00B13FE9"/>
    <w:rsid w:val="00B14691"/>
    <w:rsid w:val="00B162CD"/>
    <w:rsid w:val="00B23279"/>
    <w:rsid w:val="00B2531F"/>
    <w:rsid w:val="00B2585A"/>
    <w:rsid w:val="00B25898"/>
    <w:rsid w:val="00B25B77"/>
    <w:rsid w:val="00B2629D"/>
    <w:rsid w:val="00B31011"/>
    <w:rsid w:val="00B316F7"/>
    <w:rsid w:val="00B34926"/>
    <w:rsid w:val="00B370B2"/>
    <w:rsid w:val="00B401C1"/>
    <w:rsid w:val="00B40456"/>
    <w:rsid w:val="00B40AF8"/>
    <w:rsid w:val="00B426C6"/>
    <w:rsid w:val="00B432FD"/>
    <w:rsid w:val="00B44219"/>
    <w:rsid w:val="00B45F40"/>
    <w:rsid w:val="00B524BD"/>
    <w:rsid w:val="00B53037"/>
    <w:rsid w:val="00B5315D"/>
    <w:rsid w:val="00B55FC5"/>
    <w:rsid w:val="00B60178"/>
    <w:rsid w:val="00B60EC4"/>
    <w:rsid w:val="00B61DE8"/>
    <w:rsid w:val="00B634D4"/>
    <w:rsid w:val="00B64313"/>
    <w:rsid w:val="00B64829"/>
    <w:rsid w:val="00B650A2"/>
    <w:rsid w:val="00B6548E"/>
    <w:rsid w:val="00B65667"/>
    <w:rsid w:val="00B66CB7"/>
    <w:rsid w:val="00B66CC0"/>
    <w:rsid w:val="00B7053E"/>
    <w:rsid w:val="00B71FC4"/>
    <w:rsid w:val="00B748E1"/>
    <w:rsid w:val="00B767AE"/>
    <w:rsid w:val="00B76BDF"/>
    <w:rsid w:val="00B76D6D"/>
    <w:rsid w:val="00B80D2B"/>
    <w:rsid w:val="00B82B8B"/>
    <w:rsid w:val="00B84330"/>
    <w:rsid w:val="00B875CA"/>
    <w:rsid w:val="00B87F2A"/>
    <w:rsid w:val="00B91356"/>
    <w:rsid w:val="00B94E68"/>
    <w:rsid w:val="00B973A1"/>
    <w:rsid w:val="00B97C78"/>
    <w:rsid w:val="00BA05F4"/>
    <w:rsid w:val="00BA13A5"/>
    <w:rsid w:val="00BA1CC0"/>
    <w:rsid w:val="00BA5F96"/>
    <w:rsid w:val="00BA7A2C"/>
    <w:rsid w:val="00BB096A"/>
    <w:rsid w:val="00BB142E"/>
    <w:rsid w:val="00BB226D"/>
    <w:rsid w:val="00BB24FD"/>
    <w:rsid w:val="00BB34CA"/>
    <w:rsid w:val="00BB3B00"/>
    <w:rsid w:val="00BB3B04"/>
    <w:rsid w:val="00BB5FF4"/>
    <w:rsid w:val="00BC00A7"/>
    <w:rsid w:val="00BC04D5"/>
    <w:rsid w:val="00BC13CC"/>
    <w:rsid w:val="00BC32F2"/>
    <w:rsid w:val="00BC4BE2"/>
    <w:rsid w:val="00BC6211"/>
    <w:rsid w:val="00BC7E45"/>
    <w:rsid w:val="00BD0BA8"/>
    <w:rsid w:val="00BD1AF4"/>
    <w:rsid w:val="00BD32FB"/>
    <w:rsid w:val="00BD3693"/>
    <w:rsid w:val="00BD3FA1"/>
    <w:rsid w:val="00BD7CA7"/>
    <w:rsid w:val="00BE1260"/>
    <w:rsid w:val="00BE3AB7"/>
    <w:rsid w:val="00BE41AA"/>
    <w:rsid w:val="00BE4FA9"/>
    <w:rsid w:val="00BE7F85"/>
    <w:rsid w:val="00BF0B27"/>
    <w:rsid w:val="00BF33EF"/>
    <w:rsid w:val="00BF363C"/>
    <w:rsid w:val="00BF5CE2"/>
    <w:rsid w:val="00BF6CA6"/>
    <w:rsid w:val="00BF72BA"/>
    <w:rsid w:val="00C01B26"/>
    <w:rsid w:val="00C01B39"/>
    <w:rsid w:val="00C01ECD"/>
    <w:rsid w:val="00C02783"/>
    <w:rsid w:val="00C04D0B"/>
    <w:rsid w:val="00C05052"/>
    <w:rsid w:val="00C07579"/>
    <w:rsid w:val="00C10F0A"/>
    <w:rsid w:val="00C12EFE"/>
    <w:rsid w:val="00C14310"/>
    <w:rsid w:val="00C1528C"/>
    <w:rsid w:val="00C17C3A"/>
    <w:rsid w:val="00C228CA"/>
    <w:rsid w:val="00C22EE7"/>
    <w:rsid w:val="00C253A1"/>
    <w:rsid w:val="00C27776"/>
    <w:rsid w:val="00C27961"/>
    <w:rsid w:val="00C27E06"/>
    <w:rsid w:val="00C328EF"/>
    <w:rsid w:val="00C35B2B"/>
    <w:rsid w:val="00C36857"/>
    <w:rsid w:val="00C40E95"/>
    <w:rsid w:val="00C41006"/>
    <w:rsid w:val="00C427E3"/>
    <w:rsid w:val="00C44C76"/>
    <w:rsid w:val="00C45B53"/>
    <w:rsid w:val="00C4790A"/>
    <w:rsid w:val="00C47DFF"/>
    <w:rsid w:val="00C50538"/>
    <w:rsid w:val="00C50E71"/>
    <w:rsid w:val="00C54129"/>
    <w:rsid w:val="00C56AE3"/>
    <w:rsid w:val="00C610B0"/>
    <w:rsid w:val="00C6227C"/>
    <w:rsid w:val="00C66CC9"/>
    <w:rsid w:val="00C675E2"/>
    <w:rsid w:val="00C70B5F"/>
    <w:rsid w:val="00C70F5B"/>
    <w:rsid w:val="00C737DC"/>
    <w:rsid w:val="00C742C8"/>
    <w:rsid w:val="00C7535D"/>
    <w:rsid w:val="00C82545"/>
    <w:rsid w:val="00C828B0"/>
    <w:rsid w:val="00C83561"/>
    <w:rsid w:val="00C84709"/>
    <w:rsid w:val="00C86473"/>
    <w:rsid w:val="00C879D3"/>
    <w:rsid w:val="00C90043"/>
    <w:rsid w:val="00C90C6F"/>
    <w:rsid w:val="00C91D90"/>
    <w:rsid w:val="00C91F35"/>
    <w:rsid w:val="00C9379B"/>
    <w:rsid w:val="00C937ED"/>
    <w:rsid w:val="00C94CE9"/>
    <w:rsid w:val="00C9694F"/>
    <w:rsid w:val="00C978AB"/>
    <w:rsid w:val="00CA07E7"/>
    <w:rsid w:val="00CA112C"/>
    <w:rsid w:val="00CA2DA3"/>
    <w:rsid w:val="00CA2F0C"/>
    <w:rsid w:val="00CA4851"/>
    <w:rsid w:val="00CA74AC"/>
    <w:rsid w:val="00CB0612"/>
    <w:rsid w:val="00CB0C8A"/>
    <w:rsid w:val="00CB10F1"/>
    <w:rsid w:val="00CB1375"/>
    <w:rsid w:val="00CB2772"/>
    <w:rsid w:val="00CB3DAF"/>
    <w:rsid w:val="00CB60B6"/>
    <w:rsid w:val="00CB629F"/>
    <w:rsid w:val="00CB6A6E"/>
    <w:rsid w:val="00CB6EF4"/>
    <w:rsid w:val="00CC118C"/>
    <w:rsid w:val="00CC1A11"/>
    <w:rsid w:val="00CC1BC1"/>
    <w:rsid w:val="00CC6B03"/>
    <w:rsid w:val="00CD0AEC"/>
    <w:rsid w:val="00CD10EB"/>
    <w:rsid w:val="00CD1E76"/>
    <w:rsid w:val="00CD2441"/>
    <w:rsid w:val="00CD3C44"/>
    <w:rsid w:val="00CD3F6E"/>
    <w:rsid w:val="00CD40BC"/>
    <w:rsid w:val="00CD4B81"/>
    <w:rsid w:val="00CD643D"/>
    <w:rsid w:val="00CE2A21"/>
    <w:rsid w:val="00CE3F54"/>
    <w:rsid w:val="00CE3F8F"/>
    <w:rsid w:val="00CE4A3E"/>
    <w:rsid w:val="00CE6CB2"/>
    <w:rsid w:val="00CF06AE"/>
    <w:rsid w:val="00CF10AF"/>
    <w:rsid w:val="00CF2402"/>
    <w:rsid w:val="00CF3496"/>
    <w:rsid w:val="00CF4274"/>
    <w:rsid w:val="00CF5A27"/>
    <w:rsid w:val="00CF5CE8"/>
    <w:rsid w:val="00CF666C"/>
    <w:rsid w:val="00CF6B8A"/>
    <w:rsid w:val="00D01E9D"/>
    <w:rsid w:val="00D02679"/>
    <w:rsid w:val="00D0278F"/>
    <w:rsid w:val="00D03164"/>
    <w:rsid w:val="00D038EC"/>
    <w:rsid w:val="00D03F0F"/>
    <w:rsid w:val="00D148FE"/>
    <w:rsid w:val="00D20BA9"/>
    <w:rsid w:val="00D22BFC"/>
    <w:rsid w:val="00D22D6A"/>
    <w:rsid w:val="00D24C85"/>
    <w:rsid w:val="00D25461"/>
    <w:rsid w:val="00D30343"/>
    <w:rsid w:val="00D31166"/>
    <w:rsid w:val="00D325EC"/>
    <w:rsid w:val="00D36137"/>
    <w:rsid w:val="00D3650D"/>
    <w:rsid w:val="00D36CBD"/>
    <w:rsid w:val="00D377A4"/>
    <w:rsid w:val="00D42A9D"/>
    <w:rsid w:val="00D44971"/>
    <w:rsid w:val="00D465D5"/>
    <w:rsid w:val="00D501BC"/>
    <w:rsid w:val="00D5040E"/>
    <w:rsid w:val="00D5240C"/>
    <w:rsid w:val="00D54945"/>
    <w:rsid w:val="00D55969"/>
    <w:rsid w:val="00D567AB"/>
    <w:rsid w:val="00D571C6"/>
    <w:rsid w:val="00D5786C"/>
    <w:rsid w:val="00D57C94"/>
    <w:rsid w:val="00D57F60"/>
    <w:rsid w:val="00D6175A"/>
    <w:rsid w:val="00D644B7"/>
    <w:rsid w:val="00D647F2"/>
    <w:rsid w:val="00D651FB"/>
    <w:rsid w:val="00D67485"/>
    <w:rsid w:val="00D7058E"/>
    <w:rsid w:val="00D708F8"/>
    <w:rsid w:val="00D70F48"/>
    <w:rsid w:val="00D74F6D"/>
    <w:rsid w:val="00D75AA6"/>
    <w:rsid w:val="00D76538"/>
    <w:rsid w:val="00D76D32"/>
    <w:rsid w:val="00D80300"/>
    <w:rsid w:val="00D839AA"/>
    <w:rsid w:val="00D848EE"/>
    <w:rsid w:val="00D851AB"/>
    <w:rsid w:val="00D8538D"/>
    <w:rsid w:val="00D92313"/>
    <w:rsid w:val="00D928C8"/>
    <w:rsid w:val="00D93550"/>
    <w:rsid w:val="00D93A8B"/>
    <w:rsid w:val="00D9587F"/>
    <w:rsid w:val="00D961EB"/>
    <w:rsid w:val="00DA23B0"/>
    <w:rsid w:val="00DA394E"/>
    <w:rsid w:val="00DA3959"/>
    <w:rsid w:val="00DA5A96"/>
    <w:rsid w:val="00DB12EF"/>
    <w:rsid w:val="00DB45D8"/>
    <w:rsid w:val="00DB663A"/>
    <w:rsid w:val="00DC072B"/>
    <w:rsid w:val="00DC1920"/>
    <w:rsid w:val="00DC79F9"/>
    <w:rsid w:val="00DD1D52"/>
    <w:rsid w:val="00DD257B"/>
    <w:rsid w:val="00DE2554"/>
    <w:rsid w:val="00DE61F3"/>
    <w:rsid w:val="00DE7623"/>
    <w:rsid w:val="00DF482B"/>
    <w:rsid w:val="00DF67C7"/>
    <w:rsid w:val="00DF6838"/>
    <w:rsid w:val="00DF7314"/>
    <w:rsid w:val="00E04D6B"/>
    <w:rsid w:val="00E13679"/>
    <w:rsid w:val="00E14E12"/>
    <w:rsid w:val="00E171BC"/>
    <w:rsid w:val="00E2212C"/>
    <w:rsid w:val="00E2217E"/>
    <w:rsid w:val="00E2306A"/>
    <w:rsid w:val="00E23CA2"/>
    <w:rsid w:val="00E24F81"/>
    <w:rsid w:val="00E2557A"/>
    <w:rsid w:val="00E2559D"/>
    <w:rsid w:val="00E27261"/>
    <w:rsid w:val="00E274D8"/>
    <w:rsid w:val="00E342CC"/>
    <w:rsid w:val="00E36C66"/>
    <w:rsid w:val="00E37950"/>
    <w:rsid w:val="00E37A8F"/>
    <w:rsid w:val="00E40C93"/>
    <w:rsid w:val="00E4247E"/>
    <w:rsid w:val="00E42B68"/>
    <w:rsid w:val="00E43703"/>
    <w:rsid w:val="00E43C26"/>
    <w:rsid w:val="00E43FA8"/>
    <w:rsid w:val="00E44639"/>
    <w:rsid w:val="00E46AEC"/>
    <w:rsid w:val="00E46CEA"/>
    <w:rsid w:val="00E4702E"/>
    <w:rsid w:val="00E474F0"/>
    <w:rsid w:val="00E47A9A"/>
    <w:rsid w:val="00E50993"/>
    <w:rsid w:val="00E516F3"/>
    <w:rsid w:val="00E528F7"/>
    <w:rsid w:val="00E528F9"/>
    <w:rsid w:val="00E536DC"/>
    <w:rsid w:val="00E55684"/>
    <w:rsid w:val="00E602D0"/>
    <w:rsid w:val="00E603C8"/>
    <w:rsid w:val="00E64DB8"/>
    <w:rsid w:val="00E64EB9"/>
    <w:rsid w:val="00E64F4D"/>
    <w:rsid w:val="00E6613F"/>
    <w:rsid w:val="00E6770F"/>
    <w:rsid w:val="00E71440"/>
    <w:rsid w:val="00E72196"/>
    <w:rsid w:val="00E72615"/>
    <w:rsid w:val="00E736EF"/>
    <w:rsid w:val="00E742A9"/>
    <w:rsid w:val="00E742C0"/>
    <w:rsid w:val="00E753C8"/>
    <w:rsid w:val="00E75858"/>
    <w:rsid w:val="00E75ECD"/>
    <w:rsid w:val="00E76F05"/>
    <w:rsid w:val="00E848E3"/>
    <w:rsid w:val="00E86A90"/>
    <w:rsid w:val="00E9112A"/>
    <w:rsid w:val="00E94C91"/>
    <w:rsid w:val="00E95F9A"/>
    <w:rsid w:val="00E976A2"/>
    <w:rsid w:val="00E97CBF"/>
    <w:rsid w:val="00EA58FE"/>
    <w:rsid w:val="00EA6897"/>
    <w:rsid w:val="00EA6EF0"/>
    <w:rsid w:val="00EB0855"/>
    <w:rsid w:val="00EB0FF8"/>
    <w:rsid w:val="00EB1C37"/>
    <w:rsid w:val="00EB3490"/>
    <w:rsid w:val="00EB4F0F"/>
    <w:rsid w:val="00EC41C3"/>
    <w:rsid w:val="00EC7CB1"/>
    <w:rsid w:val="00EC7DBC"/>
    <w:rsid w:val="00EC7F7D"/>
    <w:rsid w:val="00ED2780"/>
    <w:rsid w:val="00ED3258"/>
    <w:rsid w:val="00ED3491"/>
    <w:rsid w:val="00ED61FF"/>
    <w:rsid w:val="00ED6446"/>
    <w:rsid w:val="00ED688E"/>
    <w:rsid w:val="00EE17DC"/>
    <w:rsid w:val="00EE18B8"/>
    <w:rsid w:val="00EE2870"/>
    <w:rsid w:val="00EE48CC"/>
    <w:rsid w:val="00EE617F"/>
    <w:rsid w:val="00EF008E"/>
    <w:rsid w:val="00EF1834"/>
    <w:rsid w:val="00EF1A73"/>
    <w:rsid w:val="00EF589B"/>
    <w:rsid w:val="00EF62C0"/>
    <w:rsid w:val="00EF66C8"/>
    <w:rsid w:val="00EF6CF6"/>
    <w:rsid w:val="00EF7D2D"/>
    <w:rsid w:val="00F02B3A"/>
    <w:rsid w:val="00F03302"/>
    <w:rsid w:val="00F03716"/>
    <w:rsid w:val="00F048C4"/>
    <w:rsid w:val="00F04BC9"/>
    <w:rsid w:val="00F11B2B"/>
    <w:rsid w:val="00F14BBD"/>
    <w:rsid w:val="00F205E9"/>
    <w:rsid w:val="00F20F1B"/>
    <w:rsid w:val="00F24605"/>
    <w:rsid w:val="00F253B2"/>
    <w:rsid w:val="00F25470"/>
    <w:rsid w:val="00F27237"/>
    <w:rsid w:val="00F277D7"/>
    <w:rsid w:val="00F2792C"/>
    <w:rsid w:val="00F27E28"/>
    <w:rsid w:val="00F307A2"/>
    <w:rsid w:val="00F3248D"/>
    <w:rsid w:val="00F32C8E"/>
    <w:rsid w:val="00F333DD"/>
    <w:rsid w:val="00F34226"/>
    <w:rsid w:val="00F3628D"/>
    <w:rsid w:val="00F363E0"/>
    <w:rsid w:val="00F36E63"/>
    <w:rsid w:val="00F36E82"/>
    <w:rsid w:val="00F404DF"/>
    <w:rsid w:val="00F417FC"/>
    <w:rsid w:val="00F424B0"/>
    <w:rsid w:val="00F436D8"/>
    <w:rsid w:val="00F43F3B"/>
    <w:rsid w:val="00F44A8F"/>
    <w:rsid w:val="00F546BC"/>
    <w:rsid w:val="00F60507"/>
    <w:rsid w:val="00F60736"/>
    <w:rsid w:val="00F61C69"/>
    <w:rsid w:val="00F63839"/>
    <w:rsid w:val="00F6459B"/>
    <w:rsid w:val="00F66FF2"/>
    <w:rsid w:val="00F67FB8"/>
    <w:rsid w:val="00F70A8F"/>
    <w:rsid w:val="00F7139A"/>
    <w:rsid w:val="00F71D53"/>
    <w:rsid w:val="00F72052"/>
    <w:rsid w:val="00F74174"/>
    <w:rsid w:val="00F75079"/>
    <w:rsid w:val="00F76A99"/>
    <w:rsid w:val="00F77FAF"/>
    <w:rsid w:val="00F80395"/>
    <w:rsid w:val="00F81F49"/>
    <w:rsid w:val="00F8456D"/>
    <w:rsid w:val="00F8763E"/>
    <w:rsid w:val="00F90D02"/>
    <w:rsid w:val="00F92FD1"/>
    <w:rsid w:val="00F93467"/>
    <w:rsid w:val="00F94484"/>
    <w:rsid w:val="00F953DC"/>
    <w:rsid w:val="00F96716"/>
    <w:rsid w:val="00F97AF0"/>
    <w:rsid w:val="00F97E01"/>
    <w:rsid w:val="00FA1D86"/>
    <w:rsid w:val="00FA283E"/>
    <w:rsid w:val="00FA3F38"/>
    <w:rsid w:val="00FA62A0"/>
    <w:rsid w:val="00FA71AC"/>
    <w:rsid w:val="00FB02AC"/>
    <w:rsid w:val="00FB0F9F"/>
    <w:rsid w:val="00FB4C93"/>
    <w:rsid w:val="00FB745B"/>
    <w:rsid w:val="00FB7EF9"/>
    <w:rsid w:val="00FC013E"/>
    <w:rsid w:val="00FC2844"/>
    <w:rsid w:val="00FC293A"/>
    <w:rsid w:val="00FC3BE2"/>
    <w:rsid w:val="00FC4EEE"/>
    <w:rsid w:val="00FD0160"/>
    <w:rsid w:val="00FD0B0D"/>
    <w:rsid w:val="00FD23DE"/>
    <w:rsid w:val="00FD2C77"/>
    <w:rsid w:val="00FD35EB"/>
    <w:rsid w:val="00FD3700"/>
    <w:rsid w:val="00FD4516"/>
    <w:rsid w:val="00FD4C3E"/>
    <w:rsid w:val="00FD6064"/>
    <w:rsid w:val="00FD6E1A"/>
    <w:rsid w:val="00FE0A5A"/>
    <w:rsid w:val="00FE184D"/>
    <w:rsid w:val="00FE3845"/>
    <w:rsid w:val="00FE3C8B"/>
    <w:rsid w:val="00FE4D42"/>
    <w:rsid w:val="00FE5113"/>
    <w:rsid w:val="00FE5B60"/>
    <w:rsid w:val="00FE67AA"/>
    <w:rsid w:val="00FF3086"/>
    <w:rsid w:val="00FF5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9D5EEE"/>
  <w15:docId w15:val="{84CB119D-E443-4BDB-8B83-9CC2562C5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61C1"/>
    <w:rPr>
      <w:sz w:val="24"/>
    </w:rPr>
  </w:style>
  <w:style w:type="paragraph" w:styleId="Heading1">
    <w:name w:val="heading 1"/>
    <w:basedOn w:val="Normal"/>
    <w:next w:val="Normal"/>
    <w:link w:val="Heading1Char"/>
    <w:uiPriority w:val="9"/>
    <w:qFormat/>
    <w:rsid w:val="005261C1"/>
    <w:pPr>
      <w:keepNext/>
      <w:keepLines/>
      <w:spacing w:before="240" w:after="0"/>
      <w:outlineLvl w:val="0"/>
    </w:pPr>
    <w:rPr>
      <w:rFonts w:asciiTheme="majorHAnsi" w:eastAsiaTheme="majorEastAsia" w:hAnsiTheme="majorHAnsi" w:cstheme="majorBidi"/>
      <w:color w:val="008FD5"/>
      <w:sz w:val="36"/>
      <w:szCs w:val="32"/>
    </w:rPr>
  </w:style>
  <w:style w:type="paragraph" w:styleId="Heading2">
    <w:name w:val="heading 2"/>
    <w:basedOn w:val="Normal"/>
    <w:next w:val="Normal"/>
    <w:link w:val="Heading2Char"/>
    <w:uiPriority w:val="9"/>
    <w:semiHidden/>
    <w:unhideWhenUsed/>
    <w:qFormat/>
    <w:rsid w:val="0011191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05111"/>
    <w:pPr>
      <w:spacing w:after="0" w:line="240" w:lineRule="auto"/>
    </w:pPr>
    <w:rPr>
      <w:rFonts w:eastAsiaTheme="minorEastAsia"/>
    </w:rPr>
  </w:style>
  <w:style w:type="character" w:customStyle="1" w:styleId="NoSpacingChar">
    <w:name w:val="No Spacing Char"/>
    <w:basedOn w:val="DefaultParagraphFont"/>
    <w:link w:val="NoSpacing"/>
    <w:uiPriority w:val="1"/>
    <w:rsid w:val="00005111"/>
    <w:rPr>
      <w:rFonts w:eastAsiaTheme="minorEastAsia"/>
    </w:rPr>
  </w:style>
  <w:style w:type="character" w:customStyle="1" w:styleId="Heading1Char">
    <w:name w:val="Heading 1 Char"/>
    <w:basedOn w:val="DefaultParagraphFont"/>
    <w:link w:val="Heading1"/>
    <w:uiPriority w:val="9"/>
    <w:rsid w:val="005261C1"/>
    <w:rPr>
      <w:rFonts w:asciiTheme="majorHAnsi" w:eastAsiaTheme="majorEastAsia" w:hAnsiTheme="majorHAnsi" w:cstheme="majorBidi"/>
      <w:color w:val="008FD5"/>
      <w:sz w:val="36"/>
      <w:szCs w:val="32"/>
    </w:rPr>
  </w:style>
  <w:style w:type="paragraph" w:styleId="ListParagraph">
    <w:name w:val="List Paragraph"/>
    <w:basedOn w:val="Normal"/>
    <w:uiPriority w:val="34"/>
    <w:qFormat/>
    <w:rsid w:val="00005111"/>
    <w:pPr>
      <w:ind w:left="720"/>
      <w:contextualSpacing/>
    </w:pPr>
  </w:style>
  <w:style w:type="paragraph" w:styleId="Header">
    <w:name w:val="header"/>
    <w:basedOn w:val="Normal"/>
    <w:link w:val="HeaderChar"/>
    <w:uiPriority w:val="99"/>
    <w:unhideWhenUsed/>
    <w:rsid w:val="00171C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1C8E"/>
    <w:rPr>
      <w:sz w:val="24"/>
    </w:rPr>
  </w:style>
  <w:style w:type="paragraph" w:styleId="Footer">
    <w:name w:val="footer"/>
    <w:basedOn w:val="Normal"/>
    <w:link w:val="FooterChar"/>
    <w:uiPriority w:val="99"/>
    <w:unhideWhenUsed/>
    <w:rsid w:val="00171C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1C8E"/>
    <w:rPr>
      <w:sz w:val="24"/>
    </w:rPr>
  </w:style>
  <w:style w:type="character" w:styleId="IntenseEmphasis">
    <w:name w:val="Intense Emphasis"/>
    <w:basedOn w:val="DefaultParagraphFont"/>
    <w:uiPriority w:val="21"/>
    <w:qFormat/>
    <w:rsid w:val="00460436"/>
    <w:rPr>
      <w:i/>
      <w:iCs/>
      <w:color w:val="008FD5"/>
    </w:rPr>
  </w:style>
  <w:style w:type="character" w:styleId="Hyperlink">
    <w:name w:val="Hyperlink"/>
    <w:basedOn w:val="DefaultParagraphFont"/>
    <w:uiPriority w:val="99"/>
    <w:unhideWhenUsed/>
    <w:rsid w:val="00230D29"/>
    <w:rPr>
      <w:color w:val="0563C1" w:themeColor="hyperlink"/>
      <w:u w:val="single"/>
    </w:rPr>
  </w:style>
  <w:style w:type="paragraph" w:styleId="FootnoteText">
    <w:name w:val="footnote text"/>
    <w:basedOn w:val="Normal"/>
    <w:link w:val="FootnoteTextChar"/>
    <w:uiPriority w:val="99"/>
    <w:semiHidden/>
    <w:unhideWhenUsed/>
    <w:rsid w:val="00D644B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644B7"/>
    <w:rPr>
      <w:sz w:val="20"/>
      <w:szCs w:val="20"/>
    </w:rPr>
  </w:style>
  <w:style w:type="character" w:styleId="FootnoteReference">
    <w:name w:val="footnote reference"/>
    <w:basedOn w:val="DefaultParagraphFont"/>
    <w:uiPriority w:val="99"/>
    <w:semiHidden/>
    <w:unhideWhenUsed/>
    <w:rsid w:val="00D644B7"/>
    <w:rPr>
      <w:vertAlign w:val="superscript"/>
    </w:rPr>
  </w:style>
  <w:style w:type="paragraph" w:styleId="BalloonText">
    <w:name w:val="Balloon Text"/>
    <w:basedOn w:val="Normal"/>
    <w:link w:val="BalloonTextChar"/>
    <w:uiPriority w:val="99"/>
    <w:semiHidden/>
    <w:unhideWhenUsed/>
    <w:rsid w:val="003414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4E7"/>
    <w:rPr>
      <w:rFonts w:ascii="Segoe UI" w:hAnsi="Segoe UI" w:cs="Segoe UI"/>
      <w:sz w:val="18"/>
      <w:szCs w:val="18"/>
    </w:rPr>
  </w:style>
  <w:style w:type="character" w:customStyle="1" w:styleId="UnresolvedMention1">
    <w:name w:val="Unresolved Mention1"/>
    <w:basedOn w:val="DefaultParagraphFont"/>
    <w:uiPriority w:val="99"/>
    <w:semiHidden/>
    <w:unhideWhenUsed/>
    <w:rsid w:val="00E602D0"/>
    <w:rPr>
      <w:color w:val="605E5C"/>
      <w:shd w:val="clear" w:color="auto" w:fill="E1DFDD"/>
    </w:rPr>
  </w:style>
  <w:style w:type="character" w:styleId="CommentReference">
    <w:name w:val="annotation reference"/>
    <w:basedOn w:val="DefaultParagraphFont"/>
    <w:uiPriority w:val="99"/>
    <w:semiHidden/>
    <w:unhideWhenUsed/>
    <w:rsid w:val="004709B0"/>
    <w:rPr>
      <w:sz w:val="16"/>
      <w:szCs w:val="16"/>
    </w:rPr>
  </w:style>
  <w:style w:type="paragraph" w:styleId="CommentText">
    <w:name w:val="annotation text"/>
    <w:basedOn w:val="Normal"/>
    <w:link w:val="CommentTextChar"/>
    <w:uiPriority w:val="99"/>
    <w:semiHidden/>
    <w:unhideWhenUsed/>
    <w:rsid w:val="004709B0"/>
    <w:pPr>
      <w:spacing w:line="240" w:lineRule="auto"/>
    </w:pPr>
    <w:rPr>
      <w:sz w:val="20"/>
      <w:szCs w:val="20"/>
    </w:rPr>
  </w:style>
  <w:style w:type="character" w:customStyle="1" w:styleId="CommentTextChar">
    <w:name w:val="Comment Text Char"/>
    <w:basedOn w:val="DefaultParagraphFont"/>
    <w:link w:val="CommentText"/>
    <w:uiPriority w:val="99"/>
    <w:semiHidden/>
    <w:rsid w:val="004709B0"/>
    <w:rPr>
      <w:sz w:val="20"/>
      <w:szCs w:val="20"/>
    </w:rPr>
  </w:style>
  <w:style w:type="paragraph" w:styleId="CommentSubject">
    <w:name w:val="annotation subject"/>
    <w:basedOn w:val="CommentText"/>
    <w:next w:val="CommentText"/>
    <w:link w:val="CommentSubjectChar"/>
    <w:uiPriority w:val="99"/>
    <w:semiHidden/>
    <w:unhideWhenUsed/>
    <w:rsid w:val="004709B0"/>
    <w:rPr>
      <w:b/>
      <w:bCs/>
    </w:rPr>
  </w:style>
  <w:style w:type="character" w:customStyle="1" w:styleId="CommentSubjectChar">
    <w:name w:val="Comment Subject Char"/>
    <w:basedOn w:val="CommentTextChar"/>
    <w:link w:val="CommentSubject"/>
    <w:uiPriority w:val="99"/>
    <w:semiHidden/>
    <w:rsid w:val="004709B0"/>
    <w:rPr>
      <w:b/>
      <w:bCs/>
      <w:sz w:val="20"/>
      <w:szCs w:val="20"/>
    </w:rPr>
  </w:style>
  <w:style w:type="paragraph" w:styleId="Revision">
    <w:name w:val="Revision"/>
    <w:hidden/>
    <w:uiPriority w:val="99"/>
    <w:semiHidden/>
    <w:rsid w:val="00773B5B"/>
    <w:pPr>
      <w:spacing w:after="0" w:line="240" w:lineRule="auto"/>
    </w:pPr>
    <w:rPr>
      <w:sz w:val="24"/>
    </w:rPr>
  </w:style>
  <w:style w:type="paragraph" w:styleId="EndnoteText">
    <w:name w:val="endnote text"/>
    <w:basedOn w:val="Normal"/>
    <w:link w:val="EndnoteTextChar"/>
    <w:uiPriority w:val="99"/>
    <w:semiHidden/>
    <w:unhideWhenUsed/>
    <w:rsid w:val="00BC621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C6211"/>
    <w:rPr>
      <w:sz w:val="20"/>
      <w:szCs w:val="20"/>
    </w:rPr>
  </w:style>
  <w:style w:type="character" w:styleId="EndnoteReference">
    <w:name w:val="endnote reference"/>
    <w:basedOn w:val="DefaultParagraphFont"/>
    <w:uiPriority w:val="99"/>
    <w:semiHidden/>
    <w:unhideWhenUsed/>
    <w:rsid w:val="00BC6211"/>
    <w:rPr>
      <w:vertAlign w:val="superscript"/>
    </w:rPr>
  </w:style>
  <w:style w:type="character" w:styleId="FollowedHyperlink">
    <w:name w:val="FollowedHyperlink"/>
    <w:basedOn w:val="DefaultParagraphFont"/>
    <w:uiPriority w:val="99"/>
    <w:semiHidden/>
    <w:unhideWhenUsed/>
    <w:rsid w:val="00CE6CB2"/>
    <w:rPr>
      <w:color w:val="954F72" w:themeColor="followedHyperlink"/>
      <w:u w:val="single"/>
    </w:rPr>
  </w:style>
  <w:style w:type="table" w:styleId="TableGrid">
    <w:name w:val="Table Grid"/>
    <w:basedOn w:val="TableNormal"/>
    <w:uiPriority w:val="39"/>
    <w:rsid w:val="005D1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0F5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617E5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Heading2Char">
    <w:name w:val="Heading 2 Char"/>
    <w:basedOn w:val="DefaultParagraphFont"/>
    <w:link w:val="Heading2"/>
    <w:uiPriority w:val="9"/>
    <w:semiHidden/>
    <w:rsid w:val="00111911"/>
    <w:rPr>
      <w:rFonts w:asciiTheme="majorHAnsi" w:eastAsiaTheme="majorEastAsia" w:hAnsiTheme="majorHAnsi" w:cstheme="majorBidi"/>
      <w:color w:val="2E74B5" w:themeColor="accent1" w:themeShade="BF"/>
      <w:sz w:val="26"/>
      <w:szCs w:val="26"/>
    </w:rPr>
  </w:style>
  <w:style w:type="paragraph" w:customStyle="1" w:styleId="H2-NoTOCmpi">
    <w:name w:val="H2 - No TOC_mpi"/>
    <w:link w:val="H2-NoTOCmpiChar"/>
    <w:qFormat/>
    <w:rsid w:val="004D1BCA"/>
    <w:pPr>
      <w:pBdr>
        <w:bottom w:val="single" w:sz="4" w:space="1" w:color="auto"/>
      </w:pBdr>
    </w:pPr>
    <w:rPr>
      <w:rFonts w:ascii="Times New Roman" w:eastAsia="Times New Roman" w:hAnsi="Times New Roman" w:cs="Times New Roman"/>
      <w:snapToGrid w:val="0"/>
      <w:spacing w:val="15"/>
      <w:sz w:val="24"/>
      <w:szCs w:val="24"/>
    </w:rPr>
  </w:style>
  <w:style w:type="character" w:customStyle="1" w:styleId="H2-NoTOCmpiChar">
    <w:name w:val="H2 - No TOC_mpi Char"/>
    <w:basedOn w:val="DefaultParagraphFont"/>
    <w:link w:val="H2-NoTOCmpi"/>
    <w:rsid w:val="004D1BCA"/>
    <w:rPr>
      <w:rFonts w:ascii="Times New Roman" w:eastAsia="Times New Roman" w:hAnsi="Times New Roman" w:cs="Times New Roman"/>
      <w:snapToGrid w:val="0"/>
      <w:spacing w:val="15"/>
      <w:sz w:val="24"/>
      <w:szCs w:val="24"/>
    </w:rPr>
  </w:style>
  <w:style w:type="character" w:styleId="UnresolvedMention">
    <w:name w:val="Unresolved Mention"/>
    <w:basedOn w:val="DefaultParagraphFont"/>
    <w:uiPriority w:val="99"/>
    <w:semiHidden/>
    <w:unhideWhenUsed/>
    <w:rsid w:val="00611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7830">
      <w:bodyDiv w:val="1"/>
      <w:marLeft w:val="0"/>
      <w:marRight w:val="0"/>
      <w:marTop w:val="0"/>
      <w:marBottom w:val="0"/>
      <w:divBdr>
        <w:top w:val="none" w:sz="0" w:space="0" w:color="auto"/>
        <w:left w:val="none" w:sz="0" w:space="0" w:color="auto"/>
        <w:bottom w:val="none" w:sz="0" w:space="0" w:color="auto"/>
        <w:right w:val="none" w:sz="0" w:space="0" w:color="auto"/>
      </w:divBdr>
    </w:div>
    <w:div w:id="18431151">
      <w:bodyDiv w:val="1"/>
      <w:marLeft w:val="0"/>
      <w:marRight w:val="0"/>
      <w:marTop w:val="0"/>
      <w:marBottom w:val="0"/>
      <w:divBdr>
        <w:top w:val="none" w:sz="0" w:space="0" w:color="auto"/>
        <w:left w:val="none" w:sz="0" w:space="0" w:color="auto"/>
        <w:bottom w:val="none" w:sz="0" w:space="0" w:color="auto"/>
        <w:right w:val="none" w:sz="0" w:space="0" w:color="auto"/>
      </w:divBdr>
    </w:div>
    <w:div w:id="29913422">
      <w:bodyDiv w:val="1"/>
      <w:marLeft w:val="0"/>
      <w:marRight w:val="0"/>
      <w:marTop w:val="0"/>
      <w:marBottom w:val="0"/>
      <w:divBdr>
        <w:top w:val="none" w:sz="0" w:space="0" w:color="auto"/>
        <w:left w:val="none" w:sz="0" w:space="0" w:color="auto"/>
        <w:bottom w:val="none" w:sz="0" w:space="0" w:color="auto"/>
        <w:right w:val="none" w:sz="0" w:space="0" w:color="auto"/>
      </w:divBdr>
    </w:div>
    <w:div w:id="55322555">
      <w:bodyDiv w:val="1"/>
      <w:marLeft w:val="0"/>
      <w:marRight w:val="0"/>
      <w:marTop w:val="0"/>
      <w:marBottom w:val="0"/>
      <w:divBdr>
        <w:top w:val="none" w:sz="0" w:space="0" w:color="auto"/>
        <w:left w:val="none" w:sz="0" w:space="0" w:color="auto"/>
        <w:bottom w:val="none" w:sz="0" w:space="0" w:color="auto"/>
        <w:right w:val="none" w:sz="0" w:space="0" w:color="auto"/>
      </w:divBdr>
    </w:div>
    <w:div w:id="59444217">
      <w:bodyDiv w:val="1"/>
      <w:marLeft w:val="0"/>
      <w:marRight w:val="0"/>
      <w:marTop w:val="0"/>
      <w:marBottom w:val="0"/>
      <w:divBdr>
        <w:top w:val="none" w:sz="0" w:space="0" w:color="auto"/>
        <w:left w:val="none" w:sz="0" w:space="0" w:color="auto"/>
        <w:bottom w:val="none" w:sz="0" w:space="0" w:color="auto"/>
        <w:right w:val="none" w:sz="0" w:space="0" w:color="auto"/>
      </w:divBdr>
    </w:div>
    <w:div w:id="137456972">
      <w:bodyDiv w:val="1"/>
      <w:marLeft w:val="0"/>
      <w:marRight w:val="0"/>
      <w:marTop w:val="0"/>
      <w:marBottom w:val="0"/>
      <w:divBdr>
        <w:top w:val="none" w:sz="0" w:space="0" w:color="auto"/>
        <w:left w:val="none" w:sz="0" w:space="0" w:color="auto"/>
        <w:bottom w:val="none" w:sz="0" w:space="0" w:color="auto"/>
        <w:right w:val="none" w:sz="0" w:space="0" w:color="auto"/>
      </w:divBdr>
    </w:div>
    <w:div w:id="154414549">
      <w:bodyDiv w:val="1"/>
      <w:marLeft w:val="0"/>
      <w:marRight w:val="0"/>
      <w:marTop w:val="0"/>
      <w:marBottom w:val="0"/>
      <w:divBdr>
        <w:top w:val="none" w:sz="0" w:space="0" w:color="auto"/>
        <w:left w:val="none" w:sz="0" w:space="0" w:color="auto"/>
        <w:bottom w:val="none" w:sz="0" w:space="0" w:color="auto"/>
        <w:right w:val="none" w:sz="0" w:space="0" w:color="auto"/>
      </w:divBdr>
    </w:div>
    <w:div w:id="196545567">
      <w:bodyDiv w:val="1"/>
      <w:marLeft w:val="0"/>
      <w:marRight w:val="0"/>
      <w:marTop w:val="0"/>
      <w:marBottom w:val="0"/>
      <w:divBdr>
        <w:top w:val="none" w:sz="0" w:space="0" w:color="auto"/>
        <w:left w:val="none" w:sz="0" w:space="0" w:color="auto"/>
        <w:bottom w:val="none" w:sz="0" w:space="0" w:color="auto"/>
        <w:right w:val="none" w:sz="0" w:space="0" w:color="auto"/>
      </w:divBdr>
    </w:div>
    <w:div w:id="220026142">
      <w:bodyDiv w:val="1"/>
      <w:marLeft w:val="0"/>
      <w:marRight w:val="0"/>
      <w:marTop w:val="0"/>
      <w:marBottom w:val="0"/>
      <w:divBdr>
        <w:top w:val="none" w:sz="0" w:space="0" w:color="auto"/>
        <w:left w:val="none" w:sz="0" w:space="0" w:color="auto"/>
        <w:bottom w:val="none" w:sz="0" w:space="0" w:color="auto"/>
        <w:right w:val="none" w:sz="0" w:space="0" w:color="auto"/>
      </w:divBdr>
    </w:div>
    <w:div w:id="296960702">
      <w:bodyDiv w:val="1"/>
      <w:marLeft w:val="0"/>
      <w:marRight w:val="0"/>
      <w:marTop w:val="0"/>
      <w:marBottom w:val="0"/>
      <w:divBdr>
        <w:top w:val="none" w:sz="0" w:space="0" w:color="auto"/>
        <w:left w:val="none" w:sz="0" w:space="0" w:color="auto"/>
        <w:bottom w:val="none" w:sz="0" w:space="0" w:color="auto"/>
        <w:right w:val="none" w:sz="0" w:space="0" w:color="auto"/>
      </w:divBdr>
    </w:div>
    <w:div w:id="332997528">
      <w:bodyDiv w:val="1"/>
      <w:marLeft w:val="0"/>
      <w:marRight w:val="0"/>
      <w:marTop w:val="0"/>
      <w:marBottom w:val="0"/>
      <w:divBdr>
        <w:top w:val="none" w:sz="0" w:space="0" w:color="auto"/>
        <w:left w:val="none" w:sz="0" w:space="0" w:color="auto"/>
        <w:bottom w:val="none" w:sz="0" w:space="0" w:color="auto"/>
        <w:right w:val="none" w:sz="0" w:space="0" w:color="auto"/>
      </w:divBdr>
    </w:div>
    <w:div w:id="360976092">
      <w:bodyDiv w:val="1"/>
      <w:marLeft w:val="0"/>
      <w:marRight w:val="0"/>
      <w:marTop w:val="0"/>
      <w:marBottom w:val="0"/>
      <w:divBdr>
        <w:top w:val="none" w:sz="0" w:space="0" w:color="auto"/>
        <w:left w:val="none" w:sz="0" w:space="0" w:color="auto"/>
        <w:bottom w:val="none" w:sz="0" w:space="0" w:color="auto"/>
        <w:right w:val="none" w:sz="0" w:space="0" w:color="auto"/>
      </w:divBdr>
    </w:div>
    <w:div w:id="416874909">
      <w:bodyDiv w:val="1"/>
      <w:marLeft w:val="0"/>
      <w:marRight w:val="0"/>
      <w:marTop w:val="0"/>
      <w:marBottom w:val="0"/>
      <w:divBdr>
        <w:top w:val="none" w:sz="0" w:space="0" w:color="auto"/>
        <w:left w:val="none" w:sz="0" w:space="0" w:color="auto"/>
        <w:bottom w:val="none" w:sz="0" w:space="0" w:color="auto"/>
        <w:right w:val="none" w:sz="0" w:space="0" w:color="auto"/>
      </w:divBdr>
    </w:div>
    <w:div w:id="430008622">
      <w:bodyDiv w:val="1"/>
      <w:marLeft w:val="0"/>
      <w:marRight w:val="0"/>
      <w:marTop w:val="0"/>
      <w:marBottom w:val="0"/>
      <w:divBdr>
        <w:top w:val="none" w:sz="0" w:space="0" w:color="auto"/>
        <w:left w:val="none" w:sz="0" w:space="0" w:color="auto"/>
        <w:bottom w:val="none" w:sz="0" w:space="0" w:color="auto"/>
        <w:right w:val="none" w:sz="0" w:space="0" w:color="auto"/>
      </w:divBdr>
    </w:div>
    <w:div w:id="438374378">
      <w:bodyDiv w:val="1"/>
      <w:marLeft w:val="0"/>
      <w:marRight w:val="0"/>
      <w:marTop w:val="0"/>
      <w:marBottom w:val="0"/>
      <w:divBdr>
        <w:top w:val="none" w:sz="0" w:space="0" w:color="auto"/>
        <w:left w:val="none" w:sz="0" w:space="0" w:color="auto"/>
        <w:bottom w:val="none" w:sz="0" w:space="0" w:color="auto"/>
        <w:right w:val="none" w:sz="0" w:space="0" w:color="auto"/>
      </w:divBdr>
    </w:div>
    <w:div w:id="443580113">
      <w:bodyDiv w:val="1"/>
      <w:marLeft w:val="0"/>
      <w:marRight w:val="0"/>
      <w:marTop w:val="0"/>
      <w:marBottom w:val="0"/>
      <w:divBdr>
        <w:top w:val="none" w:sz="0" w:space="0" w:color="auto"/>
        <w:left w:val="none" w:sz="0" w:space="0" w:color="auto"/>
        <w:bottom w:val="none" w:sz="0" w:space="0" w:color="auto"/>
        <w:right w:val="none" w:sz="0" w:space="0" w:color="auto"/>
      </w:divBdr>
    </w:div>
    <w:div w:id="450560519">
      <w:bodyDiv w:val="1"/>
      <w:marLeft w:val="0"/>
      <w:marRight w:val="0"/>
      <w:marTop w:val="0"/>
      <w:marBottom w:val="0"/>
      <w:divBdr>
        <w:top w:val="none" w:sz="0" w:space="0" w:color="auto"/>
        <w:left w:val="none" w:sz="0" w:space="0" w:color="auto"/>
        <w:bottom w:val="none" w:sz="0" w:space="0" w:color="auto"/>
        <w:right w:val="none" w:sz="0" w:space="0" w:color="auto"/>
      </w:divBdr>
    </w:div>
    <w:div w:id="456947011">
      <w:bodyDiv w:val="1"/>
      <w:marLeft w:val="0"/>
      <w:marRight w:val="0"/>
      <w:marTop w:val="0"/>
      <w:marBottom w:val="0"/>
      <w:divBdr>
        <w:top w:val="none" w:sz="0" w:space="0" w:color="auto"/>
        <w:left w:val="none" w:sz="0" w:space="0" w:color="auto"/>
        <w:bottom w:val="none" w:sz="0" w:space="0" w:color="auto"/>
        <w:right w:val="none" w:sz="0" w:space="0" w:color="auto"/>
      </w:divBdr>
    </w:div>
    <w:div w:id="493179046">
      <w:bodyDiv w:val="1"/>
      <w:marLeft w:val="0"/>
      <w:marRight w:val="0"/>
      <w:marTop w:val="0"/>
      <w:marBottom w:val="0"/>
      <w:divBdr>
        <w:top w:val="none" w:sz="0" w:space="0" w:color="auto"/>
        <w:left w:val="none" w:sz="0" w:space="0" w:color="auto"/>
        <w:bottom w:val="none" w:sz="0" w:space="0" w:color="auto"/>
        <w:right w:val="none" w:sz="0" w:space="0" w:color="auto"/>
      </w:divBdr>
    </w:div>
    <w:div w:id="507868590">
      <w:bodyDiv w:val="1"/>
      <w:marLeft w:val="0"/>
      <w:marRight w:val="0"/>
      <w:marTop w:val="0"/>
      <w:marBottom w:val="0"/>
      <w:divBdr>
        <w:top w:val="none" w:sz="0" w:space="0" w:color="auto"/>
        <w:left w:val="none" w:sz="0" w:space="0" w:color="auto"/>
        <w:bottom w:val="none" w:sz="0" w:space="0" w:color="auto"/>
        <w:right w:val="none" w:sz="0" w:space="0" w:color="auto"/>
      </w:divBdr>
    </w:div>
    <w:div w:id="546181748">
      <w:bodyDiv w:val="1"/>
      <w:marLeft w:val="0"/>
      <w:marRight w:val="0"/>
      <w:marTop w:val="0"/>
      <w:marBottom w:val="0"/>
      <w:divBdr>
        <w:top w:val="none" w:sz="0" w:space="0" w:color="auto"/>
        <w:left w:val="none" w:sz="0" w:space="0" w:color="auto"/>
        <w:bottom w:val="none" w:sz="0" w:space="0" w:color="auto"/>
        <w:right w:val="none" w:sz="0" w:space="0" w:color="auto"/>
      </w:divBdr>
    </w:div>
    <w:div w:id="548538255">
      <w:bodyDiv w:val="1"/>
      <w:marLeft w:val="0"/>
      <w:marRight w:val="0"/>
      <w:marTop w:val="0"/>
      <w:marBottom w:val="0"/>
      <w:divBdr>
        <w:top w:val="none" w:sz="0" w:space="0" w:color="auto"/>
        <w:left w:val="none" w:sz="0" w:space="0" w:color="auto"/>
        <w:bottom w:val="none" w:sz="0" w:space="0" w:color="auto"/>
        <w:right w:val="none" w:sz="0" w:space="0" w:color="auto"/>
      </w:divBdr>
    </w:div>
    <w:div w:id="608438806">
      <w:bodyDiv w:val="1"/>
      <w:marLeft w:val="0"/>
      <w:marRight w:val="0"/>
      <w:marTop w:val="0"/>
      <w:marBottom w:val="0"/>
      <w:divBdr>
        <w:top w:val="none" w:sz="0" w:space="0" w:color="auto"/>
        <w:left w:val="none" w:sz="0" w:space="0" w:color="auto"/>
        <w:bottom w:val="none" w:sz="0" w:space="0" w:color="auto"/>
        <w:right w:val="none" w:sz="0" w:space="0" w:color="auto"/>
      </w:divBdr>
    </w:div>
    <w:div w:id="616059246">
      <w:bodyDiv w:val="1"/>
      <w:marLeft w:val="0"/>
      <w:marRight w:val="0"/>
      <w:marTop w:val="0"/>
      <w:marBottom w:val="0"/>
      <w:divBdr>
        <w:top w:val="none" w:sz="0" w:space="0" w:color="auto"/>
        <w:left w:val="none" w:sz="0" w:space="0" w:color="auto"/>
        <w:bottom w:val="none" w:sz="0" w:space="0" w:color="auto"/>
        <w:right w:val="none" w:sz="0" w:space="0" w:color="auto"/>
      </w:divBdr>
    </w:div>
    <w:div w:id="651908575">
      <w:bodyDiv w:val="1"/>
      <w:marLeft w:val="0"/>
      <w:marRight w:val="0"/>
      <w:marTop w:val="0"/>
      <w:marBottom w:val="0"/>
      <w:divBdr>
        <w:top w:val="none" w:sz="0" w:space="0" w:color="auto"/>
        <w:left w:val="none" w:sz="0" w:space="0" w:color="auto"/>
        <w:bottom w:val="none" w:sz="0" w:space="0" w:color="auto"/>
        <w:right w:val="none" w:sz="0" w:space="0" w:color="auto"/>
      </w:divBdr>
    </w:div>
    <w:div w:id="675880962">
      <w:bodyDiv w:val="1"/>
      <w:marLeft w:val="0"/>
      <w:marRight w:val="0"/>
      <w:marTop w:val="0"/>
      <w:marBottom w:val="0"/>
      <w:divBdr>
        <w:top w:val="none" w:sz="0" w:space="0" w:color="auto"/>
        <w:left w:val="none" w:sz="0" w:space="0" w:color="auto"/>
        <w:bottom w:val="none" w:sz="0" w:space="0" w:color="auto"/>
        <w:right w:val="none" w:sz="0" w:space="0" w:color="auto"/>
      </w:divBdr>
    </w:div>
    <w:div w:id="696203426">
      <w:bodyDiv w:val="1"/>
      <w:marLeft w:val="0"/>
      <w:marRight w:val="0"/>
      <w:marTop w:val="0"/>
      <w:marBottom w:val="0"/>
      <w:divBdr>
        <w:top w:val="none" w:sz="0" w:space="0" w:color="auto"/>
        <w:left w:val="none" w:sz="0" w:space="0" w:color="auto"/>
        <w:bottom w:val="none" w:sz="0" w:space="0" w:color="auto"/>
        <w:right w:val="none" w:sz="0" w:space="0" w:color="auto"/>
      </w:divBdr>
    </w:div>
    <w:div w:id="738670271">
      <w:bodyDiv w:val="1"/>
      <w:marLeft w:val="0"/>
      <w:marRight w:val="0"/>
      <w:marTop w:val="0"/>
      <w:marBottom w:val="0"/>
      <w:divBdr>
        <w:top w:val="none" w:sz="0" w:space="0" w:color="auto"/>
        <w:left w:val="none" w:sz="0" w:space="0" w:color="auto"/>
        <w:bottom w:val="none" w:sz="0" w:space="0" w:color="auto"/>
        <w:right w:val="none" w:sz="0" w:space="0" w:color="auto"/>
      </w:divBdr>
      <w:divsChild>
        <w:div w:id="1137451999">
          <w:marLeft w:val="0"/>
          <w:marRight w:val="0"/>
          <w:marTop w:val="0"/>
          <w:marBottom w:val="0"/>
          <w:divBdr>
            <w:top w:val="none" w:sz="0" w:space="0" w:color="auto"/>
            <w:left w:val="none" w:sz="0" w:space="0" w:color="auto"/>
            <w:bottom w:val="none" w:sz="0" w:space="0" w:color="auto"/>
            <w:right w:val="none" w:sz="0" w:space="0" w:color="auto"/>
          </w:divBdr>
          <w:divsChild>
            <w:div w:id="860168319">
              <w:marLeft w:val="0"/>
              <w:marRight w:val="0"/>
              <w:marTop w:val="0"/>
              <w:marBottom w:val="0"/>
              <w:divBdr>
                <w:top w:val="none" w:sz="0" w:space="0" w:color="auto"/>
                <w:left w:val="none" w:sz="0" w:space="0" w:color="auto"/>
                <w:bottom w:val="none" w:sz="0" w:space="0" w:color="auto"/>
                <w:right w:val="none" w:sz="0" w:space="0" w:color="auto"/>
              </w:divBdr>
              <w:divsChild>
                <w:div w:id="65001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2">
      <w:bodyDiv w:val="1"/>
      <w:marLeft w:val="0"/>
      <w:marRight w:val="0"/>
      <w:marTop w:val="0"/>
      <w:marBottom w:val="0"/>
      <w:divBdr>
        <w:top w:val="none" w:sz="0" w:space="0" w:color="auto"/>
        <w:left w:val="none" w:sz="0" w:space="0" w:color="auto"/>
        <w:bottom w:val="none" w:sz="0" w:space="0" w:color="auto"/>
        <w:right w:val="none" w:sz="0" w:space="0" w:color="auto"/>
      </w:divBdr>
    </w:div>
    <w:div w:id="818884400">
      <w:bodyDiv w:val="1"/>
      <w:marLeft w:val="0"/>
      <w:marRight w:val="0"/>
      <w:marTop w:val="0"/>
      <w:marBottom w:val="0"/>
      <w:divBdr>
        <w:top w:val="none" w:sz="0" w:space="0" w:color="auto"/>
        <w:left w:val="none" w:sz="0" w:space="0" w:color="auto"/>
        <w:bottom w:val="none" w:sz="0" w:space="0" w:color="auto"/>
        <w:right w:val="none" w:sz="0" w:space="0" w:color="auto"/>
      </w:divBdr>
    </w:div>
    <w:div w:id="832917095">
      <w:bodyDiv w:val="1"/>
      <w:marLeft w:val="0"/>
      <w:marRight w:val="0"/>
      <w:marTop w:val="0"/>
      <w:marBottom w:val="0"/>
      <w:divBdr>
        <w:top w:val="none" w:sz="0" w:space="0" w:color="auto"/>
        <w:left w:val="none" w:sz="0" w:space="0" w:color="auto"/>
        <w:bottom w:val="none" w:sz="0" w:space="0" w:color="auto"/>
        <w:right w:val="none" w:sz="0" w:space="0" w:color="auto"/>
      </w:divBdr>
    </w:div>
    <w:div w:id="843252920">
      <w:bodyDiv w:val="1"/>
      <w:marLeft w:val="0"/>
      <w:marRight w:val="0"/>
      <w:marTop w:val="0"/>
      <w:marBottom w:val="0"/>
      <w:divBdr>
        <w:top w:val="none" w:sz="0" w:space="0" w:color="auto"/>
        <w:left w:val="none" w:sz="0" w:space="0" w:color="auto"/>
        <w:bottom w:val="none" w:sz="0" w:space="0" w:color="auto"/>
        <w:right w:val="none" w:sz="0" w:space="0" w:color="auto"/>
      </w:divBdr>
    </w:div>
    <w:div w:id="890576881">
      <w:bodyDiv w:val="1"/>
      <w:marLeft w:val="0"/>
      <w:marRight w:val="0"/>
      <w:marTop w:val="0"/>
      <w:marBottom w:val="0"/>
      <w:divBdr>
        <w:top w:val="none" w:sz="0" w:space="0" w:color="auto"/>
        <w:left w:val="none" w:sz="0" w:space="0" w:color="auto"/>
        <w:bottom w:val="none" w:sz="0" w:space="0" w:color="auto"/>
        <w:right w:val="none" w:sz="0" w:space="0" w:color="auto"/>
      </w:divBdr>
    </w:div>
    <w:div w:id="895630664">
      <w:bodyDiv w:val="1"/>
      <w:marLeft w:val="0"/>
      <w:marRight w:val="0"/>
      <w:marTop w:val="0"/>
      <w:marBottom w:val="0"/>
      <w:divBdr>
        <w:top w:val="none" w:sz="0" w:space="0" w:color="auto"/>
        <w:left w:val="none" w:sz="0" w:space="0" w:color="auto"/>
        <w:bottom w:val="none" w:sz="0" w:space="0" w:color="auto"/>
        <w:right w:val="none" w:sz="0" w:space="0" w:color="auto"/>
      </w:divBdr>
    </w:div>
    <w:div w:id="898134511">
      <w:bodyDiv w:val="1"/>
      <w:marLeft w:val="0"/>
      <w:marRight w:val="0"/>
      <w:marTop w:val="0"/>
      <w:marBottom w:val="0"/>
      <w:divBdr>
        <w:top w:val="none" w:sz="0" w:space="0" w:color="auto"/>
        <w:left w:val="none" w:sz="0" w:space="0" w:color="auto"/>
        <w:bottom w:val="none" w:sz="0" w:space="0" w:color="auto"/>
        <w:right w:val="none" w:sz="0" w:space="0" w:color="auto"/>
      </w:divBdr>
    </w:div>
    <w:div w:id="977370349">
      <w:bodyDiv w:val="1"/>
      <w:marLeft w:val="0"/>
      <w:marRight w:val="0"/>
      <w:marTop w:val="0"/>
      <w:marBottom w:val="0"/>
      <w:divBdr>
        <w:top w:val="none" w:sz="0" w:space="0" w:color="auto"/>
        <w:left w:val="none" w:sz="0" w:space="0" w:color="auto"/>
        <w:bottom w:val="none" w:sz="0" w:space="0" w:color="auto"/>
        <w:right w:val="none" w:sz="0" w:space="0" w:color="auto"/>
      </w:divBdr>
    </w:div>
    <w:div w:id="992954216">
      <w:bodyDiv w:val="1"/>
      <w:marLeft w:val="0"/>
      <w:marRight w:val="0"/>
      <w:marTop w:val="0"/>
      <w:marBottom w:val="0"/>
      <w:divBdr>
        <w:top w:val="none" w:sz="0" w:space="0" w:color="auto"/>
        <w:left w:val="none" w:sz="0" w:space="0" w:color="auto"/>
        <w:bottom w:val="none" w:sz="0" w:space="0" w:color="auto"/>
        <w:right w:val="none" w:sz="0" w:space="0" w:color="auto"/>
      </w:divBdr>
    </w:div>
    <w:div w:id="1003359468">
      <w:bodyDiv w:val="1"/>
      <w:marLeft w:val="0"/>
      <w:marRight w:val="0"/>
      <w:marTop w:val="0"/>
      <w:marBottom w:val="0"/>
      <w:divBdr>
        <w:top w:val="none" w:sz="0" w:space="0" w:color="auto"/>
        <w:left w:val="none" w:sz="0" w:space="0" w:color="auto"/>
        <w:bottom w:val="none" w:sz="0" w:space="0" w:color="auto"/>
        <w:right w:val="none" w:sz="0" w:space="0" w:color="auto"/>
      </w:divBdr>
    </w:div>
    <w:div w:id="1004865342">
      <w:bodyDiv w:val="1"/>
      <w:marLeft w:val="0"/>
      <w:marRight w:val="0"/>
      <w:marTop w:val="0"/>
      <w:marBottom w:val="0"/>
      <w:divBdr>
        <w:top w:val="none" w:sz="0" w:space="0" w:color="auto"/>
        <w:left w:val="none" w:sz="0" w:space="0" w:color="auto"/>
        <w:bottom w:val="none" w:sz="0" w:space="0" w:color="auto"/>
        <w:right w:val="none" w:sz="0" w:space="0" w:color="auto"/>
      </w:divBdr>
    </w:div>
    <w:div w:id="1008290522">
      <w:bodyDiv w:val="1"/>
      <w:marLeft w:val="0"/>
      <w:marRight w:val="0"/>
      <w:marTop w:val="0"/>
      <w:marBottom w:val="0"/>
      <w:divBdr>
        <w:top w:val="none" w:sz="0" w:space="0" w:color="auto"/>
        <w:left w:val="none" w:sz="0" w:space="0" w:color="auto"/>
        <w:bottom w:val="none" w:sz="0" w:space="0" w:color="auto"/>
        <w:right w:val="none" w:sz="0" w:space="0" w:color="auto"/>
      </w:divBdr>
    </w:div>
    <w:div w:id="1014767179">
      <w:bodyDiv w:val="1"/>
      <w:marLeft w:val="0"/>
      <w:marRight w:val="0"/>
      <w:marTop w:val="0"/>
      <w:marBottom w:val="0"/>
      <w:divBdr>
        <w:top w:val="none" w:sz="0" w:space="0" w:color="auto"/>
        <w:left w:val="none" w:sz="0" w:space="0" w:color="auto"/>
        <w:bottom w:val="none" w:sz="0" w:space="0" w:color="auto"/>
        <w:right w:val="none" w:sz="0" w:space="0" w:color="auto"/>
      </w:divBdr>
    </w:div>
    <w:div w:id="1039938774">
      <w:bodyDiv w:val="1"/>
      <w:marLeft w:val="0"/>
      <w:marRight w:val="0"/>
      <w:marTop w:val="0"/>
      <w:marBottom w:val="0"/>
      <w:divBdr>
        <w:top w:val="none" w:sz="0" w:space="0" w:color="auto"/>
        <w:left w:val="none" w:sz="0" w:space="0" w:color="auto"/>
        <w:bottom w:val="none" w:sz="0" w:space="0" w:color="auto"/>
        <w:right w:val="none" w:sz="0" w:space="0" w:color="auto"/>
      </w:divBdr>
    </w:div>
    <w:div w:id="1053382858">
      <w:bodyDiv w:val="1"/>
      <w:marLeft w:val="0"/>
      <w:marRight w:val="0"/>
      <w:marTop w:val="0"/>
      <w:marBottom w:val="0"/>
      <w:divBdr>
        <w:top w:val="none" w:sz="0" w:space="0" w:color="auto"/>
        <w:left w:val="none" w:sz="0" w:space="0" w:color="auto"/>
        <w:bottom w:val="none" w:sz="0" w:space="0" w:color="auto"/>
        <w:right w:val="none" w:sz="0" w:space="0" w:color="auto"/>
      </w:divBdr>
    </w:div>
    <w:div w:id="1102990296">
      <w:bodyDiv w:val="1"/>
      <w:marLeft w:val="0"/>
      <w:marRight w:val="0"/>
      <w:marTop w:val="0"/>
      <w:marBottom w:val="0"/>
      <w:divBdr>
        <w:top w:val="none" w:sz="0" w:space="0" w:color="auto"/>
        <w:left w:val="none" w:sz="0" w:space="0" w:color="auto"/>
        <w:bottom w:val="none" w:sz="0" w:space="0" w:color="auto"/>
        <w:right w:val="none" w:sz="0" w:space="0" w:color="auto"/>
      </w:divBdr>
    </w:div>
    <w:div w:id="1104880367">
      <w:bodyDiv w:val="1"/>
      <w:marLeft w:val="0"/>
      <w:marRight w:val="0"/>
      <w:marTop w:val="0"/>
      <w:marBottom w:val="0"/>
      <w:divBdr>
        <w:top w:val="none" w:sz="0" w:space="0" w:color="auto"/>
        <w:left w:val="none" w:sz="0" w:space="0" w:color="auto"/>
        <w:bottom w:val="none" w:sz="0" w:space="0" w:color="auto"/>
        <w:right w:val="none" w:sz="0" w:space="0" w:color="auto"/>
      </w:divBdr>
      <w:divsChild>
        <w:div w:id="568658873">
          <w:marLeft w:val="0"/>
          <w:marRight w:val="0"/>
          <w:marTop w:val="0"/>
          <w:marBottom w:val="0"/>
          <w:divBdr>
            <w:top w:val="none" w:sz="0" w:space="0" w:color="auto"/>
            <w:left w:val="none" w:sz="0" w:space="0" w:color="auto"/>
            <w:bottom w:val="none" w:sz="0" w:space="0" w:color="auto"/>
            <w:right w:val="none" w:sz="0" w:space="0" w:color="auto"/>
          </w:divBdr>
          <w:divsChild>
            <w:div w:id="2028822579">
              <w:marLeft w:val="0"/>
              <w:marRight w:val="0"/>
              <w:marTop w:val="0"/>
              <w:marBottom w:val="0"/>
              <w:divBdr>
                <w:top w:val="none" w:sz="0" w:space="0" w:color="auto"/>
                <w:left w:val="none" w:sz="0" w:space="0" w:color="auto"/>
                <w:bottom w:val="none" w:sz="0" w:space="0" w:color="auto"/>
                <w:right w:val="none" w:sz="0" w:space="0" w:color="auto"/>
              </w:divBdr>
              <w:divsChild>
                <w:div w:id="138160377">
                  <w:marLeft w:val="0"/>
                  <w:marRight w:val="0"/>
                  <w:marTop w:val="0"/>
                  <w:marBottom w:val="0"/>
                  <w:divBdr>
                    <w:top w:val="none" w:sz="0" w:space="0" w:color="auto"/>
                    <w:left w:val="none" w:sz="0" w:space="0" w:color="auto"/>
                    <w:bottom w:val="none" w:sz="0" w:space="0" w:color="auto"/>
                    <w:right w:val="none" w:sz="0" w:space="0" w:color="auto"/>
                  </w:divBdr>
                  <w:divsChild>
                    <w:div w:id="12875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227601">
      <w:bodyDiv w:val="1"/>
      <w:marLeft w:val="0"/>
      <w:marRight w:val="0"/>
      <w:marTop w:val="0"/>
      <w:marBottom w:val="0"/>
      <w:divBdr>
        <w:top w:val="none" w:sz="0" w:space="0" w:color="auto"/>
        <w:left w:val="none" w:sz="0" w:space="0" w:color="auto"/>
        <w:bottom w:val="none" w:sz="0" w:space="0" w:color="auto"/>
        <w:right w:val="none" w:sz="0" w:space="0" w:color="auto"/>
      </w:divBdr>
    </w:div>
    <w:div w:id="1140458367">
      <w:bodyDiv w:val="1"/>
      <w:marLeft w:val="0"/>
      <w:marRight w:val="0"/>
      <w:marTop w:val="0"/>
      <w:marBottom w:val="0"/>
      <w:divBdr>
        <w:top w:val="none" w:sz="0" w:space="0" w:color="auto"/>
        <w:left w:val="none" w:sz="0" w:space="0" w:color="auto"/>
        <w:bottom w:val="none" w:sz="0" w:space="0" w:color="auto"/>
        <w:right w:val="none" w:sz="0" w:space="0" w:color="auto"/>
      </w:divBdr>
    </w:div>
    <w:div w:id="1144080784">
      <w:bodyDiv w:val="1"/>
      <w:marLeft w:val="0"/>
      <w:marRight w:val="0"/>
      <w:marTop w:val="0"/>
      <w:marBottom w:val="0"/>
      <w:divBdr>
        <w:top w:val="none" w:sz="0" w:space="0" w:color="auto"/>
        <w:left w:val="none" w:sz="0" w:space="0" w:color="auto"/>
        <w:bottom w:val="none" w:sz="0" w:space="0" w:color="auto"/>
        <w:right w:val="none" w:sz="0" w:space="0" w:color="auto"/>
      </w:divBdr>
    </w:div>
    <w:div w:id="1162351212">
      <w:bodyDiv w:val="1"/>
      <w:marLeft w:val="0"/>
      <w:marRight w:val="0"/>
      <w:marTop w:val="0"/>
      <w:marBottom w:val="0"/>
      <w:divBdr>
        <w:top w:val="none" w:sz="0" w:space="0" w:color="auto"/>
        <w:left w:val="none" w:sz="0" w:space="0" w:color="auto"/>
        <w:bottom w:val="none" w:sz="0" w:space="0" w:color="auto"/>
        <w:right w:val="none" w:sz="0" w:space="0" w:color="auto"/>
      </w:divBdr>
    </w:div>
    <w:div w:id="1196697823">
      <w:bodyDiv w:val="1"/>
      <w:marLeft w:val="0"/>
      <w:marRight w:val="0"/>
      <w:marTop w:val="0"/>
      <w:marBottom w:val="0"/>
      <w:divBdr>
        <w:top w:val="none" w:sz="0" w:space="0" w:color="auto"/>
        <w:left w:val="none" w:sz="0" w:space="0" w:color="auto"/>
        <w:bottom w:val="none" w:sz="0" w:space="0" w:color="auto"/>
        <w:right w:val="none" w:sz="0" w:space="0" w:color="auto"/>
      </w:divBdr>
    </w:div>
    <w:div w:id="1206716471">
      <w:bodyDiv w:val="1"/>
      <w:marLeft w:val="0"/>
      <w:marRight w:val="0"/>
      <w:marTop w:val="0"/>
      <w:marBottom w:val="0"/>
      <w:divBdr>
        <w:top w:val="none" w:sz="0" w:space="0" w:color="auto"/>
        <w:left w:val="none" w:sz="0" w:space="0" w:color="auto"/>
        <w:bottom w:val="none" w:sz="0" w:space="0" w:color="auto"/>
        <w:right w:val="none" w:sz="0" w:space="0" w:color="auto"/>
      </w:divBdr>
    </w:div>
    <w:div w:id="1211264712">
      <w:bodyDiv w:val="1"/>
      <w:marLeft w:val="0"/>
      <w:marRight w:val="0"/>
      <w:marTop w:val="0"/>
      <w:marBottom w:val="0"/>
      <w:divBdr>
        <w:top w:val="none" w:sz="0" w:space="0" w:color="auto"/>
        <w:left w:val="none" w:sz="0" w:space="0" w:color="auto"/>
        <w:bottom w:val="none" w:sz="0" w:space="0" w:color="auto"/>
        <w:right w:val="none" w:sz="0" w:space="0" w:color="auto"/>
      </w:divBdr>
    </w:div>
    <w:div w:id="1219323280">
      <w:bodyDiv w:val="1"/>
      <w:marLeft w:val="0"/>
      <w:marRight w:val="0"/>
      <w:marTop w:val="0"/>
      <w:marBottom w:val="0"/>
      <w:divBdr>
        <w:top w:val="none" w:sz="0" w:space="0" w:color="auto"/>
        <w:left w:val="none" w:sz="0" w:space="0" w:color="auto"/>
        <w:bottom w:val="none" w:sz="0" w:space="0" w:color="auto"/>
        <w:right w:val="none" w:sz="0" w:space="0" w:color="auto"/>
      </w:divBdr>
    </w:div>
    <w:div w:id="1245720020">
      <w:bodyDiv w:val="1"/>
      <w:marLeft w:val="0"/>
      <w:marRight w:val="0"/>
      <w:marTop w:val="0"/>
      <w:marBottom w:val="0"/>
      <w:divBdr>
        <w:top w:val="none" w:sz="0" w:space="0" w:color="auto"/>
        <w:left w:val="none" w:sz="0" w:space="0" w:color="auto"/>
        <w:bottom w:val="none" w:sz="0" w:space="0" w:color="auto"/>
        <w:right w:val="none" w:sz="0" w:space="0" w:color="auto"/>
      </w:divBdr>
    </w:div>
    <w:div w:id="1258713464">
      <w:bodyDiv w:val="1"/>
      <w:marLeft w:val="0"/>
      <w:marRight w:val="0"/>
      <w:marTop w:val="0"/>
      <w:marBottom w:val="0"/>
      <w:divBdr>
        <w:top w:val="none" w:sz="0" w:space="0" w:color="auto"/>
        <w:left w:val="none" w:sz="0" w:space="0" w:color="auto"/>
        <w:bottom w:val="none" w:sz="0" w:space="0" w:color="auto"/>
        <w:right w:val="none" w:sz="0" w:space="0" w:color="auto"/>
      </w:divBdr>
    </w:div>
    <w:div w:id="1276207251">
      <w:bodyDiv w:val="1"/>
      <w:marLeft w:val="0"/>
      <w:marRight w:val="0"/>
      <w:marTop w:val="0"/>
      <w:marBottom w:val="0"/>
      <w:divBdr>
        <w:top w:val="none" w:sz="0" w:space="0" w:color="auto"/>
        <w:left w:val="none" w:sz="0" w:space="0" w:color="auto"/>
        <w:bottom w:val="none" w:sz="0" w:space="0" w:color="auto"/>
        <w:right w:val="none" w:sz="0" w:space="0" w:color="auto"/>
      </w:divBdr>
    </w:div>
    <w:div w:id="1279219945">
      <w:bodyDiv w:val="1"/>
      <w:marLeft w:val="0"/>
      <w:marRight w:val="0"/>
      <w:marTop w:val="0"/>
      <w:marBottom w:val="0"/>
      <w:divBdr>
        <w:top w:val="none" w:sz="0" w:space="0" w:color="auto"/>
        <w:left w:val="none" w:sz="0" w:space="0" w:color="auto"/>
        <w:bottom w:val="none" w:sz="0" w:space="0" w:color="auto"/>
        <w:right w:val="none" w:sz="0" w:space="0" w:color="auto"/>
      </w:divBdr>
    </w:div>
    <w:div w:id="1281035771">
      <w:bodyDiv w:val="1"/>
      <w:marLeft w:val="0"/>
      <w:marRight w:val="0"/>
      <w:marTop w:val="0"/>
      <w:marBottom w:val="0"/>
      <w:divBdr>
        <w:top w:val="none" w:sz="0" w:space="0" w:color="auto"/>
        <w:left w:val="none" w:sz="0" w:space="0" w:color="auto"/>
        <w:bottom w:val="none" w:sz="0" w:space="0" w:color="auto"/>
        <w:right w:val="none" w:sz="0" w:space="0" w:color="auto"/>
      </w:divBdr>
    </w:div>
    <w:div w:id="1287080175">
      <w:bodyDiv w:val="1"/>
      <w:marLeft w:val="0"/>
      <w:marRight w:val="0"/>
      <w:marTop w:val="0"/>
      <w:marBottom w:val="0"/>
      <w:divBdr>
        <w:top w:val="none" w:sz="0" w:space="0" w:color="auto"/>
        <w:left w:val="none" w:sz="0" w:space="0" w:color="auto"/>
        <w:bottom w:val="none" w:sz="0" w:space="0" w:color="auto"/>
        <w:right w:val="none" w:sz="0" w:space="0" w:color="auto"/>
      </w:divBdr>
    </w:div>
    <w:div w:id="1296763432">
      <w:bodyDiv w:val="1"/>
      <w:marLeft w:val="0"/>
      <w:marRight w:val="0"/>
      <w:marTop w:val="0"/>
      <w:marBottom w:val="0"/>
      <w:divBdr>
        <w:top w:val="none" w:sz="0" w:space="0" w:color="auto"/>
        <w:left w:val="none" w:sz="0" w:space="0" w:color="auto"/>
        <w:bottom w:val="none" w:sz="0" w:space="0" w:color="auto"/>
        <w:right w:val="none" w:sz="0" w:space="0" w:color="auto"/>
      </w:divBdr>
    </w:div>
    <w:div w:id="1297376329">
      <w:bodyDiv w:val="1"/>
      <w:marLeft w:val="0"/>
      <w:marRight w:val="0"/>
      <w:marTop w:val="0"/>
      <w:marBottom w:val="0"/>
      <w:divBdr>
        <w:top w:val="none" w:sz="0" w:space="0" w:color="auto"/>
        <w:left w:val="none" w:sz="0" w:space="0" w:color="auto"/>
        <w:bottom w:val="none" w:sz="0" w:space="0" w:color="auto"/>
        <w:right w:val="none" w:sz="0" w:space="0" w:color="auto"/>
      </w:divBdr>
    </w:div>
    <w:div w:id="1320160521">
      <w:bodyDiv w:val="1"/>
      <w:marLeft w:val="0"/>
      <w:marRight w:val="0"/>
      <w:marTop w:val="0"/>
      <w:marBottom w:val="0"/>
      <w:divBdr>
        <w:top w:val="none" w:sz="0" w:space="0" w:color="auto"/>
        <w:left w:val="none" w:sz="0" w:space="0" w:color="auto"/>
        <w:bottom w:val="none" w:sz="0" w:space="0" w:color="auto"/>
        <w:right w:val="none" w:sz="0" w:space="0" w:color="auto"/>
      </w:divBdr>
    </w:div>
    <w:div w:id="1338188518">
      <w:bodyDiv w:val="1"/>
      <w:marLeft w:val="0"/>
      <w:marRight w:val="0"/>
      <w:marTop w:val="0"/>
      <w:marBottom w:val="0"/>
      <w:divBdr>
        <w:top w:val="none" w:sz="0" w:space="0" w:color="auto"/>
        <w:left w:val="none" w:sz="0" w:space="0" w:color="auto"/>
        <w:bottom w:val="none" w:sz="0" w:space="0" w:color="auto"/>
        <w:right w:val="none" w:sz="0" w:space="0" w:color="auto"/>
      </w:divBdr>
    </w:div>
    <w:div w:id="1360623294">
      <w:bodyDiv w:val="1"/>
      <w:marLeft w:val="0"/>
      <w:marRight w:val="0"/>
      <w:marTop w:val="0"/>
      <w:marBottom w:val="0"/>
      <w:divBdr>
        <w:top w:val="none" w:sz="0" w:space="0" w:color="auto"/>
        <w:left w:val="none" w:sz="0" w:space="0" w:color="auto"/>
        <w:bottom w:val="none" w:sz="0" w:space="0" w:color="auto"/>
        <w:right w:val="none" w:sz="0" w:space="0" w:color="auto"/>
      </w:divBdr>
    </w:div>
    <w:div w:id="1375960458">
      <w:bodyDiv w:val="1"/>
      <w:marLeft w:val="0"/>
      <w:marRight w:val="0"/>
      <w:marTop w:val="0"/>
      <w:marBottom w:val="0"/>
      <w:divBdr>
        <w:top w:val="none" w:sz="0" w:space="0" w:color="auto"/>
        <w:left w:val="none" w:sz="0" w:space="0" w:color="auto"/>
        <w:bottom w:val="none" w:sz="0" w:space="0" w:color="auto"/>
        <w:right w:val="none" w:sz="0" w:space="0" w:color="auto"/>
      </w:divBdr>
    </w:div>
    <w:div w:id="1384060099">
      <w:bodyDiv w:val="1"/>
      <w:marLeft w:val="0"/>
      <w:marRight w:val="0"/>
      <w:marTop w:val="0"/>
      <w:marBottom w:val="0"/>
      <w:divBdr>
        <w:top w:val="none" w:sz="0" w:space="0" w:color="auto"/>
        <w:left w:val="none" w:sz="0" w:space="0" w:color="auto"/>
        <w:bottom w:val="none" w:sz="0" w:space="0" w:color="auto"/>
        <w:right w:val="none" w:sz="0" w:space="0" w:color="auto"/>
      </w:divBdr>
    </w:div>
    <w:div w:id="1392270615">
      <w:bodyDiv w:val="1"/>
      <w:marLeft w:val="0"/>
      <w:marRight w:val="0"/>
      <w:marTop w:val="0"/>
      <w:marBottom w:val="0"/>
      <w:divBdr>
        <w:top w:val="none" w:sz="0" w:space="0" w:color="auto"/>
        <w:left w:val="none" w:sz="0" w:space="0" w:color="auto"/>
        <w:bottom w:val="none" w:sz="0" w:space="0" w:color="auto"/>
        <w:right w:val="none" w:sz="0" w:space="0" w:color="auto"/>
      </w:divBdr>
    </w:div>
    <w:div w:id="1446774377">
      <w:bodyDiv w:val="1"/>
      <w:marLeft w:val="0"/>
      <w:marRight w:val="0"/>
      <w:marTop w:val="0"/>
      <w:marBottom w:val="0"/>
      <w:divBdr>
        <w:top w:val="none" w:sz="0" w:space="0" w:color="auto"/>
        <w:left w:val="none" w:sz="0" w:space="0" w:color="auto"/>
        <w:bottom w:val="none" w:sz="0" w:space="0" w:color="auto"/>
        <w:right w:val="none" w:sz="0" w:space="0" w:color="auto"/>
      </w:divBdr>
    </w:div>
    <w:div w:id="1472285852">
      <w:bodyDiv w:val="1"/>
      <w:marLeft w:val="0"/>
      <w:marRight w:val="0"/>
      <w:marTop w:val="0"/>
      <w:marBottom w:val="0"/>
      <w:divBdr>
        <w:top w:val="none" w:sz="0" w:space="0" w:color="auto"/>
        <w:left w:val="none" w:sz="0" w:space="0" w:color="auto"/>
        <w:bottom w:val="none" w:sz="0" w:space="0" w:color="auto"/>
        <w:right w:val="none" w:sz="0" w:space="0" w:color="auto"/>
      </w:divBdr>
    </w:div>
    <w:div w:id="1498764091">
      <w:bodyDiv w:val="1"/>
      <w:marLeft w:val="0"/>
      <w:marRight w:val="0"/>
      <w:marTop w:val="0"/>
      <w:marBottom w:val="0"/>
      <w:divBdr>
        <w:top w:val="none" w:sz="0" w:space="0" w:color="auto"/>
        <w:left w:val="none" w:sz="0" w:space="0" w:color="auto"/>
        <w:bottom w:val="none" w:sz="0" w:space="0" w:color="auto"/>
        <w:right w:val="none" w:sz="0" w:space="0" w:color="auto"/>
      </w:divBdr>
    </w:div>
    <w:div w:id="1525825513">
      <w:bodyDiv w:val="1"/>
      <w:marLeft w:val="0"/>
      <w:marRight w:val="0"/>
      <w:marTop w:val="0"/>
      <w:marBottom w:val="0"/>
      <w:divBdr>
        <w:top w:val="none" w:sz="0" w:space="0" w:color="auto"/>
        <w:left w:val="none" w:sz="0" w:space="0" w:color="auto"/>
        <w:bottom w:val="none" w:sz="0" w:space="0" w:color="auto"/>
        <w:right w:val="none" w:sz="0" w:space="0" w:color="auto"/>
      </w:divBdr>
    </w:div>
    <w:div w:id="1581989953">
      <w:bodyDiv w:val="1"/>
      <w:marLeft w:val="0"/>
      <w:marRight w:val="0"/>
      <w:marTop w:val="0"/>
      <w:marBottom w:val="0"/>
      <w:divBdr>
        <w:top w:val="none" w:sz="0" w:space="0" w:color="auto"/>
        <w:left w:val="none" w:sz="0" w:space="0" w:color="auto"/>
        <w:bottom w:val="none" w:sz="0" w:space="0" w:color="auto"/>
        <w:right w:val="none" w:sz="0" w:space="0" w:color="auto"/>
      </w:divBdr>
    </w:div>
    <w:div w:id="1595287220">
      <w:bodyDiv w:val="1"/>
      <w:marLeft w:val="0"/>
      <w:marRight w:val="0"/>
      <w:marTop w:val="0"/>
      <w:marBottom w:val="0"/>
      <w:divBdr>
        <w:top w:val="none" w:sz="0" w:space="0" w:color="auto"/>
        <w:left w:val="none" w:sz="0" w:space="0" w:color="auto"/>
        <w:bottom w:val="none" w:sz="0" w:space="0" w:color="auto"/>
        <w:right w:val="none" w:sz="0" w:space="0" w:color="auto"/>
      </w:divBdr>
    </w:div>
    <w:div w:id="1607805794">
      <w:bodyDiv w:val="1"/>
      <w:marLeft w:val="0"/>
      <w:marRight w:val="0"/>
      <w:marTop w:val="0"/>
      <w:marBottom w:val="0"/>
      <w:divBdr>
        <w:top w:val="none" w:sz="0" w:space="0" w:color="auto"/>
        <w:left w:val="none" w:sz="0" w:space="0" w:color="auto"/>
        <w:bottom w:val="none" w:sz="0" w:space="0" w:color="auto"/>
        <w:right w:val="none" w:sz="0" w:space="0" w:color="auto"/>
      </w:divBdr>
    </w:div>
    <w:div w:id="1608846818">
      <w:bodyDiv w:val="1"/>
      <w:marLeft w:val="0"/>
      <w:marRight w:val="0"/>
      <w:marTop w:val="0"/>
      <w:marBottom w:val="0"/>
      <w:divBdr>
        <w:top w:val="none" w:sz="0" w:space="0" w:color="auto"/>
        <w:left w:val="none" w:sz="0" w:space="0" w:color="auto"/>
        <w:bottom w:val="none" w:sz="0" w:space="0" w:color="auto"/>
        <w:right w:val="none" w:sz="0" w:space="0" w:color="auto"/>
      </w:divBdr>
    </w:div>
    <w:div w:id="1621379998">
      <w:bodyDiv w:val="1"/>
      <w:marLeft w:val="0"/>
      <w:marRight w:val="0"/>
      <w:marTop w:val="0"/>
      <w:marBottom w:val="0"/>
      <w:divBdr>
        <w:top w:val="none" w:sz="0" w:space="0" w:color="auto"/>
        <w:left w:val="none" w:sz="0" w:space="0" w:color="auto"/>
        <w:bottom w:val="none" w:sz="0" w:space="0" w:color="auto"/>
        <w:right w:val="none" w:sz="0" w:space="0" w:color="auto"/>
      </w:divBdr>
    </w:div>
    <w:div w:id="1638954024">
      <w:bodyDiv w:val="1"/>
      <w:marLeft w:val="0"/>
      <w:marRight w:val="0"/>
      <w:marTop w:val="0"/>
      <w:marBottom w:val="0"/>
      <w:divBdr>
        <w:top w:val="none" w:sz="0" w:space="0" w:color="auto"/>
        <w:left w:val="none" w:sz="0" w:space="0" w:color="auto"/>
        <w:bottom w:val="none" w:sz="0" w:space="0" w:color="auto"/>
        <w:right w:val="none" w:sz="0" w:space="0" w:color="auto"/>
      </w:divBdr>
    </w:div>
    <w:div w:id="1653176082">
      <w:bodyDiv w:val="1"/>
      <w:marLeft w:val="0"/>
      <w:marRight w:val="0"/>
      <w:marTop w:val="0"/>
      <w:marBottom w:val="0"/>
      <w:divBdr>
        <w:top w:val="none" w:sz="0" w:space="0" w:color="auto"/>
        <w:left w:val="none" w:sz="0" w:space="0" w:color="auto"/>
        <w:bottom w:val="none" w:sz="0" w:space="0" w:color="auto"/>
        <w:right w:val="none" w:sz="0" w:space="0" w:color="auto"/>
      </w:divBdr>
    </w:div>
    <w:div w:id="1658532468">
      <w:bodyDiv w:val="1"/>
      <w:marLeft w:val="0"/>
      <w:marRight w:val="0"/>
      <w:marTop w:val="0"/>
      <w:marBottom w:val="0"/>
      <w:divBdr>
        <w:top w:val="none" w:sz="0" w:space="0" w:color="auto"/>
        <w:left w:val="none" w:sz="0" w:space="0" w:color="auto"/>
        <w:bottom w:val="none" w:sz="0" w:space="0" w:color="auto"/>
        <w:right w:val="none" w:sz="0" w:space="0" w:color="auto"/>
      </w:divBdr>
    </w:div>
    <w:div w:id="1689595948">
      <w:bodyDiv w:val="1"/>
      <w:marLeft w:val="0"/>
      <w:marRight w:val="0"/>
      <w:marTop w:val="0"/>
      <w:marBottom w:val="0"/>
      <w:divBdr>
        <w:top w:val="none" w:sz="0" w:space="0" w:color="auto"/>
        <w:left w:val="none" w:sz="0" w:space="0" w:color="auto"/>
        <w:bottom w:val="none" w:sz="0" w:space="0" w:color="auto"/>
        <w:right w:val="none" w:sz="0" w:space="0" w:color="auto"/>
      </w:divBdr>
    </w:div>
    <w:div w:id="1692414985">
      <w:bodyDiv w:val="1"/>
      <w:marLeft w:val="0"/>
      <w:marRight w:val="0"/>
      <w:marTop w:val="0"/>
      <w:marBottom w:val="0"/>
      <w:divBdr>
        <w:top w:val="none" w:sz="0" w:space="0" w:color="auto"/>
        <w:left w:val="none" w:sz="0" w:space="0" w:color="auto"/>
        <w:bottom w:val="none" w:sz="0" w:space="0" w:color="auto"/>
        <w:right w:val="none" w:sz="0" w:space="0" w:color="auto"/>
      </w:divBdr>
    </w:div>
    <w:div w:id="1696612264">
      <w:bodyDiv w:val="1"/>
      <w:marLeft w:val="0"/>
      <w:marRight w:val="0"/>
      <w:marTop w:val="0"/>
      <w:marBottom w:val="0"/>
      <w:divBdr>
        <w:top w:val="none" w:sz="0" w:space="0" w:color="auto"/>
        <w:left w:val="none" w:sz="0" w:space="0" w:color="auto"/>
        <w:bottom w:val="none" w:sz="0" w:space="0" w:color="auto"/>
        <w:right w:val="none" w:sz="0" w:space="0" w:color="auto"/>
      </w:divBdr>
    </w:div>
    <w:div w:id="1727098174">
      <w:bodyDiv w:val="1"/>
      <w:marLeft w:val="0"/>
      <w:marRight w:val="0"/>
      <w:marTop w:val="0"/>
      <w:marBottom w:val="0"/>
      <w:divBdr>
        <w:top w:val="none" w:sz="0" w:space="0" w:color="auto"/>
        <w:left w:val="none" w:sz="0" w:space="0" w:color="auto"/>
        <w:bottom w:val="none" w:sz="0" w:space="0" w:color="auto"/>
        <w:right w:val="none" w:sz="0" w:space="0" w:color="auto"/>
      </w:divBdr>
    </w:div>
    <w:div w:id="1729574619">
      <w:bodyDiv w:val="1"/>
      <w:marLeft w:val="0"/>
      <w:marRight w:val="0"/>
      <w:marTop w:val="0"/>
      <w:marBottom w:val="0"/>
      <w:divBdr>
        <w:top w:val="none" w:sz="0" w:space="0" w:color="auto"/>
        <w:left w:val="none" w:sz="0" w:space="0" w:color="auto"/>
        <w:bottom w:val="none" w:sz="0" w:space="0" w:color="auto"/>
        <w:right w:val="none" w:sz="0" w:space="0" w:color="auto"/>
      </w:divBdr>
    </w:div>
    <w:div w:id="1742949268">
      <w:bodyDiv w:val="1"/>
      <w:marLeft w:val="0"/>
      <w:marRight w:val="0"/>
      <w:marTop w:val="0"/>
      <w:marBottom w:val="0"/>
      <w:divBdr>
        <w:top w:val="none" w:sz="0" w:space="0" w:color="auto"/>
        <w:left w:val="none" w:sz="0" w:space="0" w:color="auto"/>
        <w:bottom w:val="none" w:sz="0" w:space="0" w:color="auto"/>
        <w:right w:val="none" w:sz="0" w:space="0" w:color="auto"/>
      </w:divBdr>
    </w:div>
    <w:div w:id="1770463693">
      <w:bodyDiv w:val="1"/>
      <w:marLeft w:val="0"/>
      <w:marRight w:val="0"/>
      <w:marTop w:val="0"/>
      <w:marBottom w:val="0"/>
      <w:divBdr>
        <w:top w:val="none" w:sz="0" w:space="0" w:color="auto"/>
        <w:left w:val="none" w:sz="0" w:space="0" w:color="auto"/>
        <w:bottom w:val="none" w:sz="0" w:space="0" w:color="auto"/>
        <w:right w:val="none" w:sz="0" w:space="0" w:color="auto"/>
      </w:divBdr>
    </w:div>
    <w:div w:id="1771314446">
      <w:bodyDiv w:val="1"/>
      <w:marLeft w:val="0"/>
      <w:marRight w:val="0"/>
      <w:marTop w:val="0"/>
      <w:marBottom w:val="0"/>
      <w:divBdr>
        <w:top w:val="none" w:sz="0" w:space="0" w:color="auto"/>
        <w:left w:val="none" w:sz="0" w:space="0" w:color="auto"/>
        <w:bottom w:val="none" w:sz="0" w:space="0" w:color="auto"/>
        <w:right w:val="none" w:sz="0" w:space="0" w:color="auto"/>
      </w:divBdr>
    </w:div>
    <w:div w:id="1895458337">
      <w:bodyDiv w:val="1"/>
      <w:marLeft w:val="0"/>
      <w:marRight w:val="0"/>
      <w:marTop w:val="0"/>
      <w:marBottom w:val="0"/>
      <w:divBdr>
        <w:top w:val="none" w:sz="0" w:space="0" w:color="auto"/>
        <w:left w:val="none" w:sz="0" w:space="0" w:color="auto"/>
        <w:bottom w:val="none" w:sz="0" w:space="0" w:color="auto"/>
        <w:right w:val="none" w:sz="0" w:space="0" w:color="auto"/>
      </w:divBdr>
    </w:div>
    <w:div w:id="1895577577">
      <w:bodyDiv w:val="1"/>
      <w:marLeft w:val="0"/>
      <w:marRight w:val="0"/>
      <w:marTop w:val="0"/>
      <w:marBottom w:val="0"/>
      <w:divBdr>
        <w:top w:val="none" w:sz="0" w:space="0" w:color="auto"/>
        <w:left w:val="none" w:sz="0" w:space="0" w:color="auto"/>
        <w:bottom w:val="none" w:sz="0" w:space="0" w:color="auto"/>
        <w:right w:val="none" w:sz="0" w:space="0" w:color="auto"/>
      </w:divBdr>
    </w:div>
    <w:div w:id="1901791470">
      <w:bodyDiv w:val="1"/>
      <w:marLeft w:val="0"/>
      <w:marRight w:val="0"/>
      <w:marTop w:val="0"/>
      <w:marBottom w:val="0"/>
      <w:divBdr>
        <w:top w:val="none" w:sz="0" w:space="0" w:color="auto"/>
        <w:left w:val="none" w:sz="0" w:space="0" w:color="auto"/>
        <w:bottom w:val="none" w:sz="0" w:space="0" w:color="auto"/>
        <w:right w:val="none" w:sz="0" w:space="0" w:color="auto"/>
      </w:divBdr>
    </w:div>
    <w:div w:id="1909002041">
      <w:bodyDiv w:val="1"/>
      <w:marLeft w:val="0"/>
      <w:marRight w:val="0"/>
      <w:marTop w:val="0"/>
      <w:marBottom w:val="0"/>
      <w:divBdr>
        <w:top w:val="none" w:sz="0" w:space="0" w:color="auto"/>
        <w:left w:val="none" w:sz="0" w:space="0" w:color="auto"/>
        <w:bottom w:val="none" w:sz="0" w:space="0" w:color="auto"/>
        <w:right w:val="none" w:sz="0" w:space="0" w:color="auto"/>
      </w:divBdr>
    </w:div>
    <w:div w:id="1936935287">
      <w:bodyDiv w:val="1"/>
      <w:marLeft w:val="0"/>
      <w:marRight w:val="0"/>
      <w:marTop w:val="0"/>
      <w:marBottom w:val="0"/>
      <w:divBdr>
        <w:top w:val="none" w:sz="0" w:space="0" w:color="auto"/>
        <w:left w:val="none" w:sz="0" w:space="0" w:color="auto"/>
        <w:bottom w:val="none" w:sz="0" w:space="0" w:color="auto"/>
        <w:right w:val="none" w:sz="0" w:space="0" w:color="auto"/>
      </w:divBdr>
    </w:div>
    <w:div w:id="1948152179">
      <w:bodyDiv w:val="1"/>
      <w:marLeft w:val="0"/>
      <w:marRight w:val="0"/>
      <w:marTop w:val="0"/>
      <w:marBottom w:val="0"/>
      <w:divBdr>
        <w:top w:val="none" w:sz="0" w:space="0" w:color="auto"/>
        <w:left w:val="none" w:sz="0" w:space="0" w:color="auto"/>
        <w:bottom w:val="none" w:sz="0" w:space="0" w:color="auto"/>
        <w:right w:val="none" w:sz="0" w:space="0" w:color="auto"/>
      </w:divBdr>
    </w:div>
    <w:div w:id="1954627499">
      <w:bodyDiv w:val="1"/>
      <w:marLeft w:val="0"/>
      <w:marRight w:val="0"/>
      <w:marTop w:val="0"/>
      <w:marBottom w:val="0"/>
      <w:divBdr>
        <w:top w:val="none" w:sz="0" w:space="0" w:color="auto"/>
        <w:left w:val="none" w:sz="0" w:space="0" w:color="auto"/>
        <w:bottom w:val="none" w:sz="0" w:space="0" w:color="auto"/>
        <w:right w:val="none" w:sz="0" w:space="0" w:color="auto"/>
      </w:divBdr>
    </w:div>
    <w:div w:id="1990670186">
      <w:bodyDiv w:val="1"/>
      <w:marLeft w:val="0"/>
      <w:marRight w:val="0"/>
      <w:marTop w:val="0"/>
      <w:marBottom w:val="0"/>
      <w:divBdr>
        <w:top w:val="none" w:sz="0" w:space="0" w:color="auto"/>
        <w:left w:val="none" w:sz="0" w:space="0" w:color="auto"/>
        <w:bottom w:val="none" w:sz="0" w:space="0" w:color="auto"/>
        <w:right w:val="none" w:sz="0" w:space="0" w:color="auto"/>
      </w:divBdr>
    </w:div>
    <w:div w:id="2015066081">
      <w:bodyDiv w:val="1"/>
      <w:marLeft w:val="0"/>
      <w:marRight w:val="0"/>
      <w:marTop w:val="0"/>
      <w:marBottom w:val="0"/>
      <w:divBdr>
        <w:top w:val="none" w:sz="0" w:space="0" w:color="auto"/>
        <w:left w:val="none" w:sz="0" w:space="0" w:color="auto"/>
        <w:bottom w:val="none" w:sz="0" w:space="0" w:color="auto"/>
        <w:right w:val="none" w:sz="0" w:space="0" w:color="auto"/>
      </w:divBdr>
    </w:div>
    <w:div w:id="2020348069">
      <w:bodyDiv w:val="1"/>
      <w:marLeft w:val="0"/>
      <w:marRight w:val="0"/>
      <w:marTop w:val="0"/>
      <w:marBottom w:val="0"/>
      <w:divBdr>
        <w:top w:val="none" w:sz="0" w:space="0" w:color="auto"/>
        <w:left w:val="none" w:sz="0" w:space="0" w:color="auto"/>
        <w:bottom w:val="none" w:sz="0" w:space="0" w:color="auto"/>
        <w:right w:val="none" w:sz="0" w:space="0" w:color="auto"/>
      </w:divBdr>
    </w:div>
    <w:div w:id="2042700637">
      <w:bodyDiv w:val="1"/>
      <w:marLeft w:val="0"/>
      <w:marRight w:val="0"/>
      <w:marTop w:val="0"/>
      <w:marBottom w:val="0"/>
      <w:divBdr>
        <w:top w:val="none" w:sz="0" w:space="0" w:color="auto"/>
        <w:left w:val="none" w:sz="0" w:space="0" w:color="auto"/>
        <w:bottom w:val="none" w:sz="0" w:space="0" w:color="auto"/>
        <w:right w:val="none" w:sz="0" w:space="0" w:color="auto"/>
      </w:divBdr>
    </w:div>
    <w:div w:id="2043241260">
      <w:bodyDiv w:val="1"/>
      <w:marLeft w:val="0"/>
      <w:marRight w:val="0"/>
      <w:marTop w:val="0"/>
      <w:marBottom w:val="0"/>
      <w:divBdr>
        <w:top w:val="none" w:sz="0" w:space="0" w:color="auto"/>
        <w:left w:val="none" w:sz="0" w:space="0" w:color="auto"/>
        <w:bottom w:val="none" w:sz="0" w:space="0" w:color="auto"/>
        <w:right w:val="none" w:sz="0" w:space="0" w:color="auto"/>
      </w:divBdr>
    </w:div>
    <w:div w:id="2049450560">
      <w:bodyDiv w:val="1"/>
      <w:marLeft w:val="0"/>
      <w:marRight w:val="0"/>
      <w:marTop w:val="0"/>
      <w:marBottom w:val="0"/>
      <w:divBdr>
        <w:top w:val="none" w:sz="0" w:space="0" w:color="auto"/>
        <w:left w:val="none" w:sz="0" w:space="0" w:color="auto"/>
        <w:bottom w:val="none" w:sz="0" w:space="0" w:color="auto"/>
        <w:right w:val="none" w:sz="0" w:space="0" w:color="auto"/>
      </w:divBdr>
    </w:div>
    <w:div w:id="2054109648">
      <w:bodyDiv w:val="1"/>
      <w:marLeft w:val="0"/>
      <w:marRight w:val="0"/>
      <w:marTop w:val="0"/>
      <w:marBottom w:val="0"/>
      <w:divBdr>
        <w:top w:val="none" w:sz="0" w:space="0" w:color="auto"/>
        <w:left w:val="none" w:sz="0" w:space="0" w:color="auto"/>
        <w:bottom w:val="none" w:sz="0" w:space="0" w:color="auto"/>
        <w:right w:val="none" w:sz="0" w:space="0" w:color="auto"/>
      </w:divBdr>
    </w:div>
    <w:div w:id="2064475282">
      <w:bodyDiv w:val="1"/>
      <w:marLeft w:val="0"/>
      <w:marRight w:val="0"/>
      <w:marTop w:val="0"/>
      <w:marBottom w:val="0"/>
      <w:divBdr>
        <w:top w:val="none" w:sz="0" w:space="0" w:color="auto"/>
        <w:left w:val="none" w:sz="0" w:space="0" w:color="auto"/>
        <w:bottom w:val="none" w:sz="0" w:space="0" w:color="auto"/>
        <w:right w:val="none" w:sz="0" w:space="0" w:color="auto"/>
      </w:divBdr>
    </w:div>
    <w:div w:id="2098207591">
      <w:bodyDiv w:val="1"/>
      <w:marLeft w:val="0"/>
      <w:marRight w:val="0"/>
      <w:marTop w:val="0"/>
      <w:marBottom w:val="0"/>
      <w:divBdr>
        <w:top w:val="none" w:sz="0" w:space="0" w:color="auto"/>
        <w:left w:val="none" w:sz="0" w:space="0" w:color="auto"/>
        <w:bottom w:val="none" w:sz="0" w:space="0" w:color="auto"/>
        <w:right w:val="none" w:sz="0" w:space="0" w:color="auto"/>
      </w:divBdr>
    </w:div>
    <w:div w:id="2107579475">
      <w:bodyDiv w:val="1"/>
      <w:marLeft w:val="0"/>
      <w:marRight w:val="0"/>
      <w:marTop w:val="0"/>
      <w:marBottom w:val="0"/>
      <w:divBdr>
        <w:top w:val="none" w:sz="0" w:space="0" w:color="auto"/>
        <w:left w:val="none" w:sz="0" w:space="0" w:color="auto"/>
        <w:bottom w:val="none" w:sz="0" w:space="0" w:color="auto"/>
        <w:right w:val="none" w:sz="0" w:space="0" w:color="auto"/>
      </w:divBdr>
    </w:div>
    <w:div w:id="2130124521">
      <w:bodyDiv w:val="1"/>
      <w:marLeft w:val="0"/>
      <w:marRight w:val="0"/>
      <w:marTop w:val="0"/>
      <w:marBottom w:val="0"/>
      <w:divBdr>
        <w:top w:val="none" w:sz="0" w:space="0" w:color="auto"/>
        <w:left w:val="none" w:sz="0" w:space="0" w:color="auto"/>
        <w:bottom w:val="none" w:sz="0" w:space="0" w:color="auto"/>
        <w:right w:val="none" w:sz="0" w:space="0" w:color="auto"/>
      </w:divBdr>
    </w:div>
    <w:div w:id="2143766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yperlink" Target="http://www.tagnifi.com" TargetMode="External"/><Relationship Id="rId47" Type="http://schemas.openxmlformats.org/officeDocument/2006/relationships/image" Target="media/image38.png"/><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fred.stlouisfed.org/series/BAA" TargetMode="External"/><Relationship Id="rId13" Type="http://schemas.openxmlformats.org/officeDocument/2006/relationships/hyperlink" Target="https://fred.stlouisfed.org/series/CPIAUCSL" TargetMode="External"/><Relationship Id="rId18" Type="http://schemas.openxmlformats.org/officeDocument/2006/relationships/hyperlink" Target="https://fred.stlouisfed.org/series/PIORECRUSDM" TargetMode="External"/><Relationship Id="rId26" Type="http://schemas.openxmlformats.org/officeDocument/2006/relationships/hyperlink" Target="https://fred.stlouisfed.org/series/VIXCLS" TargetMode="External"/><Relationship Id="rId3" Type="http://schemas.openxmlformats.org/officeDocument/2006/relationships/hyperlink" Target="https://fred.stlouisfed.org/series/GDPC1" TargetMode="External"/><Relationship Id="rId21" Type="http://schemas.openxmlformats.org/officeDocument/2006/relationships/hyperlink" Target="https://fred.stlouisfed.org/series/MORTGAGE30US" TargetMode="External"/><Relationship Id="rId7" Type="http://schemas.openxmlformats.org/officeDocument/2006/relationships/hyperlink" Target="https://fred.stlouisfed.org/series/DGS10" TargetMode="External"/><Relationship Id="rId12" Type="http://schemas.openxmlformats.org/officeDocument/2006/relationships/hyperlink" Target="https://fred.stlouisfed.org/series/PAYEMS" TargetMode="External"/><Relationship Id="rId17" Type="http://schemas.openxmlformats.org/officeDocument/2006/relationships/hyperlink" Target="https://fred.stlouisfed.org/series/PCOPPUSDM" TargetMode="External"/><Relationship Id="rId25" Type="http://schemas.openxmlformats.org/officeDocument/2006/relationships/hyperlink" Target="https://fred.stlouisfed.org/series/UMCSENT" TargetMode="External"/><Relationship Id="rId2" Type="http://schemas.openxmlformats.org/officeDocument/2006/relationships/hyperlink" Target="https://fred.stlouisfed.org/series/DTWEXBGS" TargetMode="External"/><Relationship Id="rId16" Type="http://schemas.openxmlformats.org/officeDocument/2006/relationships/hyperlink" Target="https://fred.stlouisfed.org/series/MCOILWTICO" TargetMode="External"/><Relationship Id="rId20" Type="http://schemas.openxmlformats.org/officeDocument/2006/relationships/hyperlink" Target="https://fred.stlouisfed.org/series/HOUST" TargetMode="External"/><Relationship Id="rId29" Type="http://schemas.openxmlformats.org/officeDocument/2006/relationships/hyperlink" Target="https://fred.stlouisfed.org/series/UNRATECTM" TargetMode="External"/><Relationship Id="rId1" Type="http://schemas.openxmlformats.org/officeDocument/2006/relationships/hyperlink" Target="https://fred.stlouisfed.org/series/USPHCI" TargetMode="External"/><Relationship Id="rId6" Type="http://schemas.openxmlformats.org/officeDocument/2006/relationships/hyperlink" Target="https://fred.stlouisfed.org/series/FEDFUNDS" TargetMode="External"/><Relationship Id="rId11" Type="http://schemas.openxmlformats.org/officeDocument/2006/relationships/hyperlink" Target="https://fred.stlouisfed.org/series/U6RATE" TargetMode="External"/><Relationship Id="rId24" Type="http://schemas.openxmlformats.org/officeDocument/2006/relationships/hyperlink" Target="https://fred.stlouisfed.org/series/CUSR0000SETA02" TargetMode="External"/><Relationship Id="rId5" Type="http://schemas.openxmlformats.org/officeDocument/2006/relationships/hyperlink" Target="https://fred.stlouisfed.org/series/MCUMFN" TargetMode="External"/><Relationship Id="rId15" Type="http://schemas.openxmlformats.org/officeDocument/2006/relationships/hyperlink" Target="https://fred.stlouisfed.org/series/T5YIE" TargetMode="External"/><Relationship Id="rId23" Type="http://schemas.openxmlformats.org/officeDocument/2006/relationships/hyperlink" Target="https://fred.stlouisfed.org/series/PCE" TargetMode="External"/><Relationship Id="rId28" Type="http://schemas.openxmlformats.org/officeDocument/2006/relationships/hyperlink" Target="https://fred.stlouisfed.org/series/PCECTPICTM" TargetMode="External"/><Relationship Id="rId10" Type="http://schemas.openxmlformats.org/officeDocument/2006/relationships/hyperlink" Target="https://www.philadelphiafed.org/surveys-and-data/real-time-data-research/livingston-survey" TargetMode="External"/><Relationship Id="rId19" Type="http://schemas.openxmlformats.org/officeDocument/2006/relationships/hyperlink" Target="https://fred.stlouisfed.org/series/PMAIZMTUSDM" TargetMode="External"/><Relationship Id="rId4" Type="http://schemas.openxmlformats.org/officeDocument/2006/relationships/hyperlink" Target="https://fred.stlouisfed.org/series/INDPRO" TargetMode="External"/><Relationship Id="rId9" Type="http://schemas.openxmlformats.org/officeDocument/2006/relationships/hyperlink" Target="https://fred.stlouisfed.org/series/UNRATE" TargetMode="External"/><Relationship Id="rId14" Type="http://schemas.openxmlformats.org/officeDocument/2006/relationships/hyperlink" Target="https://fred.stlouisfed.org/series/PPIACO" TargetMode="External"/><Relationship Id="rId22" Type="http://schemas.openxmlformats.org/officeDocument/2006/relationships/hyperlink" Target="https://fred.stlouisfed.org/series/SPCS20RSA" TargetMode="External"/><Relationship Id="rId27" Type="http://schemas.openxmlformats.org/officeDocument/2006/relationships/hyperlink" Target="https://fred.stlouisfed.org/series/GDPC1C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Designed for business valuation professionals, TagniFi’s Quarterly Economic Update provides timely economic data to satisfy Revenue Ruling 59-60.  </Abstract>
  <CompanyAddress/>
  <CompanyPhone/>
  <CompanyFax/>
  <CompanyEmail>www.tagnifi.com</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77EA666-4F3A-4F08-99D0-E705A40D0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Pages>
  <Words>3140</Words>
  <Characters>17904</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Quarterly Economic Update</vt:lpstr>
    </vt:vector>
  </TitlesOfParts>
  <Company/>
  <LinksUpToDate>false</LinksUpToDate>
  <CharactersWithSpaces>21002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Economic Update</dc:title>
  <dc:subject>For the 1st Quarter of 2020</dc:subject>
  <dc:creator>Office 365</dc:creator>
  <cp:keywords/>
  <dc:description/>
  <cp:lastModifiedBy>Chad Sandstedt</cp:lastModifiedBy>
  <cp:revision>7</cp:revision>
  <cp:lastPrinted>2021-08-07T16:35:00Z</cp:lastPrinted>
  <dcterms:created xsi:type="dcterms:W3CDTF">2021-08-07T16:34:00Z</dcterms:created>
  <dcterms:modified xsi:type="dcterms:W3CDTF">2021-08-07T17:06:00Z</dcterms:modified>
</cp:coreProperties>
</file>