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6A3F039C" w:rsidR="006663D0" w:rsidRDefault="006663D0" w:rsidP="002E6FDE">
          <w:pPr>
            <w:jc w:val="right"/>
          </w:pPr>
        </w:p>
        <w:p w14:paraId="61E7189B" w14:textId="5A4E226B" w:rsidR="006663D0" w:rsidRDefault="00361E70" w:rsidP="00696388">
          <w:pPr>
            <w:jc w:val="right"/>
          </w:pPr>
          <w:r>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2ED0C894" w:rsidR="006663D0" w:rsidRDefault="006663D0" w:rsidP="002E6FDE">
          <w:pPr>
            <w:jc w:val="right"/>
            <w:rPr>
              <w:sz w:val="36"/>
              <w:szCs w:val="36"/>
            </w:rPr>
          </w:pPr>
          <w:r w:rsidRPr="006663D0">
            <w:rPr>
              <w:sz w:val="36"/>
              <w:szCs w:val="36"/>
            </w:rPr>
            <w:t xml:space="preserve">For the </w:t>
          </w:r>
          <w:r w:rsidR="003A0B8A">
            <w:rPr>
              <w:sz w:val="36"/>
              <w:szCs w:val="36"/>
            </w:rPr>
            <w:t>3</w:t>
          </w:r>
          <w:r w:rsidR="003A0B8A" w:rsidRPr="003A0B8A">
            <w:rPr>
              <w:sz w:val="36"/>
              <w:szCs w:val="36"/>
              <w:vertAlign w:val="superscript"/>
            </w:rPr>
            <w:t>rd</w:t>
          </w:r>
          <w:r w:rsidR="003A0B8A">
            <w:rPr>
              <w:sz w:val="36"/>
              <w:szCs w:val="36"/>
            </w:rPr>
            <w:t xml:space="preserve"> </w:t>
          </w:r>
          <w:r w:rsidR="00795ECE">
            <w:rPr>
              <w:sz w:val="36"/>
              <w:szCs w:val="36"/>
            </w:rPr>
            <w:t>Quarter of 2021</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TagniFi’s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207CC62E" w14:textId="5383BE96" w:rsidR="002D17D6" w:rsidRDefault="002D17D6" w:rsidP="002D17D6">
      <w:r>
        <w:t>In the</w:t>
      </w:r>
      <w:r w:rsidRPr="00116D55">
        <w:t xml:space="preserve"> </w:t>
      </w:r>
      <w:r>
        <w:t>3</w:t>
      </w:r>
      <w:r w:rsidRPr="002D17D6">
        <w:rPr>
          <w:vertAlign w:val="superscript"/>
        </w:rPr>
        <w:t>rd</w:t>
      </w:r>
      <w:r>
        <w:t xml:space="preserve"> </w:t>
      </w:r>
      <w:r w:rsidRPr="00116D55">
        <w:t>quarter of 202</w:t>
      </w:r>
      <w:r>
        <w:t>1, the U.S.’s dogged economic recuperation from the COVID-19 pandemic pushed up against constraints in supply and labor, inflationary pressures, and the specter of waning monetary policy supports</w:t>
      </w:r>
      <w:r w:rsidRPr="00116D55">
        <w:t xml:space="preserve">. </w:t>
      </w:r>
      <w:r>
        <w:t>The American economy eked out gains in production despite the pandemic’s ongoing upheaval to global supply chains and labor markets</w:t>
      </w:r>
      <w:r w:rsidRPr="00497298">
        <w:t>.</w:t>
      </w:r>
    </w:p>
    <w:p w14:paraId="6DCBA74D" w14:textId="77777777" w:rsidR="002D17D6" w:rsidRDefault="002D17D6" w:rsidP="002D17D6">
      <w:r>
        <w:t>S</w:t>
      </w:r>
      <w:r w:rsidRPr="00134929">
        <w:t>upply chains</w:t>
      </w:r>
      <w:r>
        <w:t xml:space="preserve"> across the globe continue to face complex challenges in both production and shipment</w:t>
      </w:r>
      <w:r w:rsidRPr="00134929">
        <w:t>.</w:t>
      </w:r>
      <w:r w:rsidRPr="00E2117F">
        <w:t xml:space="preserve"> </w:t>
      </w:r>
      <w:r>
        <w:t>Worker shortages represent a particular challenge to supply, affecting availability of parts as well as movement of both inputs and final demand goods by truck and at bottlenecked U.S. ports. Although the unemployment rate dropped low enough to put the U.S. economy technically at full employment, labor market participation remained depressed through September. Notably, the labor market participation rate inched down in September despite the end of federal programs that augmented unemployment compensation benefits, hinting that there may be more complex reasons holding workers back.</w:t>
      </w:r>
    </w:p>
    <w:p w14:paraId="38DE37F3" w14:textId="2BA1EC63" w:rsidR="002D17D6" w:rsidRPr="00B911B3" w:rsidRDefault="002D17D6" w:rsidP="002D17D6">
      <w:pPr>
        <w:rPr>
          <w:highlight w:val="yellow"/>
        </w:rPr>
      </w:pPr>
      <w:r w:rsidRPr="00BE3701">
        <w:t xml:space="preserve">Balancing a robust economic recovery with stubborn inflationary pressures continues to be a main challenge for the U.S. </w:t>
      </w:r>
      <w:r>
        <w:t>Several consecutive months of elevated inflation prompted the Fed to tighten the predicted timeline for winding down their aggressive expansionary monetary policy. The Fed indicated they may begin selling off government securities as soon as the 4</w:t>
      </w:r>
      <w:r w:rsidRPr="002D17D6">
        <w:rPr>
          <w:vertAlign w:val="superscript"/>
        </w:rPr>
        <w:t>th</w:t>
      </w:r>
      <w:r>
        <w:t xml:space="preserve"> quarter of 2021 and raising target interest rates as soon as 2022. </w:t>
      </w:r>
    </w:p>
    <w:p w14:paraId="2D59E529" w14:textId="01E93E79" w:rsidR="002D17D6" w:rsidRPr="00497298" w:rsidRDefault="00B36811" w:rsidP="002D17D6">
      <w:r>
        <w:t xml:space="preserve">As the </w:t>
      </w:r>
      <w:r w:rsidR="002D17D6" w:rsidRPr="00497298">
        <w:t>U.S. economy</w:t>
      </w:r>
      <w:r>
        <w:t xml:space="preserve"> continued to </w:t>
      </w:r>
      <w:r w:rsidR="002D17D6" w:rsidRPr="00497298">
        <w:t xml:space="preserve">battle forward </w:t>
      </w:r>
      <w:r>
        <w:t>during the 3</w:t>
      </w:r>
      <w:r w:rsidRPr="00B36811">
        <w:rPr>
          <w:vertAlign w:val="superscript"/>
        </w:rPr>
        <w:t>rd</w:t>
      </w:r>
      <w:r>
        <w:t xml:space="preserve"> quarter,</w:t>
      </w:r>
      <w:r w:rsidR="002D17D6" w:rsidRPr="00497298">
        <w:t xml:space="preserve"> the spread of the </w:t>
      </w:r>
      <w:r w:rsidR="002D17D6">
        <w:t>D</w:t>
      </w:r>
      <w:r w:rsidR="002D17D6" w:rsidRPr="00497298">
        <w:t>elta variant fueled a brutal fourth wave of the COVID-19 pandemic.</w:t>
      </w:r>
      <w:r w:rsidR="002D17D6">
        <w:t xml:space="preserve"> By the end of the quarter, COVID-19 had killed more than 1 in 500 Americans and surpassed the 1918 Spanish Flu to become the deadliest pandemic in United States history.</w:t>
      </w:r>
    </w:p>
    <w:p w14:paraId="6963DC15" w14:textId="2F63343F" w:rsidR="006F58B0" w:rsidRPr="00E26E3C" w:rsidRDefault="006F58B0" w:rsidP="00D93A8B">
      <w:r w:rsidRPr="00E26E3C">
        <w:t xml:space="preserve">Below is a summary timeline of key COVID-19 events in the U.S. during the </w:t>
      </w:r>
      <w:r w:rsidR="00E26E3C">
        <w:t>3</w:t>
      </w:r>
      <w:r w:rsidR="00E26E3C" w:rsidRPr="00E26E3C">
        <w:rPr>
          <w:vertAlign w:val="superscript"/>
        </w:rPr>
        <w:t>rd</w:t>
      </w:r>
      <w:r w:rsidR="00E26E3C">
        <w:t xml:space="preserve"> </w:t>
      </w:r>
      <w:r w:rsidRPr="00E26E3C">
        <w:t>quarter of 2021:</w:t>
      </w:r>
    </w:p>
    <w:tbl>
      <w:tblPr>
        <w:tblStyle w:val="GridTable3-Accent1"/>
        <w:tblW w:w="0" w:type="auto"/>
        <w:tblLook w:val="0400" w:firstRow="0" w:lastRow="0" w:firstColumn="0" w:lastColumn="0" w:noHBand="0" w:noVBand="1"/>
      </w:tblPr>
      <w:tblGrid>
        <w:gridCol w:w="2335"/>
        <w:gridCol w:w="7015"/>
      </w:tblGrid>
      <w:tr w:rsidR="006F58B0" w:rsidRPr="00E26E3C" w14:paraId="03717F31"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2A4C4CDC" w14:textId="0E34017D" w:rsidR="006F58B0" w:rsidRPr="00E26E3C" w:rsidRDefault="00E26E3C" w:rsidP="003A2900">
            <w:r>
              <w:t xml:space="preserve">July </w:t>
            </w:r>
            <w:r w:rsidR="006F58B0" w:rsidRPr="00E26E3C">
              <w:t>1, 2021</w:t>
            </w:r>
          </w:p>
        </w:tc>
        <w:tc>
          <w:tcPr>
            <w:tcW w:w="7015" w:type="dxa"/>
          </w:tcPr>
          <w:p w14:paraId="4C2D5DBA" w14:textId="7D74DE0F" w:rsidR="006F58B0" w:rsidRPr="00E26E3C" w:rsidRDefault="006F58B0" w:rsidP="003A2900">
            <w:r w:rsidRPr="00E26E3C">
              <w:t xml:space="preserve">US begins the quarter at </w:t>
            </w:r>
            <w:r w:rsidR="00E26E3C">
              <w:t>18</w:t>
            </w:r>
            <w:r w:rsidRPr="00E26E3C">
              <w:t>,</w:t>
            </w:r>
            <w:r w:rsidR="00E26E3C">
              <w:t>949</w:t>
            </w:r>
            <w:r w:rsidRPr="00E26E3C">
              <w:t xml:space="preserve"> daily cases, </w:t>
            </w:r>
            <w:r w:rsidR="00E26E3C">
              <w:t>229</w:t>
            </w:r>
            <w:r w:rsidRPr="00E26E3C">
              <w:t xml:space="preserve"> daily deaths</w:t>
            </w:r>
            <w:r w:rsidR="00E26E3C">
              <w:t xml:space="preserve"> (7-day moving average)</w:t>
            </w:r>
            <w:r w:rsidRPr="00E26E3C">
              <w:t xml:space="preserve">. </w:t>
            </w:r>
            <w:r w:rsidR="00E933EB">
              <w:t>47</w:t>
            </w:r>
            <w:r w:rsidRPr="00E26E3C">
              <w:t>% of Americans are fully vaccinated.</w:t>
            </w:r>
          </w:p>
        </w:tc>
      </w:tr>
      <w:tr w:rsidR="00467365" w:rsidRPr="00E26E3C" w14:paraId="6922B589" w14:textId="77777777" w:rsidTr="003A2900">
        <w:tc>
          <w:tcPr>
            <w:tcW w:w="2335" w:type="dxa"/>
          </w:tcPr>
          <w:p w14:paraId="5BF92D7D" w14:textId="3816E3F0" w:rsidR="00467365" w:rsidRDefault="00467365" w:rsidP="003A2900">
            <w:r>
              <w:t>July 3, 2021</w:t>
            </w:r>
          </w:p>
        </w:tc>
        <w:tc>
          <w:tcPr>
            <w:tcW w:w="7015" w:type="dxa"/>
          </w:tcPr>
          <w:p w14:paraId="0153063B" w14:textId="2A8C3650" w:rsidR="00467365" w:rsidRDefault="00467365" w:rsidP="003A2900">
            <w:r>
              <w:t>Delta variant becomes dominant strain in US according to CDC 2-week estimates</w:t>
            </w:r>
          </w:p>
        </w:tc>
      </w:tr>
      <w:tr w:rsidR="006F58B0" w:rsidRPr="00E26E3C" w14:paraId="5120A14F"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28CA6D35" w14:textId="604BC6A9" w:rsidR="006F58B0" w:rsidRPr="00E26E3C" w:rsidRDefault="00E933EB" w:rsidP="003A2900">
            <w:r>
              <w:t>July 27</w:t>
            </w:r>
            <w:r w:rsidR="006F58B0" w:rsidRPr="00E26E3C">
              <w:t>, 2021</w:t>
            </w:r>
          </w:p>
        </w:tc>
        <w:tc>
          <w:tcPr>
            <w:tcW w:w="7015" w:type="dxa"/>
          </w:tcPr>
          <w:p w14:paraId="78CC4FDC" w14:textId="640A9284" w:rsidR="006F58B0" w:rsidRPr="00E26E3C" w:rsidRDefault="00E933EB" w:rsidP="003A2900">
            <w:r>
              <w:t xml:space="preserve">CDC </w:t>
            </w:r>
            <w:r w:rsidR="002F4629">
              <w:t>recommends</w:t>
            </w:r>
            <w:r>
              <w:t xml:space="preserve"> </w:t>
            </w:r>
            <w:r w:rsidR="002F4629">
              <w:t xml:space="preserve">indoor masking for </w:t>
            </w:r>
            <w:r>
              <w:t>fully vaccinated individuals</w:t>
            </w:r>
            <w:r w:rsidR="002F4629">
              <w:t xml:space="preserve"> in areas with substantial community spread of COVID-19</w:t>
            </w:r>
          </w:p>
        </w:tc>
      </w:tr>
      <w:tr w:rsidR="006F58B0" w:rsidRPr="00E26E3C" w14:paraId="615163C9" w14:textId="77777777" w:rsidTr="003A2900">
        <w:tc>
          <w:tcPr>
            <w:tcW w:w="2335" w:type="dxa"/>
          </w:tcPr>
          <w:p w14:paraId="56F344DC" w14:textId="78DC577A" w:rsidR="006F58B0" w:rsidRPr="00E26E3C" w:rsidRDefault="002F4629" w:rsidP="003A2900">
            <w:r>
              <w:t>July 30</w:t>
            </w:r>
            <w:r w:rsidR="006F58B0" w:rsidRPr="00E26E3C">
              <w:t>, 2021</w:t>
            </w:r>
          </w:p>
        </w:tc>
        <w:tc>
          <w:tcPr>
            <w:tcW w:w="7015" w:type="dxa"/>
          </w:tcPr>
          <w:p w14:paraId="4DA580F7" w14:textId="1BFC4145" w:rsidR="006F58B0" w:rsidRPr="00E26E3C" w:rsidRDefault="006F58B0" w:rsidP="003A2900">
            <w:r w:rsidRPr="00E26E3C">
              <w:t xml:space="preserve">Half of </w:t>
            </w:r>
            <w:r w:rsidR="002F4629">
              <w:t>a</w:t>
            </w:r>
            <w:r w:rsidRPr="00E26E3C">
              <w:t xml:space="preserve">ll US </w:t>
            </w:r>
            <w:r w:rsidR="002F4629">
              <w:t>citizens</w:t>
            </w:r>
            <w:r w:rsidRPr="00E26E3C">
              <w:t xml:space="preserve"> </w:t>
            </w:r>
            <w:r w:rsidR="002F4629">
              <w:t>are fully vaccinated</w:t>
            </w:r>
          </w:p>
        </w:tc>
      </w:tr>
      <w:tr w:rsidR="002F4629" w:rsidRPr="00E26E3C" w14:paraId="399493C6"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067AB42A" w14:textId="0698D08D" w:rsidR="002F4629" w:rsidRDefault="002F4629" w:rsidP="003A2900">
            <w:r>
              <w:t>August 2, 2021</w:t>
            </w:r>
          </w:p>
        </w:tc>
        <w:tc>
          <w:tcPr>
            <w:tcW w:w="7015" w:type="dxa"/>
          </w:tcPr>
          <w:p w14:paraId="2C5E52A0" w14:textId="45C03BFA" w:rsidR="002F4629" w:rsidRDefault="002F4629" w:rsidP="003A2900">
            <w:r>
              <w:t>US reaches President Biden’s goal of 70% of adults receiving at least 1 dose of COVID-19 vaccine</w:t>
            </w:r>
          </w:p>
        </w:tc>
      </w:tr>
      <w:tr w:rsidR="006F58B0" w:rsidRPr="00E26E3C" w14:paraId="47AE9083" w14:textId="77777777" w:rsidTr="003A2900">
        <w:tc>
          <w:tcPr>
            <w:tcW w:w="2335" w:type="dxa"/>
          </w:tcPr>
          <w:p w14:paraId="4F485675" w14:textId="2194596B" w:rsidR="006F58B0" w:rsidRPr="00E26E3C" w:rsidRDefault="002F4629" w:rsidP="003A2900">
            <w:r>
              <w:t>August</w:t>
            </w:r>
            <w:r w:rsidRPr="00E26E3C">
              <w:t xml:space="preserve"> 18, 2021</w:t>
            </w:r>
          </w:p>
        </w:tc>
        <w:tc>
          <w:tcPr>
            <w:tcW w:w="7015" w:type="dxa"/>
          </w:tcPr>
          <w:p w14:paraId="252997BA" w14:textId="0BCA07E4" w:rsidR="006F58B0" w:rsidRPr="00E26E3C" w:rsidRDefault="002F4629" w:rsidP="003A2900">
            <w:r>
              <w:t>CDC announces plans for COVID-19 booster shots</w:t>
            </w:r>
          </w:p>
        </w:tc>
      </w:tr>
      <w:tr w:rsidR="006F58B0" w:rsidRPr="00E26E3C" w14:paraId="3C13B35F"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45CA6E30" w14:textId="43A98690" w:rsidR="006F58B0" w:rsidRPr="002F4629" w:rsidRDefault="002F4629" w:rsidP="002F4629">
            <w:pPr>
              <w:rPr>
                <w:rFonts w:ascii="Open Sans" w:hAnsi="Open Sans" w:cs="Open Sans"/>
                <w:color w:val="333333"/>
                <w:sz w:val="30"/>
                <w:szCs w:val="30"/>
              </w:rPr>
            </w:pPr>
            <w:r w:rsidRPr="002F4629">
              <w:t>August 23, 2021</w:t>
            </w:r>
          </w:p>
        </w:tc>
        <w:tc>
          <w:tcPr>
            <w:tcW w:w="7015" w:type="dxa"/>
          </w:tcPr>
          <w:p w14:paraId="01F200C2" w14:textId="36888EA2" w:rsidR="006F58B0" w:rsidRPr="00E26E3C" w:rsidRDefault="002F4629" w:rsidP="003A2900">
            <w:r>
              <w:t>FDA extends full approval to Pfizer-BioNTech COVID-19 vaccine</w:t>
            </w:r>
          </w:p>
        </w:tc>
      </w:tr>
      <w:tr w:rsidR="006F58B0" w:rsidRPr="00E26E3C" w14:paraId="1DDF180D" w14:textId="77777777" w:rsidTr="003A2900">
        <w:tc>
          <w:tcPr>
            <w:tcW w:w="2335" w:type="dxa"/>
          </w:tcPr>
          <w:p w14:paraId="31148927" w14:textId="5D2A31EF" w:rsidR="006F58B0" w:rsidRPr="00E26E3C" w:rsidRDefault="002F4629" w:rsidP="003A2900">
            <w:r>
              <w:t>August 31, 2021</w:t>
            </w:r>
          </w:p>
        </w:tc>
        <w:tc>
          <w:tcPr>
            <w:tcW w:w="7015" w:type="dxa"/>
          </w:tcPr>
          <w:p w14:paraId="7BDE653F" w14:textId="2CD200CD" w:rsidR="006F58B0" w:rsidRPr="00E26E3C" w:rsidRDefault="002F4629" w:rsidP="003A2900">
            <w:r>
              <w:t>Fourth wave of COVID-19 in US peaks at 161,665 daily cases (7-day moving average)</w:t>
            </w:r>
          </w:p>
        </w:tc>
      </w:tr>
      <w:tr w:rsidR="00467365" w:rsidRPr="00E26E3C" w14:paraId="5D3A74D6"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59EEA5B7" w14:textId="6EA01CDA" w:rsidR="00467365" w:rsidRDefault="00467365" w:rsidP="003A2900">
            <w:r>
              <w:t>September 4, 2021</w:t>
            </w:r>
          </w:p>
        </w:tc>
        <w:tc>
          <w:tcPr>
            <w:tcW w:w="7015" w:type="dxa"/>
          </w:tcPr>
          <w:p w14:paraId="33584ACD" w14:textId="4BD7A4A4" w:rsidR="00467365" w:rsidRDefault="00467365" w:rsidP="003A2900">
            <w:r>
              <w:t>US reaches 40 million total COVID-19 cases</w:t>
            </w:r>
          </w:p>
        </w:tc>
      </w:tr>
      <w:tr w:rsidR="00B445C8" w:rsidRPr="00E26E3C" w14:paraId="2E3B0203" w14:textId="77777777" w:rsidTr="003A2900">
        <w:tc>
          <w:tcPr>
            <w:tcW w:w="2335" w:type="dxa"/>
          </w:tcPr>
          <w:p w14:paraId="4EBF89C3" w14:textId="605E2761" w:rsidR="00B445C8" w:rsidRDefault="00B445C8" w:rsidP="003A2900">
            <w:r>
              <w:t>September 6, 2021</w:t>
            </w:r>
          </w:p>
        </w:tc>
        <w:tc>
          <w:tcPr>
            <w:tcW w:w="7015" w:type="dxa"/>
          </w:tcPr>
          <w:p w14:paraId="2514E8FD" w14:textId="7404FC43" w:rsidR="00B445C8" w:rsidRDefault="00B445C8" w:rsidP="003A2900">
            <w:r>
              <w:t xml:space="preserve">CARES Act unemployment benefits expire </w:t>
            </w:r>
          </w:p>
        </w:tc>
      </w:tr>
      <w:tr w:rsidR="00467365" w:rsidRPr="00E26E3C" w14:paraId="7DBD1102"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4D277F8D" w14:textId="44436A53" w:rsidR="00467365" w:rsidRDefault="00467365" w:rsidP="003A2900">
            <w:r>
              <w:lastRenderedPageBreak/>
              <w:t>September 9, 2021</w:t>
            </w:r>
          </w:p>
        </w:tc>
        <w:tc>
          <w:tcPr>
            <w:tcW w:w="7015" w:type="dxa"/>
          </w:tcPr>
          <w:p w14:paraId="7F5512BE" w14:textId="0B2CD07E" w:rsidR="00467365" w:rsidRDefault="002D7154" w:rsidP="003A2900">
            <w:r>
              <w:t xml:space="preserve">1 in 500 Americans have died from COVID-19 </w:t>
            </w:r>
          </w:p>
        </w:tc>
      </w:tr>
      <w:tr w:rsidR="002D7154" w:rsidRPr="00E26E3C" w14:paraId="2F8E2A2F" w14:textId="77777777" w:rsidTr="003A2900">
        <w:tc>
          <w:tcPr>
            <w:tcW w:w="2335" w:type="dxa"/>
          </w:tcPr>
          <w:p w14:paraId="1E9BE5C3" w14:textId="0B193DFA" w:rsidR="002D7154" w:rsidRDefault="002D7154" w:rsidP="003A2900">
            <w:r>
              <w:t>September 15, 2021</w:t>
            </w:r>
          </w:p>
        </w:tc>
        <w:tc>
          <w:tcPr>
            <w:tcW w:w="7015" w:type="dxa"/>
          </w:tcPr>
          <w:p w14:paraId="5DCA28DA" w14:textId="2E9BB773" w:rsidR="002D7154" w:rsidRDefault="002D7154" w:rsidP="003A2900">
            <w:r>
              <w:t>COVID-19 becomes deadliest pandemic in US history, having killed more than 675,000 Americans</w:t>
            </w:r>
          </w:p>
        </w:tc>
      </w:tr>
      <w:tr w:rsidR="006F58B0" w:rsidRPr="00E26E3C" w14:paraId="700056EE"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34292D61" w14:textId="24DBF87F" w:rsidR="006F58B0" w:rsidRPr="00E26E3C" w:rsidRDefault="002F4629" w:rsidP="003A2900">
            <w:r>
              <w:t>September 15, 2021</w:t>
            </w:r>
          </w:p>
        </w:tc>
        <w:tc>
          <w:tcPr>
            <w:tcW w:w="7015" w:type="dxa"/>
          </w:tcPr>
          <w:p w14:paraId="2ABEAD05" w14:textId="78912935" w:rsidR="006F58B0" w:rsidRPr="00E26E3C" w:rsidRDefault="002F4629" w:rsidP="003A2900">
            <w:r>
              <w:t xml:space="preserve">Deaths from </w:t>
            </w:r>
            <w:r w:rsidR="00467365">
              <w:t>fourth wave of COVID-19 in US peak at 1,854 daily (7-day moving average)</w:t>
            </w:r>
          </w:p>
        </w:tc>
      </w:tr>
      <w:tr w:rsidR="00831041" w:rsidRPr="00E26E3C" w14:paraId="6CB55E4B" w14:textId="77777777" w:rsidTr="003A2900">
        <w:tc>
          <w:tcPr>
            <w:tcW w:w="2335" w:type="dxa"/>
          </w:tcPr>
          <w:p w14:paraId="1474D4A1" w14:textId="1EFF1D38" w:rsidR="00831041" w:rsidRPr="00E26E3C" w:rsidRDefault="00467365" w:rsidP="003A2900">
            <w:r>
              <w:t>September 29, 2021</w:t>
            </w:r>
          </w:p>
        </w:tc>
        <w:tc>
          <w:tcPr>
            <w:tcW w:w="7015" w:type="dxa"/>
          </w:tcPr>
          <w:p w14:paraId="610DE274" w14:textId="72537D6E" w:rsidR="00831041" w:rsidRPr="00E26E3C" w:rsidRDefault="00467365" w:rsidP="003A2900">
            <w:r>
              <w:t>US reaches 700</w:t>
            </w:r>
            <w:r w:rsidR="00860D54">
              <w:t xml:space="preserve">,000 </w:t>
            </w:r>
            <w:r>
              <w:t>total deaths from COVID-19</w:t>
            </w:r>
          </w:p>
        </w:tc>
      </w:tr>
      <w:tr w:rsidR="009E2682" w:rsidRPr="00E26E3C" w14:paraId="7BEECDDB" w14:textId="77777777" w:rsidTr="003A2900">
        <w:trPr>
          <w:cnfStyle w:val="000000100000" w:firstRow="0" w:lastRow="0" w:firstColumn="0" w:lastColumn="0" w:oddVBand="0" w:evenVBand="0" w:oddHBand="1" w:evenHBand="0" w:firstRowFirstColumn="0" w:firstRowLastColumn="0" w:lastRowFirstColumn="0" w:lastRowLastColumn="0"/>
        </w:trPr>
        <w:tc>
          <w:tcPr>
            <w:tcW w:w="2335" w:type="dxa"/>
          </w:tcPr>
          <w:p w14:paraId="5813D88D" w14:textId="4F5DEA24" w:rsidR="006F58B0" w:rsidRPr="00E26E3C" w:rsidRDefault="00467365" w:rsidP="003A2900">
            <w:r>
              <w:t>September 30, 2021</w:t>
            </w:r>
          </w:p>
        </w:tc>
        <w:tc>
          <w:tcPr>
            <w:tcW w:w="7015" w:type="dxa"/>
          </w:tcPr>
          <w:p w14:paraId="0C678F3D" w14:textId="30DD7E98" w:rsidR="006F58B0" w:rsidRPr="00E26E3C" w:rsidRDefault="00467365" w:rsidP="003A2900">
            <w:r>
              <w:t>US ends the quarter at 107,444 daily cases, 1,720 daily deaths (7-day moving average)</w:t>
            </w:r>
            <w:r w:rsidR="007E4E9D">
              <w:t xml:space="preserve"> 56% of Americans are fully vaccinated.</w:t>
            </w:r>
          </w:p>
        </w:tc>
      </w:tr>
    </w:tbl>
    <w:p w14:paraId="4896EB85" w14:textId="77777777" w:rsidR="001A21D2" w:rsidRPr="003A0B8A" w:rsidRDefault="001A21D2" w:rsidP="004D1BCA">
      <w:pPr>
        <w:rPr>
          <w:highlight w:val="yellow"/>
        </w:rPr>
      </w:pPr>
    </w:p>
    <w:p w14:paraId="20E9D1CA" w14:textId="5673098D" w:rsidR="00B36811" w:rsidRPr="00497298" w:rsidRDefault="00B36811" w:rsidP="00B36811">
      <w:r>
        <w:t>The more contagious Delta variant became the dominant strain in the U.S. in early July and cases began their dramatic resurgence, subverting continued progress in vaccination efforts. By the time Americans reached President Biden’s well-advertised goal of 70% of adults receiving at least one dose, the country was fully in the throes of another COVID-19 wave</w:t>
      </w:r>
      <w:r w:rsidRPr="00497298">
        <w:t>.</w:t>
      </w:r>
      <w:r>
        <w:t xml:space="preserve"> By the end of the </w:t>
      </w:r>
      <w:r w:rsidR="00EC2B2F">
        <w:t>3</w:t>
      </w:r>
      <w:r w:rsidR="00EC2B2F" w:rsidRPr="00EC2B2F">
        <w:rPr>
          <w:vertAlign w:val="superscript"/>
        </w:rPr>
        <w:t>rd</w:t>
      </w:r>
      <w:r>
        <w:t xml:space="preserve"> quarter, 700,000 Americans had died of COVID-19. </w:t>
      </w:r>
      <w:r w:rsidRPr="00B86E24">
        <w:t>An average of 1,720 died daily, with unvaccinated individuals 11 times more likely to join their ranks.</w:t>
      </w:r>
    </w:p>
    <w:p w14:paraId="4521E675" w14:textId="77777777" w:rsidR="00B36811" w:rsidRPr="00497298" w:rsidRDefault="00B36811" w:rsidP="00B36811">
      <w:r>
        <w:t>The fourth wave of COVID-19 cases in the U.S. began to recede in September, just as booster shots were becoming available to already-vaccinated Americans. Broadening vaccination efforts still appear to be the most viable way to mitigate further damage to public health and the economy, yet by October, far more Americans were receiving booster shots than initial doses</w:t>
      </w:r>
      <w:r w:rsidRPr="00497298">
        <w:t xml:space="preserve">.   </w:t>
      </w:r>
    </w:p>
    <w:p w14:paraId="68372555" w14:textId="33033643" w:rsidR="00D93A8B" w:rsidRDefault="00B36811">
      <w:r w:rsidRPr="00497298">
        <w:t>Rather than logistics or supply, the limiting factor in vaccinating Americans is an unwillingness of a large part of the population to receive the shot. The amount of public health and economic damage that the resurgence of COVID</w:t>
      </w:r>
      <w:r>
        <w:t>-19</w:t>
      </w:r>
      <w:r w:rsidRPr="00497298">
        <w:t xml:space="preserve"> cases can inflict on the </w:t>
      </w:r>
      <w:r>
        <w:t>U.S.</w:t>
      </w:r>
      <w:r w:rsidRPr="00497298">
        <w:t xml:space="preserve"> will </w:t>
      </w:r>
      <w:r>
        <w:t xml:space="preserve">continue to </w:t>
      </w:r>
      <w:r w:rsidRPr="00497298">
        <w:t>be directly related to the rate of vaccination.</w:t>
      </w:r>
      <w:r>
        <w:t xml:space="preserve"> </w:t>
      </w:r>
      <w:r w:rsidR="004D1BCA">
        <w:t xml:space="preserve"> </w:t>
      </w:r>
    </w:p>
    <w:p w14:paraId="380DE2B2" w14:textId="07F6BD80" w:rsidR="00F03302" w:rsidRPr="00BD7409" w:rsidRDefault="00B36811" w:rsidP="001E26E8">
      <w:pPr>
        <w:spacing w:before="160"/>
        <w:rPr>
          <w:strike/>
        </w:rPr>
      </w:pPr>
      <w:r>
        <w:t>A multifactor indicator of economic strength, the</w:t>
      </w:r>
      <w:r w:rsidR="00A615E8" w:rsidRPr="00BD7409">
        <w:t xml:space="preserve"> Philadelphia Fed’s coincident index</w:t>
      </w:r>
      <w:r w:rsidR="00EC7CB1" w:rsidRPr="00BD7409">
        <w:rPr>
          <w:rStyle w:val="FootnoteReference"/>
        </w:rPr>
        <w:footnoteReference w:id="1"/>
      </w:r>
      <w:r w:rsidR="00A615E8" w:rsidRPr="00BD7409">
        <w:t xml:space="preserve"> of economic activity in the U.S. </w:t>
      </w:r>
      <w:r w:rsidR="003A390C" w:rsidRPr="00BD7409">
        <w:t xml:space="preserve">rose </w:t>
      </w:r>
      <w:r w:rsidR="00795ECE" w:rsidRPr="00BD7409">
        <w:t>0.4</w:t>
      </w:r>
      <w:r w:rsidR="003A390C" w:rsidRPr="00BD7409">
        <w:t xml:space="preserve">% in </w:t>
      </w:r>
      <w:r w:rsidR="00BD7409">
        <w:t>September</w:t>
      </w:r>
      <w:r w:rsidR="00795ECE" w:rsidRPr="00BD7409">
        <w:t xml:space="preserve"> 2021 </w:t>
      </w:r>
      <w:r w:rsidR="00C10F0A" w:rsidRPr="00BD7409">
        <w:t xml:space="preserve">and </w:t>
      </w:r>
      <w:r w:rsidR="00E95F9A" w:rsidRPr="00BD7409">
        <w:t>1.</w:t>
      </w:r>
      <w:r w:rsidR="00BD7409">
        <w:t>6</w:t>
      </w:r>
      <w:r w:rsidR="00C10F0A" w:rsidRPr="00BD7409">
        <w:t xml:space="preserve">% </w:t>
      </w:r>
      <w:r w:rsidR="00EC7CB1" w:rsidRPr="00BD7409">
        <w:t>during</w:t>
      </w:r>
      <w:r w:rsidR="00A615E8" w:rsidRPr="00BD7409">
        <w:t xml:space="preserve"> the </w:t>
      </w:r>
      <w:r w:rsidR="00BD7409">
        <w:t>3</w:t>
      </w:r>
      <w:r w:rsidR="00BD7409" w:rsidRPr="00BD7409">
        <w:rPr>
          <w:vertAlign w:val="superscript"/>
        </w:rPr>
        <w:t>rd</w:t>
      </w:r>
      <w:r w:rsidR="00BD7409">
        <w:t xml:space="preserve"> </w:t>
      </w:r>
      <w:r w:rsidR="00A615E8" w:rsidRPr="00BD7409">
        <w:t>quarter</w:t>
      </w:r>
      <w:r w:rsidR="00AF420E" w:rsidRPr="00BD7409">
        <w:t xml:space="preserve">. </w:t>
      </w:r>
      <w:r w:rsidR="00EC7CB1" w:rsidRPr="00BD7409">
        <w:t>For the quarter</w:t>
      </w:r>
      <w:r w:rsidR="00A615E8" w:rsidRPr="00BD7409">
        <w:t xml:space="preserve">, coincident indexes </w:t>
      </w:r>
      <w:r w:rsidR="00C10F0A" w:rsidRPr="00BD7409">
        <w:t>increased</w:t>
      </w:r>
      <w:r w:rsidR="003A390C" w:rsidRPr="00BD7409">
        <w:t xml:space="preserve"> in 4</w:t>
      </w:r>
      <w:r w:rsidR="00BD7409">
        <w:t xml:space="preserve">8 </w:t>
      </w:r>
      <w:r w:rsidR="003A390C" w:rsidRPr="00BD7409">
        <w:t>states</w:t>
      </w:r>
      <w:r w:rsidR="00BD7409">
        <w:t xml:space="preserve">, </w:t>
      </w:r>
      <w:r w:rsidR="00C10F0A" w:rsidRPr="00BD7409">
        <w:t>de</w:t>
      </w:r>
      <w:r w:rsidR="003A390C" w:rsidRPr="00BD7409">
        <w:t xml:space="preserve">creased in </w:t>
      </w:r>
      <w:r w:rsidR="00BD7409">
        <w:t>1, and remained stable in 1</w:t>
      </w:r>
      <w:r w:rsidR="00A615E8" w:rsidRPr="00BD7409">
        <w:t xml:space="preserve">. Coincident indexes reflect </w:t>
      </w:r>
      <w:r w:rsidR="00714B74" w:rsidRPr="00BD7409">
        <w:t>unemployment, payroll employment, manufacturing hours, and wages and salaries</w:t>
      </w:r>
      <w:r w:rsidR="00A14CD4" w:rsidRPr="00BD7409">
        <w:t>.</w:t>
      </w:r>
      <w:r w:rsidR="00714B74" w:rsidRPr="00BD7409">
        <w:t xml:space="preserve"> </w:t>
      </w:r>
      <w:r w:rsidR="002857FD" w:rsidRPr="00BD7409">
        <w:t>Unemployment, a major factor in the index, fell 0.</w:t>
      </w:r>
      <w:r w:rsidR="00BD7409">
        <w:t>4 percentage points</w:t>
      </w:r>
      <w:r w:rsidR="002857FD" w:rsidRPr="00BD7409">
        <w:t xml:space="preserve"> over the quarter, </w:t>
      </w:r>
      <w:r w:rsidR="00BD7409">
        <w:t xml:space="preserve">yet </w:t>
      </w:r>
      <w:r w:rsidR="00BD7409" w:rsidRPr="00BD7409">
        <w:t xml:space="preserve">the unemployment rate and the number of unemployed people </w:t>
      </w:r>
      <w:r w:rsidR="00BD7409">
        <w:t>remain</w:t>
      </w:r>
      <w:r w:rsidR="00BD7409" w:rsidRPr="00BD7409">
        <w:t xml:space="preserve"> 1.3 percentage points and 2.0 million</w:t>
      </w:r>
      <w:r w:rsidR="00BD7409">
        <w:t xml:space="preserve"> higher</w:t>
      </w:r>
      <w:r w:rsidR="00BD7409" w:rsidRPr="00BD7409">
        <w:t>, respectively, since February 2020</w:t>
      </w:r>
      <w:r w:rsidR="002857FD" w:rsidRPr="00BD7409">
        <w:t xml:space="preserve">. </w:t>
      </w:r>
    </w:p>
    <w:p w14:paraId="7739DC43" w14:textId="6EB1B740" w:rsidR="00A96A6A" w:rsidRDefault="0027585A" w:rsidP="006D4E8F">
      <w:pPr>
        <w:jc w:val="center"/>
      </w:pPr>
      <w:r w:rsidRPr="00F04A88">
        <w:rPr>
          <w:noProof/>
          <w:highlight w:val="yellow"/>
        </w:rPr>
        <w:lastRenderedPageBreak/>
        <w:t xml:space="preserve"> </w:t>
      </w:r>
      <w:r w:rsidR="00291E5B" w:rsidRPr="00291E5B">
        <w:rPr>
          <w:noProof/>
        </w:rPr>
        <w:drawing>
          <wp:inline distT="0" distB="0" distL="0" distR="0" wp14:anchorId="4E66C6DC" wp14:editId="24582128">
            <wp:extent cx="5943600" cy="3265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5170"/>
                    </a:xfrm>
                    <a:prstGeom prst="rect">
                      <a:avLst/>
                    </a:prstGeom>
                    <a:noFill/>
                    <a:ln>
                      <a:noFill/>
                    </a:ln>
                  </pic:spPr>
                </pic:pic>
              </a:graphicData>
            </a:graphic>
          </wp:inline>
        </w:drawing>
      </w:r>
    </w:p>
    <w:p w14:paraId="022CFF26" w14:textId="15962FE0"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2"/>
      </w:r>
      <w:r w:rsidR="009E4D8D" w:rsidRPr="00CA74AC">
        <w:t xml:space="preserve"> </w:t>
      </w:r>
      <w:r w:rsidR="007939CA">
        <w:t>rose</w:t>
      </w:r>
      <w:r w:rsidR="00DA3959">
        <w:t xml:space="preserve"> </w:t>
      </w:r>
      <w:r w:rsidR="002D78A5">
        <w:t>1.</w:t>
      </w:r>
      <w:r w:rsidR="007939CA">
        <w:t>90</w:t>
      </w:r>
      <w:r w:rsidR="00442565">
        <w:t>% during</w:t>
      </w:r>
      <w:r w:rsidR="00DA3959">
        <w:t xml:space="preserve"> the </w:t>
      </w:r>
      <w:r w:rsidR="007939CA">
        <w:t>3</w:t>
      </w:r>
      <w:r w:rsidR="007939CA" w:rsidRPr="007939CA">
        <w:rPr>
          <w:vertAlign w:val="superscript"/>
        </w:rPr>
        <w:t>rd</w:t>
      </w:r>
      <w:r w:rsidR="007939CA">
        <w:t xml:space="preserve"> </w:t>
      </w:r>
      <w:r w:rsidR="00D5040E">
        <w:t>quarter of 2021</w:t>
      </w:r>
      <w:r>
        <w:t xml:space="preserve"> </w:t>
      </w:r>
      <w:r w:rsidR="007939CA">
        <w:t xml:space="preserve">but remained </w:t>
      </w:r>
      <w:r w:rsidR="009A15D9">
        <w:t>2.01</w:t>
      </w:r>
      <w:r w:rsidR="007939CA">
        <w:t>% lower than in September</w:t>
      </w:r>
      <w:r w:rsidR="002D78A5">
        <w:t xml:space="preserve"> of 2020</w:t>
      </w:r>
      <w:r w:rsidR="009E4D8D" w:rsidRPr="00CA74AC">
        <w:t>.</w:t>
      </w:r>
      <w:r w:rsidR="002857FD">
        <w:t xml:space="preserve"> </w:t>
      </w:r>
      <w:r w:rsidR="000B43C0">
        <w:t>The dollar climbed throughout the 3</w:t>
      </w:r>
      <w:r w:rsidR="000B43C0" w:rsidRPr="000B43C0">
        <w:rPr>
          <w:vertAlign w:val="superscript"/>
        </w:rPr>
        <w:t>rd</w:t>
      </w:r>
      <w:r w:rsidR="000B43C0">
        <w:t xml:space="preserve"> quarter to its highest level of 2021. The </w:t>
      </w:r>
      <w:r w:rsidR="006B166E">
        <w:t xml:space="preserve">advancement reflected swelling </w:t>
      </w:r>
      <w:r w:rsidR="000B43C0">
        <w:t xml:space="preserve">treasury yields </w:t>
      </w:r>
      <w:r w:rsidR="006B166E">
        <w:t>as investors anticipated the waning of</w:t>
      </w:r>
      <w:r w:rsidR="000B43C0">
        <w:t xml:space="preserve"> the Fed’s </w:t>
      </w:r>
      <w:r w:rsidR="006B166E">
        <w:t xml:space="preserve">aggressive </w:t>
      </w:r>
      <w:r w:rsidR="000B43C0">
        <w:t>monetary supports</w:t>
      </w:r>
      <w:r w:rsidR="004B2DF4">
        <w:t>.</w:t>
      </w:r>
      <w:r w:rsidR="001C7617">
        <w:t xml:space="preserve"> </w:t>
      </w:r>
    </w:p>
    <w:p w14:paraId="5FD9C9E3" w14:textId="430A9DEA" w:rsidR="004D1C9D" w:rsidRDefault="00291E5B" w:rsidP="006D4E8F">
      <w:pPr>
        <w:jc w:val="center"/>
      </w:pPr>
      <w:r>
        <w:rPr>
          <w:noProof/>
        </w:rPr>
        <w:drawing>
          <wp:inline distT="0" distB="0" distL="0" distR="0" wp14:anchorId="5BF5885C" wp14:editId="3C8485B7">
            <wp:extent cx="4097020" cy="2621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621280"/>
                    </a:xfrm>
                    <a:prstGeom prst="rect">
                      <a:avLst/>
                    </a:prstGeom>
                    <a:noFill/>
                  </pic:spPr>
                </pic:pic>
              </a:graphicData>
            </a:graphic>
          </wp:inline>
        </w:drawing>
      </w:r>
    </w:p>
    <w:p w14:paraId="149D5EF9" w14:textId="33759A00" w:rsidR="002731EF" w:rsidRPr="00BC13CC" w:rsidRDefault="001058D4" w:rsidP="001475FF">
      <w:pPr>
        <w:pStyle w:val="Heading1"/>
      </w:pPr>
      <w:r>
        <w:lastRenderedPageBreak/>
        <w:t>Q</w:t>
      </w:r>
      <w:r w:rsidR="00B371D4">
        <w:t>3</w:t>
      </w:r>
      <w:r>
        <w:t xml:space="preserve"> </w:t>
      </w:r>
      <w:r w:rsidR="002731EF" w:rsidRPr="00BC13CC">
        <w:t>Economic Highlights</w:t>
      </w:r>
    </w:p>
    <w:p w14:paraId="149D5EFA" w14:textId="7472FC20" w:rsidR="002608F3" w:rsidRPr="00BC13CC" w:rsidRDefault="006C2DAB" w:rsidP="00E528F7">
      <w:pPr>
        <w:pStyle w:val="ListParagraph"/>
        <w:numPr>
          <w:ilvl w:val="0"/>
          <w:numId w:val="3"/>
        </w:numPr>
      </w:pPr>
      <w:r w:rsidRPr="00BC13CC">
        <w:t xml:space="preserve">Real GDP </w:t>
      </w:r>
      <w:r w:rsidR="00D93A8B" w:rsidRPr="00BC13CC">
        <w:t xml:space="preserve">for the </w:t>
      </w:r>
      <w:r w:rsidR="00C77196">
        <w:t>3</w:t>
      </w:r>
      <w:r w:rsidR="00C77196" w:rsidRPr="00C77196">
        <w:rPr>
          <w:vertAlign w:val="superscript"/>
        </w:rPr>
        <w:t>rd</w:t>
      </w:r>
      <w:r w:rsidR="00C77196">
        <w:t xml:space="preserve"> </w:t>
      </w:r>
      <w:r w:rsidR="00D571C6" w:rsidRPr="00BC13CC">
        <w:t xml:space="preserve">quarter of </w:t>
      </w:r>
      <w:r w:rsidR="00D93A8B" w:rsidRPr="00BC13CC">
        <w:t>2021</w:t>
      </w:r>
      <w:r w:rsidR="00D571C6" w:rsidRPr="00BC13CC">
        <w:t xml:space="preserve"> grew at an annual rate of </w:t>
      </w:r>
      <w:r w:rsidR="00C77196">
        <w:t>2.0</w:t>
      </w:r>
      <w:r w:rsidR="00D93A8B" w:rsidRPr="00BC13CC">
        <w:t xml:space="preserve">%, </w:t>
      </w:r>
      <w:r w:rsidR="00C77196">
        <w:t>further building on the previous quarter’s</w:t>
      </w:r>
      <w:r w:rsidR="00D93A8B" w:rsidRPr="00BC13CC">
        <w:t xml:space="preserve"> all-time high.</w:t>
      </w:r>
    </w:p>
    <w:p w14:paraId="149D5EFC" w14:textId="3FB0C212" w:rsidR="00E24F81" w:rsidRPr="00BC13CC" w:rsidRDefault="00E24F81" w:rsidP="00E528F7">
      <w:pPr>
        <w:pStyle w:val="ListParagraph"/>
        <w:numPr>
          <w:ilvl w:val="0"/>
          <w:numId w:val="3"/>
        </w:numPr>
      </w:pPr>
      <w:r w:rsidRPr="00BC13CC">
        <w:t xml:space="preserve">The U.S. dollar index </w:t>
      </w:r>
      <w:r w:rsidR="006B166E">
        <w:t>rose</w:t>
      </w:r>
      <w:r w:rsidR="00D93A8B" w:rsidRPr="00BC13CC">
        <w:t xml:space="preserve"> 1.</w:t>
      </w:r>
      <w:r w:rsidR="006B166E">
        <w:t>90</w:t>
      </w:r>
      <w:r w:rsidR="004B2DF4" w:rsidRPr="00BC13CC">
        <w:t xml:space="preserve">% during the </w:t>
      </w:r>
      <w:r w:rsidR="00D93A8B" w:rsidRPr="00BC13CC">
        <w:t xml:space="preserve">quarter </w:t>
      </w:r>
      <w:r w:rsidR="006B166E">
        <w:t>and fell 1.94% from last year</w:t>
      </w:r>
      <w:r w:rsidRPr="00BC13CC">
        <w:t>.</w:t>
      </w:r>
    </w:p>
    <w:p w14:paraId="149D5EFD" w14:textId="7C7F4DFD" w:rsidR="0076717F" w:rsidRPr="00BC13CC" w:rsidRDefault="00C77196" w:rsidP="00E528F7">
      <w:pPr>
        <w:pStyle w:val="ListParagraph"/>
        <w:numPr>
          <w:ilvl w:val="0"/>
          <w:numId w:val="3"/>
        </w:numPr>
      </w:pPr>
      <w:r w:rsidRPr="003F4CDB">
        <w:t>After rising slightly to start the 3</w:t>
      </w:r>
      <w:r w:rsidRPr="003F4CDB">
        <w:rPr>
          <w:vertAlign w:val="superscript"/>
        </w:rPr>
        <w:t>rd</w:t>
      </w:r>
      <w:r w:rsidRPr="003F4CDB">
        <w:t xml:space="preserve"> quarter, the effective federal funds rate steadily inched back down</w:t>
      </w:r>
      <w:r>
        <w:t xml:space="preserve"> to end</w:t>
      </w:r>
      <w:r w:rsidRPr="003F4CDB">
        <w:t xml:space="preserve"> the quarter at 0.08%, near its all-time low</w:t>
      </w:r>
      <w:r w:rsidR="00D93A8B" w:rsidRPr="00BC13CC">
        <w:t xml:space="preserve">. </w:t>
      </w:r>
    </w:p>
    <w:p w14:paraId="149D5EFE" w14:textId="05AD0D63" w:rsidR="003E4ACB" w:rsidRPr="00BC13CC" w:rsidRDefault="00D571C6" w:rsidP="00E528F7">
      <w:pPr>
        <w:pStyle w:val="ListParagraph"/>
        <w:numPr>
          <w:ilvl w:val="0"/>
          <w:numId w:val="3"/>
        </w:numPr>
      </w:pPr>
      <w:r w:rsidRPr="00BC13CC">
        <w:t>Short-term b</w:t>
      </w:r>
      <w:r w:rsidR="00FE67AA" w:rsidRPr="00BC13CC">
        <w:t xml:space="preserve">ond </w:t>
      </w:r>
      <w:r w:rsidR="001E26E8" w:rsidRPr="00BC13CC">
        <w:t>yields</w:t>
      </w:r>
      <w:r w:rsidR="003E4ACB" w:rsidRPr="00BC13CC">
        <w:t xml:space="preserve"> </w:t>
      </w:r>
      <w:r w:rsidR="00C77196">
        <w:t>changed little</w:t>
      </w:r>
      <w:r w:rsidR="00E37A8F" w:rsidRPr="00BC13CC">
        <w:t xml:space="preserve"> </w:t>
      </w:r>
      <w:r w:rsidR="003E4ACB" w:rsidRPr="00BC13CC">
        <w:t xml:space="preserve">during the </w:t>
      </w:r>
      <w:r w:rsidR="00990761" w:rsidRPr="00BC13CC">
        <w:t>quarter,</w:t>
      </w:r>
      <w:r w:rsidR="00613599">
        <w:t xml:space="preserve"> and long-term yields </w:t>
      </w:r>
      <w:r w:rsidR="00880496">
        <w:t>rose</w:t>
      </w:r>
      <w:r w:rsidR="00C77196">
        <w:t xml:space="preserve"> slightly</w:t>
      </w:r>
      <w:r w:rsidR="00613599">
        <w:t xml:space="preserve">. </w:t>
      </w:r>
      <w:r w:rsidR="00C77196" w:rsidRPr="003F4CDB">
        <w:t>The benchmark 10-year treasury yielded 1.52% annually at the end of the quarter, while the 30-year treasury yielded 2.08%</w:t>
      </w:r>
      <w:r w:rsidR="00C77196" w:rsidRPr="003F4CDB">
        <w:rPr>
          <w:color w:val="000000" w:themeColor="text1"/>
        </w:rPr>
        <w:t>.</w:t>
      </w:r>
    </w:p>
    <w:p w14:paraId="2A4826B3" w14:textId="5158881E" w:rsidR="0069122E" w:rsidRPr="00BC13CC" w:rsidRDefault="0069122E" w:rsidP="0069122E">
      <w:pPr>
        <w:pStyle w:val="ListParagraph"/>
        <w:numPr>
          <w:ilvl w:val="0"/>
          <w:numId w:val="3"/>
        </w:numPr>
      </w:pPr>
      <w:r w:rsidRPr="00BC13CC">
        <w:t xml:space="preserve">Unemployment fell to </w:t>
      </w:r>
      <w:r w:rsidR="003A0B8A">
        <w:t>4.8</w:t>
      </w:r>
      <w:r w:rsidR="00D571C6" w:rsidRPr="00BC13CC">
        <w:t>%</w:t>
      </w:r>
      <w:r w:rsidRPr="00BC13CC">
        <w:t xml:space="preserve"> in</w:t>
      </w:r>
      <w:r w:rsidR="00C328EF" w:rsidRPr="00BC13CC">
        <w:t xml:space="preserve"> </w:t>
      </w:r>
      <w:r w:rsidR="003A0B8A">
        <w:t>September</w:t>
      </w:r>
      <w:r w:rsidRPr="00BC13CC">
        <w:t xml:space="preserve">, and </w:t>
      </w:r>
      <w:r w:rsidR="00CF666C">
        <w:t xml:space="preserve">nonfarm </w:t>
      </w:r>
      <w:r w:rsidRPr="00BC13CC">
        <w:t xml:space="preserve">payroll employment </w:t>
      </w:r>
      <w:r w:rsidR="003A0B8A">
        <w:rPr>
          <w:color w:val="000000" w:themeColor="text1"/>
        </w:rPr>
        <w:t>grew by</w:t>
      </w:r>
      <w:r w:rsidRPr="00BC13CC">
        <w:rPr>
          <w:color w:val="000000" w:themeColor="text1"/>
        </w:rPr>
        <w:t xml:space="preserve"> </w:t>
      </w:r>
      <w:r w:rsidR="00CF666C">
        <w:rPr>
          <w:color w:val="000000" w:themeColor="text1"/>
        </w:rPr>
        <w:t>1.7</w:t>
      </w:r>
      <w:r w:rsidR="00C328EF" w:rsidRPr="00BC13CC">
        <w:rPr>
          <w:color w:val="000000" w:themeColor="text1"/>
        </w:rPr>
        <w:t xml:space="preserve"> million</w:t>
      </w:r>
      <w:r w:rsidR="00D571C6" w:rsidRPr="00BC13CC">
        <w:rPr>
          <w:color w:val="000000" w:themeColor="text1"/>
        </w:rPr>
        <w:t xml:space="preserve"> </w:t>
      </w:r>
      <w:r w:rsidR="00C328EF" w:rsidRPr="00BC13CC">
        <w:rPr>
          <w:color w:val="000000" w:themeColor="text1"/>
        </w:rPr>
        <w:t xml:space="preserve">jobs during the </w:t>
      </w:r>
      <w:r w:rsidR="003A0B8A">
        <w:rPr>
          <w:color w:val="000000" w:themeColor="text1"/>
        </w:rPr>
        <w:t>3</w:t>
      </w:r>
      <w:r w:rsidR="003A0B8A" w:rsidRPr="003A0B8A">
        <w:rPr>
          <w:color w:val="000000" w:themeColor="text1"/>
          <w:vertAlign w:val="superscript"/>
        </w:rPr>
        <w:t>rd</w:t>
      </w:r>
      <w:r w:rsidR="003A0B8A">
        <w:rPr>
          <w:color w:val="000000" w:themeColor="text1"/>
        </w:rPr>
        <w:t xml:space="preserve"> </w:t>
      </w:r>
      <w:r w:rsidRPr="00BC13CC">
        <w:rPr>
          <w:color w:val="000000" w:themeColor="text1"/>
        </w:rPr>
        <w:t>quarter</w:t>
      </w:r>
      <w:r w:rsidR="00CF666C">
        <w:rPr>
          <w:color w:val="000000" w:themeColor="text1"/>
        </w:rPr>
        <w:t>.</w:t>
      </w:r>
      <w:r w:rsidR="00C328EF" w:rsidRPr="00BC13CC">
        <w:t xml:space="preserve"> </w:t>
      </w:r>
    </w:p>
    <w:p w14:paraId="149D5EFF" w14:textId="51E13526" w:rsidR="003E4ACB" w:rsidRPr="00BC13CC" w:rsidRDefault="007A4896" w:rsidP="00E528F7">
      <w:pPr>
        <w:pStyle w:val="ListParagraph"/>
        <w:numPr>
          <w:ilvl w:val="0"/>
          <w:numId w:val="3"/>
        </w:numPr>
      </w:pPr>
      <w:r>
        <w:t>The Consumer Price Index</w:t>
      </w:r>
      <w:r w:rsidR="006E4B4F" w:rsidRPr="00BC13CC">
        <w:t xml:space="preserve"> </w:t>
      </w:r>
      <w:r w:rsidR="00880496">
        <w:t>rose 5.4% year-over-year in September</w:t>
      </w:r>
      <w:r w:rsidR="00B36811">
        <w:t>, a more than 12-year high</w:t>
      </w:r>
      <w:r w:rsidR="00880496">
        <w:t>. Excluding volatile energy prices, the index rose 4.</w:t>
      </w:r>
      <w:r w:rsidR="00B36811">
        <w:t>1</w:t>
      </w:r>
      <w:r w:rsidR="00880496">
        <w:t>%</w:t>
      </w:r>
      <w:r w:rsidR="00BC13CC" w:rsidRPr="00BC13CC">
        <w:t xml:space="preserve">. </w:t>
      </w:r>
    </w:p>
    <w:p w14:paraId="02DFF80C" w14:textId="5AA82F22" w:rsidR="0069122E" w:rsidRPr="00BC13CC" w:rsidRDefault="0069122E" w:rsidP="0069122E">
      <w:pPr>
        <w:pStyle w:val="ListParagraph"/>
        <w:numPr>
          <w:ilvl w:val="0"/>
          <w:numId w:val="3"/>
        </w:numPr>
      </w:pPr>
      <w:r w:rsidRPr="00BC13CC">
        <w:t xml:space="preserve">Oil prices </w:t>
      </w:r>
      <w:r w:rsidR="00880496">
        <w:t>fluctuated</w:t>
      </w:r>
      <w:r w:rsidR="00BC13CC" w:rsidRPr="00BC13CC">
        <w:t xml:space="preserve"> during the </w:t>
      </w:r>
      <w:r w:rsidR="00880496">
        <w:t>3</w:t>
      </w:r>
      <w:r w:rsidR="00880496" w:rsidRPr="00880496">
        <w:rPr>
          <w:vertAlign w:val="superscript"/>
        </w:rPr>
        <w:t>rd</w:t>
      </w:r>
      <w:r w:rsidR="00BC13CC" w:rsidRPr="00BC13CC">
        <w:t xml:space="preserve"> quarter, ending at $</w:t>
      </w:r>
      <w:r w:rsidR="00880496" w:rsidRPr="007E1BB9">
        <w:t>71.65 per barrel, 0.4% higher than one quarter earlier</w:t>
      </w:r>
      <w:r w:rsidRPr="00BC13CC">
        <w:t>.</w:t>
      </w:r>
    </w:p>
    <w:p w14:paraId="149D5F00" w14:textId="773D7A0D" w:rsidR="003E4ACB" w:rsidRPr="00BC13CC" w:rsidRDefault="00E736EF" w:rsidP="00E528F7">
      <w:pPr>
        <w:pStyle w:val="ListParagraph"/>
        <w:numPr>
          <w:ilvl w:val="0"/>
          <w:numId w:val="3"/>
        </w:numPr>
      </w:pPr>
      <w:r w:rsidRPr="00BC13CC">
        <w:t xml:space="preserve">New </w:t>
      </w:r>
      <w:r w:rsidR="00BE1260" w:rsidRPr="00BC13CC">
        <w:t xml:space="preserve">housing starts </w:t>
      </w:r>
      <w:r w:rsidR="00880496">
        <w:t>were down 6.2% over the quarter but 7.4% higher than last year</w:t>
      </w:r>
      <w:r w:rsidR="0035542E" w:rsidRPr="00BC13CC">
        <w:t>.</w:t>
      </w:r>
      <w:r w:rsidR="00BC13CC" w:rsidRPr="00BC13CC">
        <w:t xml:space="preserve"> </w:t>
      </w:r>
    </w:p>
    <w:p w14:paraId="149D5F03" w14:textId="09A938DC" w:rsidR="00867D68" w:rsidRDefault="00FC013E" w:rsidP="00F94484">
      <w:pPr>
        <w:pStyle w:val="ListParagraph"/>
        <w:numPr>
          <w:ilvl w:val="0"/>
          <w:numId w:val="3"/>
        </w:numPr>
      </w:pPr>
      <w:r w:rsidRPr="00BC13CC">
        <w:t>U</w:t>
      </w:r>
      <w:r w:rsidR="00F74174" w:rsidRPr="00BC13CC">
        <w:t>.</w:t>
      </w:r>
      <w:r w:rsidRPr="00BC13CC">
        <w:t>S</w:t>
      </w:r>
      <w:r w:rsidR="00F74174" w:rsidRPr="00BC13CC">
        <w:t>.</w:t>
      </w:r>
      <w:r w:rsidRPr="00BC13CC">
        <w:t xml:space="preserve"> </w:t>
      </w:r>
      <w:r w:rsidR="00F94484" w:rsidRPr="00BC13CC">
        <w:t xml:space="preserve">capital </w:t>
      </w:r>
      <w:r w:rsidRPr="00BC13CC">
        <w:t>markets</w:t>
      </w:r>
      <w:r w:rsidR="00D928C8" w:rsidRPr="00BC13CC">
        <w:t xml:space="preserve"> </w:t>
      </w:r>
      <w:r w:rsidR="00860D54">
        <w:t>experienced mixed results in the 3</w:t>
      </w:r>
      <w:r w:rsidR="00860D54" w:rsidRPr="00860D54">
        <w:rPr>
          <w:vertAlign w:val="superscript"/>
        </w:rPr>
        <w:t>rd</w:t>
      </w:r>
      <w:r w:rsidR="00860D54">
        <w:t xml:space="preserve"> quarter</w:t>
      </w:r>
      <w:r w:rsidR="00BC13CC" w:rsidRPr="00BC13CC">
        <w:t xml:space="preserve">, as the VIX </w:t>
      </w:r>
      <w:r w:rsidR="00860D54">
        <w:t>jumped</w:t>
      </w:r>
      <w:r w:rsidR="007B0FB5" w:rsidRPr="00BC13CC">
        <w:t>.</w:t>
      </w:r>
      <w:r w:rsidR="00990761" w:rsidRPr="00BC13CC">
        <w:t xml:space="preserve"> </w:t>
      </w:r>
      <w:r w:rsidR="00860D54">
        <w:t xml:space="preserve">The </w:t>
      </w:r>
      <w:r w:rsidR="00860D54">
        <w:rPr>
          <w:noProof/>
        </w:rPr>
        <w:t>Dow Jones Industrial Average posted a strong growth of 7.6% during the quarter while the Dow Jones Transportation and Composite Indexes declined 5.9% and 2.8%, respectively</w:t>
      </w:r>
      <w:r w:rsidR="00867D68">
        <w:t xml:space="preserve">. </w:t>
      </w:r>
    </w:p>
    <w:p w14:paraId="15518C54" w14:textId="5113E814" w:rsidR="0076717F" w:rsidRPr="00990761" w:rsidRDefault="00867D68" w:rsidP="00867D68">
      <w:r>
        <w:br w:type="page"/>
      </w:r>
    </w:p>
    <w:p w14:paraId="149D5F04" w14:textId="77777777" w:rsidR="00057711" w:rsidRDefault="00057711" w:rsidP="00057711">
      <w:pPr>
        <w:pStyle w:val="Heading1"/>
      </w:pPr>
      <w:r>
        <w:lastRenderedPageBreak/>
        <w:t>Business Activity</w:t>
      </w:r>
    </w:p>
    <w:p w14:paraId="25413EE4" w14:textId="784A7CDD" w:rsidR="00A96A6A" w:rsidRPr="00B36811" w:rsidRDefault="0080028D" w:rsidP="00057711">
      <w:r w:rsidRPr="00B36811">
        <w:t>According to the Bureau of Economic Analysis</w:t>
      </w:r>
      <w:r w:rsidR="002608F3" w:rsidRPr="00B36811">
        <w:t xml:space="preserve"> (BEA)</w:t>
      </w:r>
      <w:r w:rsidRPr="00B36811">
        <w:t>, real gross domestic product (GDP)</w:t>
      </w:r>
      <w:r w:rsidR="00A8559D" w:rsidRPr="00B36811">
        <w:rPr>
          <w:rStyle w:val="FootnoteReference"/>
        </w:rPr>
        <w:footnoteReference w:id="3"/>
      </w:r>
      <w:r w:rsidRPr="00B36811">
        <w:t xml:space="preserve"> </w:t>
      </w:r>
      <w:r w:rsidR="00BD0BA8" w:rsidRPr="00B36811">
        <w:t xml:space="preserve">for the </w:t>
      </w:r>
      <w:r w:rsidR="00B36811" w:rsidRPr="00B36811">
        <w:t>3</w:t>
      </w:r>
      <w:r w:rsidR="00B36811" w:rsidRPr="00B36811">
        <w:rPr>
          <w:vertAlign w:val="superscript"/>
        </w:rPr>
        <w:t>rd</w:t>
      </w:r>
      <w:r w:rsidR="00B36811" w:rsidRPr="00B36811">
        <w:t xml:space="preserve"> </w:t>
      </w:r>
      <w:r w:rsidR="00B91356" w:rsidRPr="00B36811">
        <w:t>quarter of 2021</w:t>
      </w:r>
      <w:r w:rsidR="00700166" w:rsidRPr="00B36811">
        <w:t xml:space="preserve"> </w:t>
      </w:r>
      <w:r w:rsidR="004B2DF4" w:rsidRPr="00B36811">
        <w:t>grew</w:t>
      </w:r>
      <w:r w:rsidR="00BD0BA8" w:rsidRPr="00B36811">
        <w:t xml:space="preserve"> </w:t>
      </w:r>
      <w:r w:rsidRPr="00B36811">
        <w:t>at an annual</w:t>
      </w:r>
      <w:r w:rsidR="009140B9" w:rsidRPr="00B36811">
        <w:t>ized</w:t>
      </w:r>
      <w:r w:rsidRPr="00B36811">
        <w:t xml:space="preserve"> rate of </w:t>
      </w:r>
      <w:r w:rsidR="00B36811" w:rsidRPr="00B36811">
        <w:t>2.0</w:t>
      </w:r>
      <w:r w:rsidR="00321AA2" w:rsidRPr="00B36811">
        <w:t>%</w:t>
      </w:r>
      <w:r w:rsidR="001756EC" w:rsidRPr="00B36811">
        <w:t>,</w:t>
      </w:r>
      <w:r w:rsidRPr="00B36811">
        <w:t xml:space="preserve"> </w:t>
      </w:r>
      <w:r w:rsidR="00B36811" w:rsidRPr="00B36811">
        <w:t>well below</w:t>
      </w:r>
      <w:r w:rsidR="009140B9" w:rsidRPr="00B36811">
        <w:t xml:space="preserve"> the </w:t>
      </w:r>
      <w:r w:rsidR="00B36811" w:rsidRPr="00B36811">
        <w:t>2</w:t>
      </w:r>
      <w:r w:rsidR="00B36811" w:rsidRPr="00B36811">
        <w:rPr>
          <w:vertAlign w:val="superscript"/>
        </w:rPr>
        <w:t>nd</w:t>
      </w:r>
      <w:r w:rsidR="00B36811" w:rsidRPr="00B36811">
        <w:t xml:space="preserve"> </w:t>
      </w:r>
      <w:r w:rsidR="009140B9" w:rsidRPr="00B36811">
        <w:t>quarter’s 6.</w:t>
      </w:r>
      <w:r w:rsidR="00B36811" w:rsidRPr="00B36811">
        <w:t>7</w:t>
      </w:r>
      <w:r w:rsidR="009140B9" w:rsidRPr="00B36811">
        <w:t>%</w:t>
      </w:r>
      <w:r w:rsidR="005650CD" w:rsidRPr="00B36811">
        <w:t>.</w:t>
      </w:r>
      <w:r w:rsidR="002F1660" w:rsidRPr="00B36811">
        <w:t xml:space="preserve"> </w:t>
      </w:r>
      <w:r w:rsidR="00B36811">
        <w:t>The 3</w:t>
      </w:r>
      <w:r w:rsidR="00B36811" w:rsidRPr="00B36811">
        <w:rPr>
          <w:vertAlign w:val="superscript"/>
        </w:rPr>
        <w:t>rd</w:t>
      </w:r>
      <w:r w:rsidR="00B36811">
        <w:t xml:space="preserve"> quarter built on a year’s worth of prior gains to push real GDP to record levels for the second consecutive quarter</w:t>
      </w:r>
      <w:r w:rsidR="00B36811" w:rsidRPr="00134929">
        <w:t>.</w:t>
      </w:r>
    </w:p>
    <w:p w14:paraId="7810A9C6" w14:textId="57A8FBD0" w:rsidR="00A96A6A" w:rsidRPr="006B166E" w:rsidRDefault="00291E5B" w:rsidP="005117CA">
      <w:pPr>
        <w:jc w:val="center"/>
        <w:rPr>
          <w:highlight w:val="yellow"/>
        </w:rPr>
      </w:pPr>
      <w:r w:rsidRPr="00291E5B">
        <w:rPr>
          <w:noProof/>
        </w:rPr>
        <w:drawing>
          <wp:inline distT="0" distB="0" distL="0" distR="0" wp14:anchorId="26AA1399" wp14:editId="68491B4B">
            <wp:extent cx="4097020" cy="2603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603500"/>
                    </a:xfrm>
                    <a:prstGeom prst="rect">
                      <a:avLst/>
                    </a:prstGeom>
                    <a:noFill/>
                  </pic:spPr>
                </pic:pic>
              </a:graphicData>
            </a:graphic>
          </wp:inline>
        </w:drawing>
      </w:r>
    </w:p>
    <w:p w14:paraId="085135C6" w14:textId="186E3B33" w:rsidR="006B1EB1" w:rsidRDefault="009A15D9" w:rsidP="006B1EB1">
      <w:r>
        <w:t>The leading contributor was gross domestic private investment</w:t>
      </w:r>
      <w:r>
        <w:rPr>
          <w:rStyle w:val="FootnoteReference"/>
        </w:rPr>
        <w:footnoteReference w:id="4"/>
      </w:r>
      <w:r>
        <w:t>, boosting the overall figure by 2.0%</w:t>
      </w:r>
      <w:r w:rsidR="00263EBD">
        <w:t>.</w:t>
      </w:r>
      <w:r>
        <w:t xml:space="preserve"> </w:t>
      </w:r>
      <w:r w:rsidR="006B1EB1">
        <w:t>Private investment climbed in nonfarm inventories as well as in intellectual property products such as software and research &amp; development</w:t>
      </w:r>
      <w:r w:rsidR="006B1EB1" w:rsidRPr="00134929">
        <w:t>.</w:t>
      </w:r>
    </w:p>
    <w:p w14:paraId="55F703EC" w14:textId="6EA6B85D" w:rsidR="006B1EB1" w:rsidRDefault="009A15D9" w:rsidP="006B1EB1">
      <w:r>
        <w:t>Personal consumption expenditures</w:t>
      </w:r>
      <w:r>
        <w:rPr>
          <w:rStyle w:val="FootnoteReference"/>
        </w:rPr>
        <w:footnoteReference w:id="5"/>
      </w:r>
      <w:r>
        <w:t xml:space="preserve"> (PCE) contributed 1.1% of the growth in real GDP in the 3</w:t>
      </w:r>
      <w:r w:rsidRPr="009A15D9">
        <w:rPr>
          <w:vertAlign w:val="superscript"/>
        </w:rPr>
        <w:t>rd</w:t>
      </w:r>
      <w:r>
        <w:t xml:space="preserve"> quarter</w:t>
      </w:r>
      <w:r w:rsidR="006B1EB1">
        <w:t>, as broad increases in household services consumption more than offset a drop in spending for goods, especially motor vehicles and parts</w:t>
      </w:r>
      <w:r w:rsidR="006B1EB1" w:rsidRPr="00134929">
        <w:t xml:space="preserve">. </w:t>
      </w:r>
      <w:r w:rsidR="006B1EB1">
        <w:t xml:space="preserve">Underlying the drop in automobile sales in the </w:t>
      </w:r>
      <w:r w:rsidR="00EC2B2F">
        <w:t>3</w:t>
      </w:r>
      <w:r w:rsidR="00EC2B2F" w:rsidRPr="00EC2B2F">
        <w:rPr>
          <w:vertAlign w:val="superscript"/>
        </w:rPr>
        <w:t>rd</w:t>
      </w:r>
      <w:r w:rsidR="006B1EB1">
        <w:t xml:space="preserve"> quarter were ongoing inventory shortages due to disruptions in the supply chain for semiconductor chips used in automobile manufacturing.</w:t>
      </w:r>
    </w:p>
    <w:p w14:paraId="2A485ADE" w14:textId="35D06930" w:rsidR="006B1EB1" w:rsidRDefault="009A15D9" w:rsidP="006B1EB1">
      <w:r w:rsidRPr="00134929">
        <w:t>Government expenditures</w:t>
      </w:r>
      <w:r>
        <w:rPr>
          <w:rStyle w:val="FootnoteReference"/>
        </w:rPr>
        <w:footnoteReference w:id="6"/>
      </w:r>
      <w:r w:rsidRPr="00134929">
        <w:t xml:space="preserve"> </w:t>
      </w:r>
      <w:r>
        <w:t>also increased, contributing 0.1% to the real GDP gain</w:t>
      </w:r>
      <w:r w:rsidR="006B1EB1">
        <w:t>. State and local government consumption more than made up for a drop in federal consumption—a result of funding reallocation driven by the American Rescue Plan earlier in the year</w:t>
      </w:r>
      <w:r w:rsidR="006B1EB1" w:rsidRPr="00134929">
        <w:t>.</w:t>
      </w:r>
    </w:p>
    <w:p w14:paraId="74EC7CAF" w14:textId="6D25604D" w:rsidR="004D1C9D" w:rsidRDefault="009A15D9" w:rsidP="006B1EB1">
      <w:r>
        <w:lastRenderedPageBreak/>
        <w:t>Net exports</w:t>
      </w:r>
      <w:r>
        <w:rPr>
          <w:rStyle w:val="FootnoteReference"/>
        </w:rPr>
        <w:footnoteReference w:id="7"/>
      </w:r>
      <w:r>
        <w:t xml:space="preserve"> </w:t>
      </w:r>
      <w:r w:rsidR="006B1EB1">
        <w:t>continued to constrain real GDP growth with a negative effect of 1.</w:t>
      </w:r>
      <w:r>
        <w:t>4</w:t>
      </w:r>
      <w:r w:rsidR="006B1EB1">
        <w:t>%. Global s</w:t>
      </w:r>
      <w:r w:rsidR="006B1EB1" w:rsidRPr="00134929">
        <w:t>upply chains</w:t>
      </w:r>
      <w:r w:rsidR="006B1EB1">
        <w:t xml:space="preserve"> remain bottlenecked by worker and parts shortages, along with crippling shipment issues such as border restrictions, lack of trucking personnel, and backups</w:t>
      </w:r>
      <w:r w:rsidR="006B1EB1" w:rsidRPr="00134929">
        <w:t xml:space="preserve"> </w:t>
      </w:r>
      <w:r w:rsidR="006B1EB1">
        <w:t>at U.S. ports</w:t>
      </w:r>
      <w:r w:rsidR="006B1EB1" w:rsidRPr="00134929">
        <w:t xml:space="preserve">. </w:t>
      </w:r>
      <w:r w:rsidR="006B1EB1">
        <w:t>Rebounding</w:t>
      </w:r>
      <w:r w:rsidR="006B1EB1" w:rsidRPr="00134929">
        <w:t xml:space="preserve"> </w:t>
      </w:r>
      <w:r w:rsidR="006B1EB1">
        <w:t>U.S.</w:t>
      </w:r>
      <w:r w:rsidR="006B1EB1" w:rsidRPr="00134929">
        <w:t xml:space="preserve"> demand </w:t>
      </w:r>
      <w:r w:rsidR="006B1EB1">
        <w:t>and the deepening supply crisis continue to place</w:t>
      </w:r>
      <w:r w:rsidR="006B1EB1" w:rsidRPr="00134929">
        <w:t xml:space="preserve"> upward pressure on the trade deficit</w:t>
      </w:r>
      <w:r w:rsidR="006B1EB1">
        <w:t xml:space="preserve"> and domestic inflation</w:t>
      </w:r>
      <w:r w:rsidR="006B1EB1" w:rsidRPr="00134929">
        <w:t>.</w:t>
      </w:r>
      <w:r w:rsidR="006B1EB1">
        <w:t xml:space="preserve"> </w:t>
      </w:r>
      <w:r w:rsidR="008744EA">
        <w:t xml:space="preserve"> </w:t>
      </w:r>
    </w:p>
    <w:p w14:paraId="3014DE71" w14:textId="5121DB2D" w:rsidR="00B66CB7" w:rsidRPr="006B166E" w:rsidRDefault="00A762AA" w:rsidP="005117CA">
      <w:pPr>
        <w:jc w:val="center"/>
        <w:rPr>
          <w:highlight w:val="yellow"/>
        </w:rPr>
      </w:pPr>
      <w:r w:rsidRPr="00A762AA">
        <w:rPr>
          <w:noProof/>
        </w:rPr>
        <w:drawing>
          <wp:inline distT="0" distB="0" distL="0" distR="0" wp14:anchorId="5B34337E" wp14:editId="1164551C">
            <wp:extent cx="4224655" cy="33223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322320"/>
                    </a:xfrm>
                    <a:prstGeom prst="rect">
                      <a:avLst/>
                    </a:prstGeom>
                    <a:noFill/>
                  </pic:spPr>
                </pic:pic>
              </a:graphicData>
            </a:graphic>
          </wp:inline>
        </w:drawing>
      </w:r>
    </w:p>
    <w:p w14:paraId="31033888" w14:textId="00B30B3B" w:rsidR="004D1C9D" w:rsidRPr="006B1EB1" w:rsidRDefault="00D03164" w:rsidP="00174BCD">
      <w:pPr>
        <w:rPr>
          <w:strike/>
        </w:rPr>
      </w:pPr>
      <w:r w:rsidRPr="006B1EB1">
        <w:t>The Industrial Production Index</w:t>
      </w:r>
      <w:r w:rsidRPr="006B1EB1">
        <w:rPr>
          <w:rStyle w:val="FootnoteReference"/>
        </w:rPr>
        <w:footnoteReference w:id="8"/>
      </w:r>
      <w:r w:rsidRPr="006B1EB1">
        <w:t xml:space="preserve"> is an economic indicator that measures real output for all facilities located in the United States manufacturing, mining, and electric, and gas utilities. The index stood at 100.</w:t>
      </w:r>
      <w:r w:rsidR="006B1EB1" w:rsidRPr="006B1EB1">
        <w:t>0</w:t>
      </w:r>
      <w:r w:rsidRPr="006B1EB1">
        <w:t xml:space="preserve"> at the end of </w:t>
      </w:r>
      <w:r w:rsidR="006B1EB1" w:rsidRPr="006B1EB1">
        <w:t>the 3</w:t>
      </w:r>
      <w:r w:rsidR="006B1EB1" w:rsidRPr="006B1EB1">
        <w:rPr>
          <w:vertAlign w:val="superscript"/>
        </w:rPr>
        <w:t>rd</w:t>
      </w:r>
      <w:r w:rsidR="006B1EB1" w:rsidRPr="006B1EB1">
        <w:t xml:space="preserve"> quarter</w:t>
      </w:r>
      <w:r w:rsidRPr="006B1EB1">
        <w:t xml:space="preserve">, </w:t>
      </w:r>
      <w:r w:rsidR="006B1EB1" w:rsidRPr="006B1EB1">
        <w:t>down 0.41</w:t>
      </w:r>
      <w:r w:rsidRPr="006B1EB1">
        <w:t xml:space="preserve">% </w:t>
      </w:r>
      <w:r w:rsidR="006B1EB1" w:rsidRPr="006B1EB1">
        <w:t>since the previous quarter</w:t>
      </w:r>
      <w:r w:rsidRPr="006B1EB1">
        <w:t>.</w:t>
      </w:r>
    </w:p>
    <w:p w14:paraId="149D5F1F" w14:textId="63D8B97F" w:rsidR="00172307" w:rsidRPr="006B166E" w:rsidRDefault="00A762AA" w:rsidP="00BA7A2C">
      <w:pPr>
        <w:jc w:val="center"/>
        <w:rPr>
          <w:highlight w:val="yellow"/>
        </w:rPr>
      </w:pPr>
      <w:r>
        <w:rPr>
          <w:noProof/>
          <w:highlight w:val="yellow"/>
        </w:rPr>
        <w:lastRenderedPageBreak/>
        <w:drawing>
          <wp:inline distT="0" distB="0" distL="0" distR="0" wp14:anchorId="43CAE336" wp14:editId="2BB8992A">
            <wp:extent cx="3816350" cy="259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597150"/>
                    </a:xfrm>
                    <a:prstGeom prst="rect">
                      <a:avLst/>
                    </a:prstGeom>
                    <a:noFill/>
                  </pic:spPr>
                </pic:pic>
              </a:graphicData>
            </a:graphic>
          </wp:inline>
        </w:drawing>
      </w:r>
    </w:p>
    <w:p w14:paraId="5A38C44B" w14:textId="0DB3C578" w:rsidR="007A05AD" w:rsidRPr="006B1EB1" w:rsidRDefault="007A05AD" w:rsidP="007A05AD">
      <w:r w:rsidRPr="006B1EB1">
        <w:t>The Capacity Utilization Index</w:t>
      </w:r>
      <w:r w:rsidRPr="006B1EB1">
        <w:rPr>
          <w:rStyle w:val="FootnoteReference"/>
        </w:rPr>
        <w:footnoteReference w:id="9"/>
      </w:r>
      <w:r w:rsidRPr="006B1EB1">
        <w:t>, which attempts to capture industrial output as a percentage of the economy’s maximum production capacity, increased to 7</w:t>
      </w:r>
      <w:r w:rsidR="006B1EB1" w:rsidRPr="006B1EB1">
        <w:t>6.2</w:t>
      </w:r>
      <w:r w:rsidRPr="006B1EB1">
        <w:t>%, slowing as it approaches the pre-pandemic level of 76.5%. The 10-year high for the metric was 78.</w:t>
      </w:r>
      <w:r w:rsidR="00D03164" w:rsidRPr="006B1EB1">
        <w:t>4</w:t>
      </w:r>
      <w:r w:rsidRPr="006B1EB1">
        <w:t>% in August of 2018.</w:t>
      </w:r>
    </w:p>
    <w:p w14:paraId="2B52197D" w14:textId="7875EE4D" w:rsidR="007A05AD" w:rsidRDefault="00A762AA" w:rsidP="00BA7A2C">
      <w:pPr>
        <w:jc w:val="center"/>
      </w:pPr>
      <w:r>
        <w:rPr>
          <w:noProof/>
        </w:rPr>
        <w:drawing>
          <wp:inline distT="0" distB="0" distL="0" distR="0" wp14:anchorId="584C24BC" wp14:editId="34DF6016">
            <wp:extent cx="3816350" cy="259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2597150"/>
                    </a:xfrm>
                    <a:prstGeom prst="rect">
                      <a:avLst/>
                    </a:prstGeom>
                    <a:noFill/>
                  </pic:spPr>
                </pic:pic>
              </a:graphicData>
            </a:graphic>
          </wp:inline>
        </w:drawing>
      </w:r>
    </w:p>
    <w:p w14:paraId="149D5F20" w14:textId="72147876" w:rsidR="00005111" w:rsidRPr="005261C1" w:rsidRDefault="00005111" w:rsidP="005261C1">
      <w:pPr>
        <w:pStyle w:val="Heading1"/>
      </w:pPr>
      <w:r w:rsidRPr="005261C1">
        <w:t>Interest Rates</w:t>
      </w:r>
    </w:p>
    <w:p w14:paraId="472CBB47" w14:textId="309D9F5E" w:rsidR="00A96A6A" w:rsidRPr="003F4CDB" w:rsidRDefault="00814E45" w:rsidP="00005111">
      <w:pPr>
        <w:rPr>
          <w:color w:val="000000" w:themeColor="text1"/>
        </w:rPr>
      </w:pPr>
      <w:r w:rsidRPr="003F4CDB">
        <w:t xml:space="preserve">After </w:t>
      </w:r>
      <w:r w:rsidR="006C7BEF" w:rsidRPr="003F4CDB">
        <w:t>rising slightly to</w:t>
      </w:r>
      <w:r w:rsidRPr="003F4CDB">
        <w:t xml:space="preserve"> start the 3</w:t>
      </w:r>
      <w:r w:rsidRPr="003F4CDB">
        <w:rPr>
          <w:vertAlign w:val="superscript"/>
        </w:rPr>
        <w:t>rd</w:t>
      </w:r>
      <w:r w:rsidRPr="003F4CDB">
        <w:t xml:space="preserve"> quarter, t</w:t>
      </w:r>
      <w:r w:rsidR="00231BB2" w:rsidRPr="003F4CDB">
        <w:t xml:space="preserve">he effective </w:t>
      </w:r>
      <w:r w:rsidRPr="003F4CDB">
        <w:t>federal f</w:t>
      </w:r>
      <w:r w:rsidR="00231BB2" w:rsidRPr="003F4CDB">
        <w:t>unds rate</w:t>
      </w:r>
      <w:r w:rsidRPr="003F4CDB">
        <w:rPr>
          <w:rStyle w:val="FootnoteReference"/>
        </w:rPr>
        <w:footnoteReference w:id="10"/>
      </w:r>
      <w:r w:rsidR="00231BB2" w:rsidRPr="003F4CDB">
        <w:t xml:space="preserve"> </w:t>
      </w:r>
      <w:r w:rsidR="006C7BEF" w:rsidRPr="003F4CDB">
        <w:t>steadily inched back down</w:t>
      </w:r>
      <w:r w:rsidR="00C77196">
        <w:t xml:space="preserve"> to end</w:t>
      </w:r>
      <w:r w:rsidRPr="003F4CDB">
        <w:t xml:space="preserve"> </w:t>
      </w:r>
      <w:r w:rsidR="006C7BEF" w:rsidRPr="003F4CDB">
        <w:t xml:space="preserve">the quarter </w:t>
      </w:r>
      <w:r w:rsidRPr="003F4CDB">
        <w:t>at 0.08%, near</w:t>
      </w:r>
      <w:r w:rsidR="00231BB2" w:rsidRPr="003F4CDB">
        <w:t xml:space="preserve"> its all-time low</w:t>
      </w:r>
      <w:r w:rsidRPr="003F4CDB">
        <w:t xml:space="preserve">. </w:t>
      </w:r>
      <w:r w:rsidR="00231BB2" w:rsidRPr="003F4CDB">
        <w:t xml:space="preserve"> </w:t>
      </w:r>
      <w:r w:rsidR="006C7BEF" w:rsidRPr="003F4CDB">
        <w:t>S</w:t>
      </w:r>
      <w:r w:rsidR="00231BB2" w:rsidRPr="003F4CDB">
        <w:t xml:space="preserve">hort-term treasury </w:t>
      </w:r>
      <w:r w:rsidR="003F4CDB">
        <w:t>bond yields</w:t>
      </w:r>
      <w:r w:rsidR="005A0EC4">
        <w:rPr>
          <w:rStyle w:val="FootnoteReference"/>
        </w:rPr>
        <w:footnoteReference w:id="11"/>
      </w:r>
      <w:r w:rsidR="00A73A66" w:rsidRPr="003F4CDB">
        <w:t xml:space="preserve"> </w:t>
      </w:r>
      <w:r w:rsidR="006C7BEF" w:rsidRPr="003F4CDB">
        <w:lastRenderedPageBreak/>
        <w:t>were little changed during the 3</w:t>
      </w:r>
      <w:r w:rsidR="006C7BEF" w:rsidRPr="003F4CDB">
        <w:rPr>
          <w:vertAlign w:val="superscript"/>
        </w:rPr>
        <w:t>rd</w:t>
      </w:r>
      <w:r w:rsidR="006C7BEF" w:rsidRPr="003F4CDB">
        <w:t xml:space="preserve"> quarter</w:t>
      </w:r>
      <w:r w:rsidR="00231BB2" w:rsidRPr="003F4CDB">
        <w:t>. L</w:t>
      </w:r>
      <w:r w:rsidR="00022BB4" w:rsidRPr="003F4CDB">
        <w:t>ong-term treasury yields</w:t>
      </w:r>
      <w:r w:rsidR="006C7BEF" w:rsidRPr="003F4CDB">
        <w:t xml:space="preserve"> fell </w:t>
      </w:r>
      <w:r w:rsidR="003F4CDB" w:rsidRPr="003F4CDB">
        <w:t>early in the quarter amid fears of rising inflation and rapidly spreading COVID-19 variants</w:t>
      </w:r>
      <w:r w:rsidR="00880496">
        <w:t xml:space="preserve">, then </w:t>
      </w:r>
      <w:r w:rsidR="00880496" w:rsidRPr="003F4CDB">
        <w:t>rebounde</w:t>
      </w:r>
      <w:r w:rsidR="00880496">
        <w:t>d</w:t>
      </w:r>
      <w:r w:rsidR="003F4CDB" w:rsidRPr="003F4CDB">
        <w:t xml:space="preserve"> on speculation of Federal Reserve action to fight inflation</w:t>
      </w:r>
      <w:r w:rsidR="00231BB2" w:rsidRPr="003F4CDB">
        <w:t>.</w:t>
      </w:r>
      <w:r w:rsidR="0092287E" w:rsidRPr="003F4CDB">
        <w:t xml:space="preserve"> </w:t>
      </w:r>
      <w:r w:rsidR="003F4CDB" w:rsidRPr="003F4CDB">
        <w:t>The</w:t>
      </w:r>
      <w:r w:rsidR="008844A2" w:rsidRPr="003F4CDB">
        <w:t xml:space="preserve"> 1</w:t>
      </w:r>
      <w:r w:rsidR="005E7A94" w:rsidRPr="003F4CDB">
        <w:t xml:space="preserve">-year and 2-year annual treasury yields </w:t>
      </w:r>
      <w:r w:rsidR="00B65667" w:rsidRPr="003F4CDB">
        <w:t xml:space="preserve">ended the </w:t>
      </w:r>
      <w:r w:rsidR="003F4CDB" w:rsidRPr="003F4CDB">
        <w:t>3</w:t>
      </w:r>
      <w:r w:rsidR="003F4CDB" w:rsidRPr="003F4CDB">
        <w:rPr>
          <w:vertAlign w:val="superscript"/>
        </w:rPr>
        <w:t>rd</w:t>
      </w:r>
      <w:r w:rsidR="003F4CDB" w:rsidRPr="003F4CDB">
        <w:t xml:space="preserve"> </w:t>
      </w:r>
      <w:r w:rsidR="00B65667" w:rsidRPr="003F4CDB">
        <w:t>quarter</w:t>
      </w:r>
      <w:r w:rsidR="005E7A94" w:rsidRPr="003F4CDB">
        <w:t xml:space="preserve"> at </w:t>
      </w:r>
      <w:r w:rsidR="00B65667" w:rsidRPr="003F4CDB">
        <w:t>0.</w:t>
      </w:r>
      <w:r w:rsidR="003F4CDB" w:rsidRPr="003F4CDB">
        <w:t>09</w:t>
      </w:r>
      <w:r w:rsidR="005E7A94" w:rsidRPr="003F4CDB">
        <w:t>%</w:t>
      </w:r>
      <w:r w:rsidR="008844A2" w:rsidRPr="003F4CDB">
        <w:t xml:space="preserve"> and 0.2</w:t>
      </w:r>
      <w:r w:rsidR="003F4CDB" w:rsidRPr="003F4CDB">
        <w:t>8</w:t>
      </w:r>
      <w:r w:rsidR="006E6EAA" w:rsidRPr="003F4CDB">
        <w:t>%, respectively</w:t>
      </w:r>
      <w:r w:rsidR="005E7A94" w:rsidRPr="003F4CDB">
        <w:t>.</w:t>
      </w:r>
      <w:r w:rsidR="00231BB2" w:rsidRPr="003F4CDB">
        <w:t xml:space="preserve"> The </w:t>
      </w:r>
      <w:r w:rsidR="005E7A94" w:rsidRPr="003F4CDB">
        <w:t xml:space="preserve">benchmark </w:t>
      </w:r>
      <w:r w:rsidR="00022BB4" w:rsidRPr="003F4CDB">
        <w:t>1</w:t>
      </w:r>
      <w:r w:rsidR="0061080D" w:rsidRPr="003F4CDB">
        <w:t xml:space="preserve">0-year treasury </w:t>
      </w:r>
      <w:r w:rsidR="005E7A94" w:rsidRPr="003F4CDB">
        <w:t>yielded</w:t>
      </w:r>
      <w:r w:rsidR="0061080D" w:rsidRPr="003F4CDB">
        <w:t xml:space="preserve"> </w:t>
      </w:r>
      <w:r w:rsidR="008844A2" w:rsidRPr="003F4CDB">
        <w:t>1.</w:t>
      </w:r>
      <w:r w:rsidR="003F4CDB" w:rsidRPr="003F4CDB">
        <w:t>52</w:t>
      </w:r>
      <w:r w:rsidR="0061080D" w:rsidRPr="003F4CDB">
        <w:t>%</w:t>
      </w:r>
      <w:r w:rsidR="005E7A94" w:rsidRPr="003F4CDB">
        <w:t xml:space="preserve"> annually at the</w:t>
      </w:r>
      <w:r w:rsidR="00B65667" w:rsidRPr="003F4CDB">
        <w:t xml:space="preserve"> end of </w:t>
      </w:r>
      <w:r w:rsidR="008844A2" w:rsidRPr="003F4CDB">
        <w:t>the quarter</w:t>
      </w:r>
      <w:r w:rsidR="005E7A94" w:rsidRPr="003F4CDB">
        <w:t xml:space="preserve">, while </w:t>
      </w:r>
      <w:r w:rsidR="00D851AB" w:rsidRPr="003F4CDB">
        <w:t xml:space="preserve">the </w:t>
      </w:r>
      <w:r w:rsidR="00022BB4" w:rsidRPr="003F4CDB">
        <w:t>3</w:t>
      </w:r>
      <w:r w:rsidR="00D851AB" w:rsidRPr="003F4CDB">
        <w:t xml:space="preserve">0-year treasury </w:t>
      </w:r>
      <w:r w:rsidR="00B65667" w:rsidRPr="003F4CDB">
        <w:t>yielded</w:t>
      </w:r>
      <w:r w:rsidR="00D851AB" w:rsidRPr="003F4CDB">
        <w:t xml:space="preserve"> </w:t>
      </w:r>
      <w:r w:rsidR="008844A2" w:rsidRPr="003F4CDB">
        <w:t>2.0</w:t>
      </w:r>
      <w:r w:rsidR="003F4CDB" w:rsidRPr="003F4CDB">
        <w:t>8</w:t>
      </w:r>
      <w:r w:rsidR="00D851AB" w:rsidRPr="003F4CDB">
        <w:t>%</w:t>
      </w:r>
      <w:r w:rsidR="00AE64EF" w:rsidRPr="003F4CDB">
        <w:rPr>
          <w:color w:val="000000" w:themeColor="text1"/>
        </w:rPr>
        <w:t>.</w:t>
      </w:r>
      <w:r w:rsidR="002301AB" w:rsidRPr="003F4CDB">
        <w:rPr>
          <w:color w:val="000000" w:themeColor="text1"/>
        </w:rPr>
        <w:t xml:space="preserve"> See </w:t>
      </w:r>
      <w:r w:rsidR="002301AB" w:rsidRPr="003F4CDB">
        <w:rPr>
          <w:i/>
          <w:iCs/>
          <w:color w:val="000000" w:themeColor="text1"/>
        </w:rPr>
        <w:t>Appendix – Selected Interest Rates</w:t>
      </w:r>
      <w:r w:rsidR="002301AB" w:rsidRPr="003F4CDB">
        <w:rPr>
          <w:color w:val="000000" w:themeColor="text1"/>
        </w:rPr>
        <w:t xml:space="preserve"> for detailed interest rate data. </w:t>
      </w:r>
    </w:p>
    <w:p w14:paraId="0614E8BB" w14:textId="5B516ED3" w:rsidR="004D1C9D" w:rsidRPr="004B5284" w:rsidRDefault="00A762AA" w:rsidP="005117CA">
      <w:pPr>
        <w:jc w:val="center"/>
      </w:pPr>
      <w:r>
        <w:rPr>
          <w:noProof/>
        </w:rPr>
        <w:drawing>
          <wp:inline distT="0" distB="0" distL="0" distR="0" wp14:anchorId="70DF9ABA" wp14:editId="1BE92C33">
            <wp:extent cx="3505200" cy="2627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7630"/>
                    </a:xfrm>
                    <a:prstGeom prst="rect">
                      <a:avLst/>
                    </a:prstGeom>
                    <a:noFill/>
                  </pic:spPr>
                </pic:pic>
              </a:graphicData>
            </a:graphic>
          </wp:inline>
        </w:drawing>
      </w:r>
    </w:p>
    <w:p w14:paraId="031CA932" w14:textId="3A14F957" w:rsidR="00B00681" w:rsidRPr="004B5284" w:rsidRDefault="00171C8E" w:rsidP="00005111">
      <w:r w:rsidRPr="004B5284">
        <w:t xml:space="preserve">In </w:t>
      </w:r>
      <w:r w:rsidR="00B34926" w:rsidRPr="004B5284">
        <w:t xml:space="preserve">the </w:t>
      </w:r>
      <w:r w:rsidR="005A0EC4" w:rsidRPr="004B5284">
        <w:t>3</w:t>
      </w:r>
      <w:r w:rsidR="005A0EC4" w:rsidRPr="004B5284">
        <w:rPr>
          <w:vertAlign w:val="superscript"/>
        </w:rPr>
        <w:t>rd</w:t>
      </w:r>
      <w:r w:rsidR="005A0EC4" w:rsidRPr="004B5284">
        <w:t xml:space="preserve"> </w:t>
      </w:r>
      <w:r w:rsidR="00B34926" w:rsidRPr="004B5284">
        <w:t>quarter of 202</w:t>
      </w:r>
      <w:r w:rsidR="005A0EC4" w:rsidRPr="004B5284">
        <w:t>1</w:t>
      </w:r>
      <w:r w:rsidR="00FE4D42" w:rsidRPr="004B5284">
        <w:t>,</w:t>
      </w:r>
      <w:r w:rsidRPr="004B5284">
        <w:t xml:space="preserve"> the Federal Reserve </w:t>
      </w:r>
      <w:r w:rsidR="006B3D25" w:rsidRPr="004B5284">
        <w:t>continued to keep</w:t>
      </w:r>
      <w:r w:rsidR="003376CD" w:rsidRPr="004B5284">
        <w:t xml:space="preserve"> </w:t>
      </w:r>
      <w:r w:rsidR="00D851AB" w:rsidRPr="004B5284">
        <w:t>the federal funds target rate</w:t>
      </w:r>
      <w:r w:rsidR="00740863" w:rsidRPr="004B5284">
        <w:t xml:space="preserve"> </w:t>
      </w:r>
      <w:r w:rsidR="00B34926" w:rsidRPr="004B5284">
        <w:t>steady at</w:t>
      </w:r>
      <w:r w:rsidR="004709B0" w:rsidRPr="004B5284">
        <w:t xml:space="preserve"> </w:t>
      </w:r>
      <w:r w:rsidR="00624AEF" w:rsidRPr="004B5284">
        <w:t xml:space="preserve">a range of </w:t>
      </w:r>
      <w:r w:rsidR="00B65667" w:rsidRPr="004B5284">
        <w:t>0.0</w:t>
      </w:r>
      <w:r w:rsidR="005E7A94" w:rsidRPr="004B5284">
        <w:t>0</w:t>
      </w:r>
      <w:r w:rsidR="00624AEF" w:rsidRPr="004B5284">
        <w:t xml:space="preserve"> to </w:t>
      </w:r>
      <w:r w:rsidR="00B65667" w:rsidRPr="004B5284">
        <w:t>0.2</w:t>
      </w:r>
      <w:r w:rsidR="005E7A94" w:rsidRPr="004B5284">
        <w:t>5</w:t>
      </w:r>
      <w:r w:rsidR="004709B0" w:rsidRPr="004B5284">
        <w:t xml:space="preserve"> percent</w:t>
      </w:r>
      <w:r w:rsidR="005A0EC4" w:rsidRPr="004B5284">
        <w:t xml:space="preserve"> but foreshadowed </w:t>
      </w:r>
      <w:r w:rsidR="001945EC">
        <w:t>that it would act on plans to</w:t>
      </w:r>
      <w:r w:rsidR="004B5284" w:rsidRPr="004B5284">
        <w:t xml:space="preserve"> increase rates </w:t>
      </w:r>
      <w:r w:rsidR="001945EC">
        <w:t xml:space="preserve">in 2022 </w:t>
      </w:r>
      <w:r w:rsidR="004B5284" w:rsidRPr="004B5284">
        <w:t xml:space="preserve">and </w:t>
      </w:r>
      <w:r w:rsidR="001945EC">
        <w:t xml:space="preserve">begin </w:t>
      </w:r>
      <w:r w:rsidR="004B5284" w:rsidRPr="004B5284">
        <w:t>phas</w:t>
      </w:r>
      <w:r w:rsidR="001945EC">
        <w:t>ing</w:t>
      </w:r>
      <w:r w:rsidR="004B5284" w:rsidRPr="004B5284">
        <w:t xml:space="preserve"> down its aggressive bond-buying program</w:t>
      </w:r>
      <w:r w:rsidR="001945EC">
        <w:t xml:space="preserve"> before the end of 2021</w:t>
      </w:r>
      <w:r w:rsidR="00A73A66" w:rsidRPr="004B5284">
        <w:t>.</w:t>
      </w:r>
      <w:r w:rsidR="000B0583" w:rsidRPr="004B5284">
        <w:t xml:space="preserve"> </w:t>
      </w:r>
      <w:r w:rsidR="003F5061" w:rsidRPr="004B5284">
        <w:t>The effective federal funds rate</w:t>
      </w:r>
      <w:r w:rsidR="003F5061" w:rsidRPr="004B5284">
        <w:rPr>
          <w:rStyle w:val="FootnoteReference"/>
        </w:rPr>
        <w:footnoteReference w:id="12"/>
      </w:r>
      <w:r w:rsidR="003F5061" w:rsidRPr="004B5284">
        <w:t xml:space="preserve"> </w:t>
      </w:r>
      <w:r w:rsidR="00A73A66" w:rsidRPr="004B5284">
        <w:t xml:space="preserve">at the end of </w:t>
      </w:r>
      <w:r w:rsidR="005A0EC4" w:rsidRPr="004B5284">
        <w:t>the 3</w:t>
      </w:r>
      <w:r w:rsidR="005A0EC4" w:rsidRPr="004B5284">
        <w:rPr>
          <w:vertAlign w:val="superscript"/>
        </w:rPr>
        <w:t>rd</w:t>
      </w:r>
      <w:r w:rsidR="005A0EC4" w:rsidRPr="004B5284">
        <w:t xml:space="preserve"> quarter</w:t>
      </w:r>
      <w:r w:rsidR="00A73A66" w:rsidRPr="004B5284">
        <w:t xml:space="preserve"> was 0.08, similar to recent quarters. </w:t>
      </w:r>
    </w:p>
    <w:p w14:paraId="515AD2F7" w14:textId="48C4908F" w:rsidR="004D1C9D" w:rsidRPr="00D62169" w:rsidRDefault="00A762AA" w:rsidP="00166C08">
      <w:pPr>
        <w:jc w:val="center"/>
        <w:rPr>
          <w:highlight w:val="yellow"/>
        </w:rPr>
      </w:pPr>
      <w:r w:rsidRPr="00A762AA">
        <w:rPr>
          <w:noProof/>
        </w:rPr>
        <w:lastRenderedPageBreak/>
        <w:drawing>
          <wp:inline distT="0" distB="0" distL="0" distR="0" wp14:anchorId="0DEFD037" wp14:editId="66A7A728">
            <wp:extent cx="3493135" cy="2603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7D026DBE" w14:textId="57C7E883" w:rsidR="004D1C9D" w:rsidRPr="004B5284" w:rsidRDefault="005117CA" w:rsidP="005261C1">
      <w:r w:rsidRPr="004B5284">
        <w:t>T</w:t>
      </w:r>
      <w:r w:rsidR="002978F9" w:rsidRPr="004B5284">
        <w:t xml:space="preserve">he yield on the </w:t>
      </w:r>
      <w:r w:rsidR="0039196F" w:rsidRPr="004B5284">
        <w:t xml:space="preserve">benchmark </w:t>
      </w:r>
      <w:r w:rsidR="002978F9" w:rsidRPr="004B5284">
        <w:t>10-year U.S. treasury</w:t>
      </w:r>
      <w:r w:rsidR="004759DB" w:rsidRPr="004B5284">
        <w:rPr>
          <w:rStyle w:val="FootnoteReference"/>
        </w:rPr>
        <w:footnoteReference w:id="13"/>
      </w:r>
      <w:r w:rsidR="002978F9" w:rsidRPr="004B5284">
        <w:t xml:space="preserve"> </w:t>
      </w:r>
      <w:r w:rsidR="004B5284" w:rsidRPr="004B5284">
        <w:t>rose 7</w:t>
      </w:r>
      <w:r w:rsidR="007A4896" w:rsidRPr="004B5284">
        <w:t xml:space="preserve"> basis</w:t>
      </w:r>
      <w:r w:rsidRPr="004B5284">
        <w:t xml:space="preserve"> points </w:t>
      </w:r>
      <w:r w:rsidR="00D22D6A" w:rsidRPr="004B5284">
        <w:t xml:space="preserve">during the </w:t>
      </w:r>
      <w:r w:rsidR="004B5284" w:rsidRPr="004B5284">
        <w:t>3</w:t>
      </w:r>
      <w:r w:rsidR="004B5284" w:rsidRPr="004B5284">
        <w:rPr>
          <w:vertAlign w:val="superscript"/>
        </w:rPr>
        <w:t>rd</w:t>
      </w:r>
      <w:r w:rsidR="004B5284" w:rsidRPr="004B5284">
        <w:t xml:space="preserve"> </w:t>
      </w:r>
      <w:r w:rsidRPr="004B5284">
        <w:t>quarter</w:t>
      </w:r>
      <w:r w:rsidR="00A73A66" w:rsidRPr="004B5284">
        <w:t xml:space="preserve"> to 1.</w:t>
      </w:r>
      <w:r w:rsidR="004B5284" w:rsidRPr="004B5284">
        <w:t>52</w:t>
      </w:r>
      <w:r w:rsidR="00A73A66" w:rsidRPr="004B5284">
        <w:t xml:space="preserve">%, </w:t>
      </w:r>
      <w:r w:rsidR="00D22D6A" w:rsidRPr="004B5284">
        <w:t xml:space="preserve">well </w:t>
      </w:r>
      <w:r w:rsidR="00071875" w:rsidRPr="004B5284">
        <w:t xml:space="preserve">below the average yield of </w:t>
      </w:r>
      <w:r w:rsidR="003376CD" w:rsidRPr="004B5284">
        <w:t>4.</w:t>
      </w:r>
      <w:r w:rsidR="004B5284" w:rsidRPr="004B5284">
        <w:t>09</w:t>
      </w:r>
      <w:r w:rsidR="004965CE" w:rsidRPr="004B5284">
        <w:t>% over the last 30 years</w:t>
      </w:r>
      <w:r w:rsidR="00CB629F" w:rsidRPr="004B5284">
        <w:t>.</w:t>
      </w:r>
      <w:r w:rsidR="00A73A66" w:rsidRPr="004B5284">
        <w:t xml:space="preserve"> </w:t>
      </w:r>
    </w:p>
    <w:p w14:paraId="67433862" w14:textId="791D9A6A" w:rsidR="004D1C9D" w:rsidRPr="004B5284" w:rsidRDefault="00A762AA" w:rsidP="005117CA">
      <w:pPr>
        <w:jc w:val="center"/>
      </w:pPr>
      <w:r>
        <w:rPr>
          <w:noProof/>
        </w:rPr>
        <w:drawing>
          <wp:inline distT="0" distB="0" distL="0" distR="0" wp14:anchorId="7400E6FA" wp14:editId="171AC5A9">
            <wp:extent cx="3499485" cy="260350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75A11124" w14:textId="294B74D7" w:rsidR="001945EC" w:rsidRDefault="00F02B3A" w:rsidP="00460436">
      <w:r w:rsidRPr="001945EC">
        <w:t>Moody’s Baa Corpor</w:t>
      </w:r>
      <w:r w:rsidR="00102080" w:rsidRPr="001945EC">
        <w:t xml:space="preserve">ate Bond Yield </w:t>
      </w:r>
      <w:r w:rsidR="004E3393" w:rsidRPr="001945EC">
        <w:t>Index</w:t>
      </w:r>
      <w:r w:rsidR="004E5EC0" w:rsidRPr="001945EC">
        <w:rPr>
          <w:rStyle w:val="FootnoteReference"/>
        </w:rPr>
        <w:footnoteReference w:id="14"/>
      </w:r>
      <w:r w:rsidR="004E3393" w:rsidRPr="001945EC">
        <w:t xml:space="preserve"> </w:t>
      </w:r>
      <w:r w:rsidR="009D42AA" w:rsidRPr="001945EC">
        <w:t>ended the 3</w:t>
      </w:r>
      <w:r w:rsidR="009D42AA" w:rsidRPr="001945EC">
        <w:rPr>
          <w:vertAlign w:val="superscript"/>
        </w:rPr>
        <w:t>rd</w:t>
      </w:r>
      <w:r w:rsidR="009D42AA" w:rsidRPr="001945EC">
        <w:t xml:space="preserve"> quarter at </w:t>
      </w:r>
      <w:r w:rsidR="009D42AA" w:rsidRPr="00E73654">
        <w:t>3.</w:t>
      </w:r>
      <w:r w:rsidR="00E97314" w:rsidRPr="00E73654">
        <w:t>3</w:t>
      </w:r>
      <w:r w:rsidR="00263EBD" w:rsidRPr="00E73654">
        <w:t>7</w:t>
      </w:r>
      <w:r w:rsidR="009D42AA" w:rsidRPr="00E73654">
        <w:t>%</w:t>
      </w:r>
      <w:r w:rsidR="00F72263" w:rsidRPr="00E73654">
        <w:t>,</w:t>
      </w:r>
      <w:r w:rsidR="009D42AA" w:rsidRPr="001945EC">
        <w:t xml:space="preserve"> </w:t>
      </w:r>
      <w:r w:rsidR="00F72263">
        <w:t>up slightly</w:t>
      </w:r>
      <w:r w:rsidR="009D42AA" w:rsidRPr="001945EC">
        <w:t xml:space="preserve"> from its 2</w:t>
      </w:r>
      <w:r w:rsidR="009D42AA" w:rsidRPr="001945EC">
        <w:rPr>
          <w:vertAlign w:val="superscript"/>
        </w:rPr>
        <w:t>nd</w:t>
      </w:r>
      <w:r w:rsidR="009D42AA" w:rsidRPr="001945EC">
        <w:t xml:space="preserve">-quarter level of </w:t>
      </w:r>
      <w:r w:rsidR="009D42AA" w:rsidRPr="00E73654">
        <w:t>3.</w:t>
      </w:r>
      <w:r w:rsidR="00263EBD" w:rsidRPr="00E73654">
        <w:t>32</w:t>
      </w:r>
      <w:r w:rsidR="009D42AA" w:rsidRPr="00E73654">
        <w:t>%</w:t>
      </w:r>
      <w:r w:rsidR="00823E2B" w:rsidRPr="001945EC">
        <w:t xml:space="preserve">. </w:t>
      </w:r>
      <w:r w:rsidR="00261A6E" w:rsidRPr="001945EC">
        <w:t>Moody’s Aaa</w:t>
      </w:r>
      <w:r w:rsidR="009D42AA" w:rsidRPr="001945EC">
        <w:rPr>
          <w:rStyle w:val="FootnoteReference"/>
        </w:rPr>
        <w:footnoteReference w:id="15"/>
      </w:r>
      <w:r w:rsidR="00261A6E" w:rsidRPr="001945EC">
        <w:t xml:space="preserve"> Index </w:t>
      </w:r>
      <w:r w:rsidR="009D42AA" w:rsidRPr="001945EC">
        <w:t xml:space="preserve">similarly </w:t>
      </w:r>
      <w:r w:rsidR="00F72263">
        <w:t>edged up</w:t>
      </w:r>
      <w:r w:rsidR="009D42AA" w:rsidRPr="001945EC">
        <w:t xml:space="preserve"> to end the quarter at 2.</w:t>
      </w:r>
      <w:r w:rsidR="00263EBD">
        <w:t>70</w:t>
      </w:r>
      <w:r w:rsidR="00261A6E" w:rsidRPr="001945EC">
        <w:t>%</w:t>
      </w:r>
      <w:r w:rsidR="009D42AA" w:rsidRPr="001945EC">
        <w:t>, compared to 2.</w:t>
      </w:r>
      <w:r w:rsidR="00F72263">
        <w:t>63</w:t>
      </w:r>
      <w:r w:rsidR="009D42AA" w:rsidRPr="001945EC">
        <w:t>% in the previous quarter</w:t>
      </w:r>
      <w:r w:rsidR="00261A6E" w:rsidRPr="001945EC">
        <w:t>.</w:t>
      </w:r>
    </w:p>
    <w:p w14:paraId="62B8B6AA" w14:textId="62AB295E" w:rsidR="00A96A6A" w:rsidRDefault="00261A6E" w:rsidP="00460436">
      <w:r w:rsidRPr="001945EC">
        <w:t>Starting in March of 2020, the Federal Reserve took the unprecedented measure of</w:t>
      </w:r>
      <w:r w:rsidR="003412DA" w:rsidRPr="001945EC">
        <w:t xml:space="preserve"> building</w:t>
      </w:r>
      <w:r w:rsidRPr="001945EC">
        <w:t xml:space="preserve"> a portfolio of corporate bonds, effectively </w:t>
      </w:r>
      <w:r w:rsidR="007A4896" w:rsidRPr="001945EC">
        <w:t xml:space="preserve">backstopping </w:t>
      </w:r>
      <w:r w:rsidRPr="001945EC">
        <w:t xml:space="preserve">the corporate bond market. Shortly after doing so, the riskier Baa index reversed its yield spike and began to fall lower. The move was </w:t>
      </w:r>
      <w:r w:rsidRPr="001945EC">
        <w:lastRenderedPageBreak/>
        <w:t xml:space="preserve">less dramatic for Aaa, but both markets </w:t>
      </w:r>
      <w:r w:rsidR="003412DA" w:rsidRPr="001945EC">
        <w:t>were</w:t>
      </w:r>
      <w:r w:rsidRPr="001945EC">
        <w:t xml:space="preserve"> affected </w:t>
      </w:r>
      <w:r w:rsidR="003412DA" w:rsidRPr="001945EC">
        <w:t xml:space="preserve">directly </w:t>
      </w:r>
      <w:r w:rsidRPr="001945EC">
        <w:t xml:space="preserve">by the Fed’s </w:t>
      </w:r>
      <w:r w:rsidR="003412DA" w:rsidRPr="001945EC">
        <w:t xml:space="preserve">$13 billion portfolio, as well as by its expansionary operations in 2020. </w:t>
      </w:r>
      <w:r w:rsidR="001945EC" w:rsidRPr="00132201">
        <w:t>T</w:t>
      </w:r>
      <w:r w:rsidR="003412DA" w:rsidRPr="00132201">
        <w:t xml:space="preserve">he Fed announced </w:t>
      </w:r>
      <w:r w:rsidR="001945EC" w:rsidRPr="00132201">
        <w:t>in September</w:t>
      </w:r>
      <w:r w:rsidR="00E97314">
        <w:t xml:space="preserve"> 2021</w:t>
      </w:r>
      <w:r w:rsidR="001945EC" w:rsidRPr="00132201">
        <w:t xml:space="preserve"> </w:t>
      </w:r>
      <w:r w:rsidR="003412DA" w:rsidRPr="00132201">
        <w:t>that it</w:t>
      </w:r>
      <w:r w:rsidR="001945EC" w:rsidRPr="00132201">
        <w:t>s widely anticipated</w:t>
      </w:r>
      <w:r w:rsidR="003412DA" w:rsidRPr="00132201">
        <w:t xml:space="preserve"> </w:t>
      </w:r>
      <w:r w:rsidR="001945EC" w:rsidRPr="00132201">
        <w:t xml:space="preserve">gradual sell-off of </w:t>
      </w:r>
      <w:r w:rsidR="003412DA" w:rsidRPr="00132201">
        <w:t>its bond holdings</w:t>
      </w:r>
      <w:r w:rsidR="001945EC" w:rsidRPr="00132201">
        <w:t xml:space="preserve"> could begin by December</w:t>
      </w:r>
      <w:r w:rsidR="003412DA" w:rsidRPr="00132201">
        <w:t xml:space="preserve">, which could put </w:t>
      </w:r>
      <w:r w:rsidR="001945EC" w:rsidRPr="00132201">
        <w:t>temporary</w:t>
      </w:r>
      <w:r w:rsidR="003412DA" w:rsidRPr="00132201">
        <w:t xml:space="preserve"> upward pressure on yields, especially for the riskier Baa index.</w:t>
      </w:r>
    </w:p>
    <w:p w14:paraId="7CE57D35" w14:textId="62089F4A" w:rsidR="005117CA" w:rsidRDefault="00A762AA" w:rsidP="005117CA">
      <w:pPr>
        <w:jc w:val="center"/>
      </w:pPr>
      <w:r>
        <w:rPr>
          <w:noProof/>
        </w:rPr>
        <w:drawing>
          <wp:inline distT="0" distB="0" distL="0" distR="0" wp14:anchorId="1E577F2D" wp14:editId="5D60B4E5">
            <wp:extent cx="3493135" cy="2603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149D5F2F" w14:textId="479C442E" w:rsidR="00005111" w:rsidRDefault="00005111" w:rsidP="005261C1">
      <w:pPr>
        <w:pStyle w:val="Heading1"/>
      </w:pPr>
      <w:r>
        <w:t>Employment</w:t>
      </w:r>
    </w:p>
    <w:p w14:paraId="6A12E6BF" w14:textId="3F6669A8" w:rsidR="003412DA" w:rsidRDefault="003412DA" w:rsidP="003412DA">
      <w:r w:rsidRPr="003412DA">
        <w:t>The official unemployment rate</w:t>
      </w:r>
      <w:r w:rsidR="009D7CB0">
        <w:rPr>
          <w:rStyle w:val="FootnoteReference"/>
        </w:rPr>
        <w:footnoteReference w:id="16"/>
      </w:r>
      <w:r w:rsidRPr="003412DA">
        <w:t xml:space="preserve"> </w:t>
      </w:r>
      <w:r w:rsidR="00D62169">
        <w:t>fell to 4.8</w:t>
      </w:r>
      <w:r w:rsidRPr="003412DA">
        <w:t>%</w:t>
      </w:r>
      <w:r w:rsidR="00D62169">
        <w:t xml:space="preserve"> in </w:t>
      </w:r>
      <w:r w:rsidR="003A0B8A">
        <w:t>September</w:t>
      </w:r>
      <w:r w:rsidR="00D62169">
        <w:t xml:space="preserve"> 2021, dipping below the level at which the economy is considered to be at full employment for the first time since the COVID-19 pandemic began</w:t>
      </w:r>
      <w:r w:rsidRPr="003412DA">
        <w:t>.</w:t>
      </w:r>
      <w:r w:rsidR="00D62169">
        <w:t xml:space="preserve"> </w:t>
      </w:r>
      <w:r w:rsidR="006859BA">
        <w:t>However, the labor force</w:t>
      </w:r>
      <w:r w:rsidR="006859BA">
        <w:rPr>
          <w:rStyle w:val="FootnoteReference"/>
        </w:rPr>
        <w:footnoteReference w:id="17"/>
      </w:r>
      <w:r w:rsidR="006859BA">
        <w:t xml:space="preserve"> remained 3.1 million workers smaller since February 2020, with a labor force participation rate</w:t>
      </w:r>
      <w:r w:rsidR="006859BA">
        <w:rPr>
          <w:rStyle w:val="FootnoteReference"/>
        </w:rPr>
        <w:footnoteReference w:id="18"/>
      </w:r>
      <w:r w:rsidR="006859BA">
        <w:t xml:space="preserve"> of just 61.6 percent. Prior to the COVID-19 pandemic, the last time labor force participation was that low in the U.S. was January 1977. </w:t>
      </w:r>
      <w:r w:rsidR="00D62169">
        <w:t>The rate remained below its 30-year average of 5.9% throughout the 3</w:t>
      </w:r>
      <w:r w:rsidR="00D62169" w:rsidRPr="00D62169">
        <w:rPr>
          <w:vertAlign w:val="superscript"/>
        </w:rPr>
        <w:t>rd</w:t>
      </w:r>
      <w:r w:rsidR="00D62169">
        <w:t xml:space="preserve"> quarter</w:t>
      </w:r>
      <w:r w:rsidRPr="003412DA">
        <w:t xml:space="preserve">.  </w:t>
      </w:r>
      <w:r w:rsidR="00D62169">
        <w:t>E</w:t>
      </w:r>
      <w:r w:rsidRPr="003412DA">
        <w:t xml:space="preserve">conomists </w:t>
      </w:r>
      <w:r w:rsidR="006859BA">
        <w:t>polled by</w:t>
      </w:r>
      <w:r w:rsidR="00D62169">
        <w:t xml:space="preserve"> </w:t>
      </w:r>
      <w:r w:rsidRPr="003412DA">
        <w:t>the Livingston Survey</w:t>
      </w:r>
      <w:r w:rsidR="00C7535D">
        <w:rPr>
          <w:rStyle w:val="FootnoteReference"/>
        </w:rPr>
        <w:footnoteReference w:id="19"/>
      </w:r>
      <w:r w:rsidRPr="003412DA">
        <w:t xml:space="preserve"> </w:t>
      </w:r>
      <w:r w:rsidR="006859BA">
        <w:t xml:space="preserve">projected </w:t>
      </w:r>
      <w:r w:rsidR="00D62169">
        <w:t>in June projected</w:t>
      </w:r>
      <w:r w:rsidRPr="003412DA">
        <w:t xml:space="preserve"> th</w:t>
      </w:r>
      <w:r w:rsidR="00D62169">
        <w:t>at</w:t>
      </w:r>
      <w:r w:rsidRPr="003412DA">
        <w:t xml:space="preserve"> unemployment </w:t>
      </w:r>
      <w:r w:rsidR="00D62169">
        <w:t>would fall to</w:t>
      </w:r>
      <w:r w:rsidRPr="003412DA">
        <w:t xml:space="preserve"> 4.7%</w:t>
      </w:r>
      <w:r w:rsidR="00D62169">
        <w:t xml:space="preserve"> by December 2021</w:t>
      </w:r>
      <w:r w:rsidRPr="003412DA">
        <w:t xml:space="preserve"> </w:t>
      </w:r>
      <w:r w:rsidR="00D62169">
        <w:t>and continue declining to 4.4</w:t>
      </w:r>
      <w:r w:rsidRPr="003412DA">
        <w:t xml:space="preserve">% in </w:t>
      </w:r>
      <w:r w:rsidR="00D62169">
        <w:t>June</w:t>
      </w:r>
      <w:r w:rsidRPr="003412DA">
        <w:t xml:space="preserve"> of 202</w:t>
      </w:r>
      <w:r w:rsidR="00D62169">
        <w:t>2</w:t>
      </w:r>
      <w:r w:rsidRPr="003412DA">
        <w:t xml:space="preserve">. </w:t>
      </w:r>
    </w:p>
    <w:p w14:paraId="799A9D83" w14:textId="3B646AFF" w:rsidR="009526E8" w:rsidRDefault="00A762AA" w:rsidP="009526E8">
      <w:pPr>
        <w:jc w:val="center"/>
      </w:pPr>
      <w:r>
        <w:rPr>
          <w:noProof/>
        </w:rPr>
        <w:lastRenderedPageBreak/>
        <w:drawing>
          <wp:inline distT="0" distB="0" distL="0" distR="0" wp14:anchorId="05FDEC94" wp14:editId="5A885652">
            <wp:extent cx="3493135" cy="2603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51205F54" w14:textId="5C3CD36E" w:rsidR="007A4896" w:rsidRDefault="007A4896" w:rsidP="007A4896">
      <w:r w:rsidRPr="003412DA">
        <w:t xml:space="preserve">The U-6 </w:t>
      </w:r>
      <w:r w:rsidR="00895002">
        <w:t xml:space="preserve">unemployment </w:t>
      </w:r>
      <w:r w:rsidRPr="003412DA">
        <w:t>rate</w:t>
      </w:r>
      <w:r w:rsidR="009D7CB0">
        <w:rPr>
          <w:rStyle w:val="FootnoteReference"/>
        </w:rPr>
        <w:footnoteReference w:id="20"/>
      </w:r>
      <w:r w:rsidRPr="003412DA">
        <w:t xml:space="preserve"> is an alternative measure of unemployment with a broader definition, </w:t>
      </w:r>
      <w:r w:rsidR="001F297B">
        <w:t>including such groups</w:t>
      </w:r>
      <w:r w:rsidRPr="003412DA">
        <w:t xml:space="preserve"> as discouraged workers who are not actively searching for jobs but want full-time work and part-time workers who want full-time work.  The U</w:t>
      </w:r>
      <w:r w:rsidRPr="003412DA">
        <w:noBreakHyphen/>
        <w:t xml:space="preserve">6 </w:t>
      </w:r>
      <w:r w:rsidR="00895002">
        <w:t xml:space="preserve">unemployment </w:t>
      </w:r>
      <w:r w:rsidRPr="003412DA">
        <w:t>rate has generally followed the same pattern as the official rate</w:t>
      </w:r>
      <w:r w:rsidR="001F297B">
        <w:t>; it fell to 8.5% in September 2021, its lowest level since February 2020, prior to the onset of the COVID-19 pandemic</w:t>
      </w:r>
      <w:r w:rsidRPr="003412DA">
        <w:t>.</w:t>
      </w:r>
    </w:p>
    <w:p w14:paraId="6B09010C" w14:textId="5CF02D31" w:rsidR="007A4896" w:rsidRDefault="00A762AA" w:rsidP="004846E4">
      <w:pPr>
        <w:jc w:val="center"/>
      </w:pPr>
      <w:r>
        <w:rPr>
          <w:noProof/>
        </w:rPr>
        <w:drawing>
          <wp:inline distT="0" distB="0" distL="0" distR="0" wp14:anchorId="59B8F343" wp14:editId="6A446554">
            <wp:extent cx="3493135" cy="2603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2A158EAA" w14:textId="65DF6880" w:rsidR="003412DA" w:rsidRPr="003412DA" w:rsidRDefault="009D7CB0" w:rsidP="003412DA">
      <w:r>
        <w:t>Nonfarm p</w:t>
      </w:r>
      <w:r w:rsidR="003412DA">
        <w:t>ayrolls</w:t>
      </w:r>
      <w:r>
        <w:rPr>
          <w:rStyle w:val="FootnoteReference"/>
        </w:rPr>
        <w:footnoteReference w:id="21"/>
      </w:r>
      <w:r w:rsidR="003412DA">
        <w:t xml:space="preserve"> grew by </w:t>
      </w:r>
      <w:r w:rsidR="00A14C86">
        <w:t>1.7</w:t>
      </w:r>
      <w:r w:rsidR="003412DA">
        <w:t xml:space="preserve"> million jobs in </w:t>
      </w:r>
      <w:r w:rsidR="008A7107">
        <w:t>the 3</w:t>
      </w:r>
      <w:r w:rsidR="008A7107" w:rsidRPr="008A7107">
        <w:rPr>
          <w:vertAlign w:val="superscript"/>
        </w:rPr>
        <w:t>rd</w:t>
      </w:r>
      <w:r w:rsidR="008A7107">
        <w:t xml:space="preserve"> quarter,</w:t>
      </w:r>
      <w:r w:rsidR="00A14C86">
        <w:t xml:space="preserve"> </w:t>
      </w:r>
      <w:r w:rsidR="008A7107">
        <w:t xml:space="preserve">although the job gains slowed later in the quarter. US nonfarm payrolls </w:t>
      </w:r>
      <w:r w:rsidR="00F72263">
        <w:t>in September 2021 totaled</w:t>
      </w:r>
      <w:r w:rsidR="008A7107">
        <w:t xml:space="preserve"> 147.6, up</w:t>
      </w:r>
      <w:r w:rsidR="00A14C86">
        <w:t xml:space="preserve"> </w:t>
      </w:r>
      <w:r w:rsidR="001F297B">
        <w:t>5.7</w:t>
      </w:r>
      <w:r w:rsidR="00A14C86">
        <w:t xml:space="preserve"> million </w:t>
      </w:r>
      <w:r w:rsidR="00A14C86">
        <w:lastRenderedPageBreak/>
        <w:t>compared to the same period last year</w:t>
      </w:r>
      <w:r w:rsidR="003412DA">
        <w:t>,</w:t>
      </w:r>
      <w:r w:rsidR="008A7107">
        <w:t xml:space="preserve"> yet still </w:t>
      </w:r>
      <w:r w:rsidR="00F72263">
        <w:t>5</w:t>
      </w:r>
      <w:r w:rsidR="008A7107">
        <w:t>.</w:t>
      </w:r>
      <w:r w:rsidR="00F72263">
        <w:t xml:space="preserve">0 </w:t>
      </w:r>
      <w:r w:rsidR="008A7107">
        <w:t>million jobs below</w:t>
      </w:r>
      <w:r w:rsidR="003412DA">
        <w:t xml:space="preserve"> </w:t>
      </w:r>
      <w:r w:rsidR="008A7107">
        <w:t>their pre-pandemic (</w:t>
      </w:r>
      <w:r w:rsidR="00F72263">
        <w:t>Feb</w:t>
      </w:r>
      <w:r w:rsidR="008A7107">
        <w:t>r</w:t>
      </w:r>
      <w:r w:rsidR="00F72263">
        <w:t>uary</w:t>
      </w:r>
      <w:r w:rsidR="008A7107">
        <w:t xml:space="preserve"> 2020) levels</w:t>
      </w:r>
      <w:r w:rsidR="003412DA">
        <w:t xml:space="preserve">. </w:t>
      </w:r>
    </w:p>
    <w:p w14:paraId="1926EEEC" w14:textId="56373315" w:rsidR="0017576B" w:rsidRDefault="00A762AA" w:rsidP="009526E8">
      <w:pPr>
        <w:jc w:val="center"/>
      </w:pPr>
      <w:r>
        <w:rPr>
          <w:noProof/>
        </w:rPr>
        <w:drawing>
          <wp:inline distT="0" distB="0" distL="0" distR="0" wp14:anchorId="0C077A6B" wp14:editId="393C37D8">
            <wp:extent cx="3858895" cy="2603500"/>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8895" cy="2603500"/>
                    </a:xfrm>
                    <a:prstGeom prst="rect">
                      <a:avLst/>
                    </a:prstGeom>
                    <a:noFill/>
                  </pic:spPr>
                </pic:pic>
              </a:graphicData>
            </a:graphic>
          </wp:inline>
        </w:drawing>
      </w:r>
    </w:p>
    <w:p w14:paraId="149D5F38" w14:textId="77777777" w:rsidR="00005111" w:rsidRDefault="00005111" w:rsidP="001475FF">
      <w:pPr>
        <w:pStyle w:val="Heading1"/>
      </w:pPr>
      <w:r>
        <w:t>Inflation</w:t>
      </w:r>
    </w:p>
    <w:p w14:paraId="52A0C1E8" w14:textId="4B942D21" w:rsidR="00176F91" w:rsidRDefault="00152215" w:rsidP="00005111">
      <w:r>
        <w:t>After</w:t>
      </w:r>
      <w:r w:rsidR="000D4AF1">
        <w:t xml:space="preserve"> many </w:t>
      </w:r>
      <w:r>
        <w:t xml:space="preserve">tame </w:t>
      </w:r>
      <w:r w:rsidR="000D4AF1">
        <w:t xml:space="preserve">years, inflation is squarely back on the minds of consumers and market watchers. </w:t>
      </w:r>
      <w:r w:rsidR="00661AA7">
        <w:t>The Consumer Price Index</w:t>
      </w:r>
      <w:r w:rsidR="009B52AF">
        <w:rPr>
          <w:rStyle w:val="FootnoteReference"/>
        </w:rPr>
        <w:footnoteReference w:id="22"/>
      </w:r>
      <w:r w:rsidR="00661AA7">
        <w:t xml:space="preserve"> </w:t>
      </w:r>
      <w:r w:rsidR="004E1574">
        <w:t>rose</w:t>
      </w:r>
      <w:r w:rsidR="000D4AF1">
        <w:t xml:space="preserve"> 5.</w:t>
      </w:r>
      <w:r w:rsidR="00132201">
        <w:t>4</w:t>
      </w:r>
      <w:r w:rsidR="000D4AF1">
        <w:t xml:space="preserve">% year-over-year in </w:t>
      </w:r>
      <w:r w:rsidR="00132201">
        <w:t>September</w:t>
      </w:r>
      <w:r w:rsidR="00B36811">
        <w:t>, its fastest growth in more than 12 years</w:t>
      </w:r>
      <w:r w:rsidR="002E0F29">
        <w:t>. Excluding volatile energy prices, the index rose</w:t>
      </w:r>
      <w:r w:rsidR="003A2900">
        <w:t xml:space="preserve"> </w:t>
      </w:r>
      <w:r w:rsidR="000D4AF1">
        <w:t>4</w:t>
      </w:r>
      <w:r w:rsidR="00B36811">
        <w:t>.1</w:t>
      </w:r>
      <w:r w:rsidR="000D4AF1">
        <w:t>%. Notably, the price</w:t>
      </w:r>
      <w:r w:rsidR="005C22CA">
        <w:t xml:space="preserve"> of a gallon of gas</w:t>
      </w:r>
      <w:r w:rsidR="003A2900">
        <w:rPr>
          <w:rStyle w:val="FootnoteReference"/>
        </w:rPr>
        <w:footnoteReference w:id="23"/>
      </w:r>
      <w:r w:rsidR="005C22CA">
        <w:t xml:space="preserve"> increased</w:t>
      </w:r>
      <w:r w:rsidR="000D4AF1">
        <w:t xml:space="preserve"> 4</w:t>
      </w:r>
      <w:r w:rsidR="003A2900">
        <w:t>9</w:t>
      </w:r>
      <w:r w:rsidR="000D4AF1">
        <w:t>%</w:t>
      </w:r>
      <w:r w:rsidR="003A2900">
        <w:t xml:space="preserve"> from a national average of $2.19 in September 2020 to $3.27 in September 2021</w:t>
      </w:r>
      <w:r w:rsidR="000D4AF1">
        <w:t>.</w:t>
      </w:r>
      <w:r w:rsidR="004E1574">
        <w:t xml:space="preserve"> </w:t>
      </w:r>
      <w:r w:rsidR="000D4AF1">
        <w:t>The Federal Reserve</w:t>
      </w:r>
      <w:r w:rsidR="002E0F29">
        <w:t>, which has so far treated rising prices as temporary effects of supply chain issues,</w:t>
      </w:r>
      <w:r w:rsidR="000D4AF1">
        <w:t xml:space="preserve"> </w:t>
      </w:r>
      <w:r w:rsidR="003A2900">
        <w:t xml:space="preserve">indicated that </w:t>
      </w:r>
      <w:r w:rsidR="002E0F29">
        <w:t>it would likely begin to withdraw economic supports in the coming months</w:t>
      </w:r>
      <w:r w:rsidR="003A2900">
        <w:t xml:space="preserve"> in an effort to counteract the persistent inflation</w:t>
      </w:r>
      <w:r w:rsidR="002E0F29">
        <w:t xml:space="preserve"> affecting markets for necessities such as housing, food, and fuel</w:t>
      </w:r>
      <w:r w:rsidR="00450276">
        <w:t xml:space="preserve">.  </w:t>
      </w:r>
    </w:p>
    <w:p w14:paraId="3ED812A9" w14:textId="61B15D3F" w:rsidR="00176F91" w:rsidRDefault="00A762AA" w:rsidP="009526E8">
      <w:pPr>
        <w:jc w:val="center"/>
      </w:pPr>
      <w:r>
        <w:rPr>
          <w:noProof/>
        </w:rPr>
        <w:lastRenderedPageBreak/>
        <w:drawing>
          <wp:inline distT="0" distB="0" distL="0" distR="0" wp14:anchorId="198F038A" wp14:editId="6900E07F">
            <wp:extent cx="3499485" cy="2603500"/>
            <wp:effectExtent l="0" t="0" r="571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3E" w14:textId="2E5C4519" w:rsidR="00A11CAC" w:rsidRDefault="00A17C3A" w:rsidP="006F7FB2">
      <w:r w:rsidRPr="00507B5A">
        <w:t>The Producer Price Index</w:t>
      </w:r>
      <w:r w:rsidR="009B52AF" w:rsidRPr="00507B5A">
        <w:rPr>
          <w:rStyle w:val="FootnoteReference"/>
        </w:rPr>
        <w:footnoteReference w:id="24"/>
      </w:r>
      <w:r w:rsidRPr="00507B5A">
        <w:t xml:space="preserve"> rose </w:t>
      </w:r>
      <w:r w:rsidR="00235B28" w:rsidRPr="00507B5A">
        <w:t>1.1</w:t>
      </w:r>
      <w:r w:rsidRPr="00507B5A">
        <w:t xml:space="preserve">% over the </w:t>
      </w:r>
      <w:r w:rsidR="00235B28" w:rsidRPr="00507B5A">
        <w:t>month and 3.0% since June</w:t>
      </w:r>
      <w:r w:rsidRPr="00507B5A">
        <w:t>.</w:t>
      </w:r>
      <w:r w:rsidR="00235B28" w:rsidRPr="00507B5A">
        <w:t xml:space="preserve"> The PPI was 20.4% higher in September than one year prior, the highest </w:t>
      </w:r>
      <w:r w:rsidR="00507B5A" w:rsidRPr="00507B5A">
        <w:t xml:space="preserve">annual gain since December 1974 and </w:t>
      </w:r>
      <w:r w:rsidR="00235B28" w:rsidRPr="00507B5A">
        <w:t xml:space="preserve">well above the </w:t>
      </w:r>
      <w:r w:rsidR="00507B5A" w:rsidRPr="00507B5A">
        <w:t xml:space="preserve">2.2% </w:t>
      </w:r>
      <w:r w:rsidR="00235B28" w:rsidRPr="00507B5A">
        <w:t>average annual increase over the last 30 years.</w:t>
      </w:r>
    </w:p>
    <w:p w14:paraId="149D5F40" w14:textId="3468239E" w:rsidR="00B94E68" w:rsidRPr="005232D6" w:rsidRDefault="00A762AA" w:rsidP="00166C08">
      <w:pPr>
        <w:jc w:val="center"/>
      </w:pPr>
      <w:r>
        <w:rPr>
          <w:noProof/>
        </w:rPr>
        <w:drawing>
          <wp:inline distT="0" distB="0" distL="0" distR="0" wp14:anchorId="03BEDF5E" wp14:editId="1B9EC13E">
            <wp:extent cx="3499485" cy="2603500"/>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49137979" w14:textId="21E09300" w:rsidR="00661AA7" w:rsidRPr="005232D6" w:rsidRDefault="00661AA7" w:rsidP="00661AA7">
      <w:pPr>
        <w:rPr>
          <w:color w:val="000000" w:themeColor="text1"/>
        </w:rPr>
      </w:pPr>
      <w:r w:rsidRPr="005232D6">
        <w:rPr>
          <w:color w:val="000000" w:themeColor="text1"/>
        </w:rPr>
        <w:t>Treasury Inflation-Protected Securities (TIPS) are a longer-term Treasury debt instrument which pays a fixed interest rate but adjusts the principal value according to inflation, effectively indexing interest payments to inflation. TIPS have continued to sell at a premium, reflecting higher inflation expectations for the future</w:t>
      </w:r>
      <w:r w:rsidR="005232D6" w:rsidRPr="005232D6">
        <w:rPr>
          <w:color w:val="000000" w:themeColor="text1"/>
        </w:rPr>
        <w:t xml:space="preserve">; however, rising supply and falling demand are expected once the Fed moves to combat inflation through bond </w:t>
      </w:r>
      <w:r w:rsidR="00B6639B" w:rsidRPr="005232D6">
        <w:rPr>
          <w:color w:val="000000" w:themeColor="text1"/>
        </w:rPr>
        <w:t>selloffs</w:t>
      </w:r>
      <w:r w:rsidRPr="005232D6">
        <w:rPr>
          <w:color w:val="000000" w:themeColor="text1"/>
        </w:rPr>
        <w:t xml:space="preserve">. The 5-year </w:t>
      </w:r>
      <w:r w:rsidR="00031DA4" w:rsidRPr="005232D6">
        <w:rPr>
          <w:color w:val="000000" w:themeColor="text1"/>
        </w:rPr>
        <w:t>breakeven</w:t>
      </w:r>
      <w:r w:rsidRPr="005232D6">
        <w:rPr>
          <w:color w:val="000000" w:themeColor="text1"/>
        </w:rPr>
        <w:t xml:space="preserve"> </w:t>
      </w:r>
      <w:r w:rsidRPr="005232D6">
        <w:rPr>
          <w:color w:val="000000" w:themeColor="text1"/>
        </w:rPr>
        <w:lastRenderedPageBreak/>
        <w:t>inflation rate</w:t>
      </w:r>
      <w:r w:rsidRPr="005232D6">
        <w:rPr>
          <w:rStyle w:val="FootnoteReference"/>
          <w:color w:val="000000" w:themeColor="text1"/>
        </w:rPr>
        <w:footnoteReference w:id="25"/>
      </w:r>
      <w:r w:rsidRPr="005232D6">
        <w:rPr>
          <w:color w:val="000000" w:themeColor="text1"/>
        </w:rPr>
        <w:t xml:space="preserve">, an indicator for the market’s inflation expectations for the period, </w:t>
      </w:r>
      <w:r w:rsidR="005232D6" w:rsidRPr="005232D6">
        <w:rPr>
          <w:color w:val="000000" w:themeColor="text1"/>
        </w:rPr>
        <w:t>changed little over the 3</w:t>
      </w:r>
      <w:r w:rsidR="005232D6" w:rsidRPr="005232D6">
        <w:rPr>
          <w:color w:val="000000" w:themeColor="text1"/>
          <w:vertAlign w:val="superscript"/>
        </w:rPr>
        <w:t>rd</w:t>
      </w:r>
      <w:r w:rsidR="005232D6" w:rsidRPr="005232D6">
        <w:rPr>
          <w:color w:val="000000" w:themeColor="text1"/>
        </w:rPr>
        <w:t xml:space="preserve"> quarter, ending September at 2.51</w:t>
      </w:r>
      <w:r w:rsidRPr="005232D6">
        <w:rPr>
          <w:color w:val="000000" w:themeColor="text1"/>
        </w:rPr>
        <w:t xml:space="preserve">%, </w:t>
      </w:r>
      <w:r w:rsidR="005232D6" w:rsidRPr="005232D6">
        <w:rPr>
          <w:color w:val="000000" w:themeColor="text1"/>
        </w:rPr>
        <w:t xml:space="preserve">slightly higher than June’s </w:t>
      </w:r>
      <w:r w:rsidR="005232D6">
        <w:rPr>
          <w:color w:val="000000" w:themeColor="text1"/>
        </w:rPr>
        <w:t xml:space="preserve">2.47% </w:t>
      </w:r>
      <w:r w:rsidR="005232D6" w:rsidRPr="005232D6">
        <w:rPr>
          <w:color w:val="000000" w:themeColor="text1"/>
        </w:rPr>
        <w:t>rate</w:t>
      </w:r>
      <w:r w:rsidRPr="005232D6">
        <w:rPr>
          <w:color w:val="000000" w:themeColor="text1"/>
        </w:rPr>
        <w:t>.</w:t>
      </w:r>
    </w:p>
    <w:p w14:paraId="2FA7F119" w14:textId="33E441C6" w:rsidR="00A83597" w:rsidRPr="005469DE" w:rsidRDefault="00404E89" w:rsidP="00A83597">
      <w:pPr>
        <w:jc w:val="center"/>
        <w:rPr>
          <w:highlight w:val="yellow"/>
        </w:rPr>
      </w:pPr>
      <w:r w:rsidRPr="00404E89">
        <w:rPr>
          <w:noProof/>
        </w:rPr>
        <w:drawing>
          <wp:inline distT="0" distB="0" distL="0" distR="0" wp14:anchorId="75AEB422" wp14:editId="016251AE">
            <wp:extent cx="3499485" cy="2603500"/>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491A6E5E" w14:textId="5432016C" w:rsidR="00F03302" w:rsidRPr="007E1BB9" w:rsidRDefault="0074137C" w:rsidP="00A83597">
      <w:r w:rsidRPr="007E1BB9">
        <w:t>U.S. crude oil</w:t>
      </w:r>
      <w:r w:rsidRPr="007E1BB9">
        <w:rPr>
          <w:rStyle w:val="FootnoteReference"/>
        </w:rPr>
        <w:footnoteReference w:id="26"/>
      </w:r>
      <w:r w:rsidRPr="007E1BB9">
        <w:t xml:space="preserve"> </w:t>
      </w:r>
      <w:r w:rsidR="00660C7A" w:rsidRPr="007E1BB9">
        <w:t xml:space="preserve">prices </w:t>
      </w:r>
      <w:r w:rsidR="00B6639B" w:rsidRPr="007E1BB9">
        <w:t>fluctuated</w:t>
      </w:r>
      <w:r w:rsidR="00A17C3A" w:rsidRPr="007E1BB9">
        <w:t xml:space="preserve"> in </w:t>
      </w:r>
      <w:r w:rsidR="005232D6" w:rsidRPr="007E1BB9">
        <w:t>the 3</w:t>
      </w:r>
      <w:r w:rsidR="005232D6" w:rsidRPr="007E1BB9">
        <w:rPr>
          <w:vertAlign w:val="superscript"/>
        </w:rPr>
        <w:t>rd</w:t>
      </w:r>
      <w:r w:rsidR="005232D6" w:rsidRPr="007E1BB9">
        <w:t xml:space="preserve"> quarter</w:t>
      </w:r>
      <w:r w:rsidR="00B6639B" w:rsidRPr="007E1BB9">
        <w:t xml:space="preserve"> after peaking in July at their highest value since November 2014. Hurricane Ida restricted refining capacity in the gulf even as the spread of the Delta variant of COVID-19 caused demand to falter anew. Crude prices ended the period</w:t>
      </w:r>
      <w:r w:rsidR="00F03302" w:rsidRPr="007E1BB9">
        <w:t xml:space="preserve"> at </w:t>
      </w:r>
      <w:r w:rsidRPr="007E1BB9">
        <w:t>$</w:t>
      </w:r>
      <w:r w:rsidR="00A17C3A" w:rsidRPr="007E1BB9">
        <w:t>7</w:t>
      </w:r>
      <w:r w:rsidR="00F72263">
        <w:t>5</w:t>
      </w:r>
      <w:r w:rsidRPr="007E1BB9">
        <w:t>.</w:t>
      </w:r>
      <w:r w:rsidR="00F72263">
        <w:t>22</w:t>
      </w:r>
      <w:r w:rsidRPr="007E1BB9">
        <w:t xml:space="preserve"> </w:t>
      </w:r>
      <w:r w:rsidR="00F03302" w:rsidRPr="007E1BB9">
        <w:t>per barrel</w:t>
      </w:r>
      <w:r w:rsidR="00B6639B" w:rsidRPr="007E1BB9">
        <w:t xml:space="preserve">, </w:t>
      </w:r>
      <w:r w:rsidR="00F72263">
        <w:t>2.3</w:t>
      </w:r>
      <w:r w:rsidR="00B6639B" w:rsidRPr="007E1BB9">
        <w:t>% higher than one quarter earlier</w:t>
      </w:r>
      <w:r w:rsidR="002E3E26" w:rsidRPr="007E1BB9">
        <w:t xml:space="preserve">.  </w:t>
      </w:r>
    </w:p>
    <w:p w14:paraId="51050840" w14:textId="7ED238E3" w:rsidR="00F03302" w:rsidRPr="005469DE" w:rsidRDefault="00404E89" w:rsidP="00166C08">
      <w:pPr>
        <w:jc w:val="center"/>
        <w:rPr>
          <w:highlight w:val="yellow"/>
        </w:rPr>
      </w:pPr>
      <w:r w:rsidRPr="00404E89">
        <w:rPr>
          <w:noProof/>
        </w:rPr>
        <w:drawing>
          <wp:inline distT="0" distB="0" distL="0" distR="0" wp14:anchorId="69D7E057" wp14:editId="1A95C5CE">
            <wp:extent cx="3609340" cy="26035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603500"/>
                    </a:xfrm>
                    <a:prstGeom prst="rect">
                      <a:avLst/>
                    </a:prstGeom>
                    <a:noFill/>
                  </pic:spPr>
                </pic:pic>
              </a:graphicData>
            </a:graphic>
          </wp:inline>
        </w:drawing>
      </w:r>
    </w:p>
    <w:p w14:paraId="149D5F41" w14:textId="77777777" w:rsidR="00005111" w:rsidRDefault="00005111" w:rsidP="001475FF">
      <w:pPr>
        <w:pStyle w:val="Heading1"/>
      </w:pPr>
      <w:r>
        <w:lastRenderedPageBreak/>
        <w:t>Housing</w:t>
      </w:r>
    </w:p>
    <w:p w14:paraId="7135DBE1" w14:textId="5ABE8FC4" w:rsidR="00A96A6A" w:rsidRDefault="00976B7D">
      <w:r>
        <w:t>The housing market showed the first small signs of vulnerability since the pandemic sent demand soaring amid tight supply</w:t>
      </w:r>
      <w:r w:rsidR="003F007D">
        <w:t>.</w:t>
      </w:r>
      <w:r w:rsidR="00894CA7">
        <w:t xml:space="preserve"> </w:t>
      </w:r>
      <w:r w:rsidR="003F007D">
        <w:t>New</w:t>
      </w:r>
      <w:r w:rsidR="00B0395F" w:rsidRPr="0094654A">
        <w:t xml:space="preserve"> home starts</w:t>
      </w:r>
      <w:r w:rsidR="00C828B0">
        <w:rPr>
          <w:rStyle w:val="FootnoteReference"/>
        </w:rPr>
        <w:footnoteReference w:id="27"/>
      </w:r>
      <w:r w:rsidR="00B0395F" w:rsidRPr="0094654A">
        <w:t xml:space="preserve"> </w:t>
      </w:r>
      <w:r w:rsidR="00675122">
        <w:t>numbered</w:t>
      </w:r>
      <w:r w:rsidR="00BC04D5">
        <w:t xml:space="preserve"> 1.</w:t>
      </w:r>
      <w:r w:rsidR="00E87E60">
        <w:t>55</w:t>
      </w:r>
      <w:r w:rsidR="003F007D">
        <w:t xml:space="preserve"> </w:t>
      </w:r>
      <w:r w:rsidR="00B0395F" w:rsidRPr="0094654A">
        <w:t>million</w:t>
      </w:r>
      <w:r w:rsidR="00675122">
        <w:t xml:space="preserve"> in September</w:t>
      </w:r>
      <w:r w:rsidR="00516EDD">
        <w:t xml:space="preserve">, </w:t>
      </w:r>
      <w:r w:rsidR="00675122">
        <w:t>down 6.2% over the quarter</w:t>
      </w:r>
      <w:r w:rsidR="005D3FB8">
        <w:t xml:space="preserve"> as building material and construction labor shortages constrained the growth needed to meet demand</w:t>
      </w:r>
      <w:r w:rsidR="003C2173">
        <w:t xml:space="preserve">. </w:t>
      </w:r>
      <w:r w:rsidR="009206A6">
        <w:t xml:space="preserve">While lumber futures have toppled from their </w:t>
      </w:r>
      <w:r w:rsidR="00EC2B2F">
        <w:t>2</w:t>
      </w:r>
      <w:r w:rsidR="00EC2B2F" w:rsidRPr="00EC2B2F">
        <w:rPr>
          <w:vertAlign w:val="superscript"/>
        </w:rPr>
        <w:t>nd</w:t>
      </w:r>
      <w:r w:rsidR="009206A6">
        <w:t>-quarter peak, costs for homebuilders are still elevated and the labor shortage is expected to endure.</w:t>
      </w:r>
      <w:r w:rsidR="005D3FB8">
        <w:t xml:space="preserve"> Still, housing starts were 7.4% higher than last year and well above their 30-year average of 1.32 million</w:t>
      </w:r>
      <w:r w:rsidR="005D3FB8" w:rsidRPr="0094654A">
        <w:t>.</w:t>
      </w:r>
    </w:p>
    <w:p w14:paraId="149D5F44" w14:textId="5C2AC8DE" w:rsidR="00B5315D" w:rsidRDefault="00404E89" w:rsidP="001B4B76">
      <w:pPr>
        <w:jc w:val="center"/>
      </w:pPr>
      <w:r>
        <w:rPr>
          <w:noProof/>
        </w:rPr>
        <w:drawing>
          <wp:inline distT="0" distB="0" distL="0" distR="0" wp14:anchorId="1F718831" wp14:editId="55ACAB0C">
            <wp:extent cx="3816350" cy="26035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0" cy="2603500"/>
                    </a:xfrm>
                    <a:prstGeom prst="rect">
                      <a:avLst/>
                    </a:prstGeom>
                    <a:noFill/>
                  </pic:spPr>
                </pic:pic>
              </a:graphicData>
            </a:graphic>
          </wp:inline>
        </w:drawing>
      </w:r>
    </w:p>
    <w:p w14:paraId="149D5F46" w14:textId="4B67DC30" w:rsidR="00A96795" w:rsidRDefault="00A223EC" w:rsidP="000A1224">
      <w:r>
        <w:t xml:space="preserve">The cost </w:t>
      </w:r>
      <w:r w:rsidR="00BC00A7">
        <w:t xml:space="preserve">of financing </w:t>
      </w:r>
      <w:r>
        <w:t xml:space="preserve">for </w:t>
      </w:r>
      <w:r w:rsidR="001B4B76">
        <w:t xml:space="preserve">would-be homebuyers </w:t>
      </w:r>
      <w:r w:rsidR="0055033B">
        <w:t>remained near record lows</w:t>
      </w:r>
      <w:r w:rsidR="0026329B">
        <w:t xml:space="preserve"> </w:t>
      </w:r>
      <w:r w:rsidR="009206A6">
        <w:t>in the 3</w:t>
      </w:r>
      <w:r w:rsidR="009206A6" w:rsidRPr="009206A6">
        <w:rPr>
          <w:vertAlign w:val="superscript"/>
        </w:rPr>
        <w:t>rd</w:t>
      </w:r>
      <w:r w:rsidR="009206A6">
        <w:t xml:space="preserve"> quarter </w:t>
      </w:r>
      <w:r w:rsidR="001B4B76">
        <w:t>as the 30-year fixed-rate mortgage</w:t>
      </w:r>
      <w:r w:rsidR="00250313">
        <w:rPr>
          <w:rStyle w:val="FootnoteReference"/>
        </w:rPr>
        <w:footnoteReference w:id="28"/>
      </w:r>
      <w:r w:rsidR="0081792D">
        <w:t xml:space="preserve"> </w:t>
      </w:r>
      <w:r w:rsidR="009206A6">
        <w:t>slipped</w:t>
      </w:r>
      <w:r w:rsidR="0055033B">
        <w:t xml:space="preserve"> to 3.0</w:t>
      </w:r>
      <w:r w:rsidR="009206A6">
        <w:t>1</w:t>
      </w:r>
      <w:r w:rsidR="0055033B">
        <w:t>%</w:t>
      </w:r>
      <w:r w:rsidR="001B4B76">
        <w:t>.</w:t>
      </w:r>
      <w:r w:rsidR="00A730DC">
        <w:t xml:space="preserve"> </w:t>
      </w:r>
    </w:p>
    <w:p w14:paraId="0D0A69F6" w14:textId="220FA71F" w:rsidR="00A96A6A" w:rsidRDefault="00404E89" w:rsidP="00453708">
      <w:pPr>
        <w:jc w:val="center"/>
      </w:pPr>
      <w:r>
        <w:rPr>
          <w:noProof/>
        </w:rPr>
        <w:lastRenderedPageBreak/>
        <w:drawing>
          <wp:inline distT="0" distB="0" distL="0" distR="0" wp14:anchorId="1BB747AF" wp14:editId="43A4BDBC">
            <wp:extent cx="3816350" cy="26035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603500"/>
                    </a:xfrm>
                    <a:prstGeom prst="rect">
                      <a:avLst/>
                    </a:prstGeom>
                    <a:noFill/>
                  </pic:spPr>
                </pic:pic>
              </a:graphicData>
            </a:graphic>
          </wp:inline>
        </w:drawing>
      </w:r>
    </w:p>
    <w:p w14:paraId="1D2DE37C" w14:textId="7AACE632" w:rsidR="00A96A6A" w:rsidRDefault="00B767AE" w:rsidP="00773B5B">
      <w:r w:rsidRPr="00976B7D">
        <w:t>The S&amp;</w:t>
      </w:r>
      <w:r w:rsidR="00BD1AF4" w:rsidRPr="00976B7D">
        <w:t>P Case-Shiller Home Price Index (20-city)</w:t>
      </w:r>
      <w:r w:rsidR="00B2585A" w:rsidRPr="00976B7D">
        <w:rPr>
          <w:rStyle w:val="FootnoteReference"/>
        </w:rPr>
        <w:footnoteReference w:id="29"/>
      </w:r>
      <w:r w:rsidR="00BD1AF4" w:rsidRPr="00976B7D">
        <w:t xml:space="preserve"> </w:t>
      </w:r>
      <w:r w:rsidR="00BE4FA9" w:rsidRPr="00976B7D">
        <w:t>for</w:t>
      </w:r>
      <w:r w:rsidR="00BD1AF4" w:rsidRPr="00976B7D">
        <w:t xml:space="preserve"> </w:t>
      </w:r>
      <w:r w:rsidR="002D7154" w:rsidRPr="00976B7D">
        <w:t>August</w:t>
      </w:r>
      <w:r w:rsidR="0055033B" w:rsidRPr="00976B7D">
        <w:t xml:space="preserve"> 2021</w:t>
      </w:r>
      <w:r w:rsidR="00BD1AF4" w:rsidRPr="00976B7D">
        <w:t xml:space="preserve"> </w:t>
      </w:r>
      <w:r w:rsidR="00A1037F" w:rsidRPr="00976B7D">
        <w:t>rose</w:t>
      </w:r>
      <w:r w:rsidR="001868CB" w:rsidRPr="00976B7D">
        <w:t xml:space="preserve"> </w:t>
      </w:r>
      <w:r w:rsidR="0055033B" w:rsidRPr="00976B7D">
        <w:t>1</w:t>
      </w:r>
      <w:r w:rsidR="002D7154" w:rsidRPr="00976B7D">
        <w:t>9.7</w:t>
      </w:r>
      <w:r w:rsidR="00E2306A" w:rsidRPr="00976B7D">
        <w:t>%</w:t>
      </w:r>
      <w:r w:rsidR="0055033B" w:rsidRPr="00976B7D">
        <w:t xml:space="preserve"> </w:t>
      </w:r>
      <w:r w:rsidR="00A1037F" w:rsidRPr="00976B7D">
        <w:t>since the previous August</w:t>
      </w:r>
      <w:r w:rsidR="00933213" w:rsidRPr="00976B7D">
        <w:t xml:space="preserve"> </w:t>
      </w:r>
      <w:r w:rsidR="00A1037F" w:rsidRPr="00976B7D">
        <w:t>with all 20 cities reporting price increases, led by</w:t>
      </w:r>
      <w:r w:rsidR="00933213" w:rsidRPr="00976B7D">
        <w:t xml:space="preserve"> </w:t>
      </w:r>
      <w:r w:rsidR="006F49C7" w:rsidRPr="00976B7D">
        <w:t xml:space="preserve">Phoenix, </w:t>
      </w:r>
      <w:r w:rsidR="00105A55" w:rsidRPr="00976B7D">
        <w:t>San</w:t>
      </w:r>
      <w:r w:rsidR="0055033B" w:rsidRPr="00976B7D">
        <w:t xml:space="preserve"> Diego</w:t>
      </w:r>
      <w:r w:rsidR="00A1037F" w:rsidRPr="00976B7D">
        <w:t>, and Tampa</w:t>
      </w:r>
      <w:r w:rsidR="0096732C" w:rsidRPr="00976B7D">
        <w:t>.</w:t>
      </w:r>
      <w:r w:rsidR="00933213" w:rsidRPr="00976B7D">
        <w:t xml:space="preserve"> </w:t>
      </w:r>
      <w:r w:rsidR="00896D03" w:rsidRPr="00976B7D">
        <w:t>R</w:t>
      </w:r>
      <w:r w:rsidR="00105A55" w:rsidRPr="00976B7D">
        <w:t xml:space="preserve">ecord-low mortgage rates </w:t>
      </w:r>
      <w:r w:rsidR="00896D03" w:rsidRPr="00976B7D">
        <w:t xml:space="preserve">and constrained supply continued to </w:t>
      </w:r>
      <w:r w:rsidR="00661AA7" w:rsidRPr="00976B7D">
        <w:t>push home</w:t>
      </w:r>
      <w:r w:rsidR="00896D03" w:rsidRPr="00976B7D">
        <w:t xml:space="preserve"> prices higher</w:t>
      </w:r>
      <w:r w:rsidR="0055033B" w:rsidRPr="00976B7D">
        <w:t>, a dynamic seen since the pandemic began</w:t>
      </w:r>
      <w:r w:rsidR="00B432FD" w:rsidRPr="00976B7D">
        <w:t xml:space="preserve">. </w:t>
      </w:r>
      <w:r w:rsidR="00A1037F" w:rsidRPr="00976B7D">
        <w:t>However</w:t>
      </w:r>
      <w:r w:rsidR="00A1037F">
        <w:t>, the year-over-year gain in August slightly lagged that of the prior month for the first time since June 2020, hinting that skyrocketing housing prices could be finally starting to cool.</w:t>
      </w:r>
    </w:p>
    <w:p w14:paraId="149D5F4C" w14:textId="2AE19934" w:rsidR="0064538F" w:rsidRDefault="00404E89" w:rsidP="002775DB">
      <w:pPr>
        <w:jc w:val="center"/>
      </w:pPr>
      <w:r>
        <w:rPr>
          <w:noProof/>
        </w:rPr>
        <w:drawing>
          <wp:inline distT="0" distB="0" distL="0" distR="0" wp14:anchorId="5E427996" wp14:editId="51D9C82F">
            <wp:extent cx="3499485" cy="2603500"/>
            <wp:effectExtent l="0" t="0" r="571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4D" w14:textId="52E84594" w:rsidR="00005111" w:rsidRDefault="0079609A" w:rsidP="001475FF">
      <w:pPr>
        <w:pStyle w:val="Heading1"/>
      </w:pPr>
      <w:r>
        <w:t>Consumer Spending</w:t>
      </w:r>
    </w:p>
    <w:p w14:paraId="149D5F51" w14:textId="0C249B08" w:rsidR="0079609A" w:rsidRDefault="0079609A" w:rsidP="00A04AD3">
      <w:r w:rsidRPr="00282C6E">
        <w:t>Personal Consumption Expenditures (PCE)</w:t>
      </w:r>
      <w:r w:rsidR="00421F60" w:rsidRPr="00282C6E">
        <w:rPr>
          <w:rStyle w:val="FootnoteReference"/>
        </w:rPr>
        <w:footnoteReference w:id="30"/>
      </w:r>
      <w:r w:rsidRPr="00282C6E">
        <w:t xml:space="preserve"> </w:t>
      </w:r>
      <w:r w:rsidR="00282C6E" w:rsidRPr="00282C6E">
        <w:t>rose 1.6% in the 3</w:t>
      </w:r>
      <w:r w:rsidR="00282C6E" w:rsidRPr="00282C6E">
        <w:rPr>
          <w:vertAlign w:val="superscript"/>
        </w:rPr>
        <w:t>rd</w:t>
      </w:r>
      <w:r w:rsidR="00282C6E" w:rsidRPr="00282C6E">
        <w:t xml:space="preserve"> quarter to</w:t>
      </w:r>
      <w:r w:rsidR="00381A81" w:rsidRPr="00282C6E">
        <w:t xml:space="preserve"> </w:t>
      </w:r>
      <w:r w:rsidR="00AA74C1" w:rsidRPr="00282C6E">
        <w:t>$1</w:t>
      </w:r>
      <w:r w:rsidR="00F72263">
        <w:t>6.1</w:t>
      </w:r>
      <w:r w:rsidR="00AA74C1" w:rsidRPr="00282C6E">
        <w:t xml:space="preserve"> trillion</w:t>
      </w:r>
      <w:r w:rsidR="00E37950" w:rsidRPr="00282C6E">
        <w:t xml:space="preserve">. PCE </w:t>
      </w:r>
      <w:r w:rsidR="00282C6E" w:rsidRPr="00282C6E">
        <w:t>11.6</w:t>
      </w:r>
      <w:r w:rsidR="0081792D" w:rsidRPr="00282C6E">
        <w:t xml:space="preserve">% </w:t>
      </w:r>
      <w:r w:rsidR="00282C6E" w:rsidRPr="00282C6E">
        <w:t>since the 3</w:t>
      </w:r>
      <w:r w:rsidR="00282C6E" w:rsidRPr="00282C6E">
        <w:rPr>
          <w:vertAlign w:val="superscript"/>
        </w:rPr>
        <w:t>rd</w:t>
      </w:r>
      <w:r w:rsidR="00282C6E" w:rsidRPr="00282C6E">
        <w:t xml:space="preserve"> </w:t>
      </w:r>
      <w:r w:rsidR="0081792D" w:rsidRPr="00282C6E">
        <w:t xml:space="preserve">quarter </w:t>
      </w:r>
      <w:r w:rsidR="00AA74C1" w:rsidRPr="00282C6E">
        <w:t>last yea</w:t>
      </w:r>
      <w:r w:rsidR="0081792D" w:rsidRPr="00282C6E">
        <w:t>r</w:t>
      </w:r>
      <w:r w:rsidR="002A0B80" w:rsidRPr="00282C6E">
        <w:t>.</w:t>
      </w:r>
      <w:r w:rsidR="00F04BC9">
        <w:t xml:space="preserve"> </w:t>
      </w:r>
      <w:r w:rsidR="00282C6E">
        <w:t xml:space="preserve">Spending on services grew on broad increases in </w:t>
      </w:r>
      <w:r w:rsidR="00282C6E">
        <w:lastRenderedPageBreak/>
        <w:t>household services consumption, more than offsetting a drop in spending for goods, especially motor vehicles and parts</w:t>
      </w:r>
      <w:r w:rsidR="00282C6E" w:rsidRPr="00134929">
        <w:t>.</w:t>
      </w:r>
    </w:p>
    <w:p w14:paraId="419D69CE" w14:textId="46577EC0" w:rsidR="00A96A6A" w:rsidRDefault="00404E89" w:rsidP="00CF06AE">
      <w:pPr>
        <w:jc w:val="center"/>
      </w:pPr>
      <w:r>
        <w:rPr>
          <w:noProof/>
        </w:rPr>
        <w:drawing>
          <wp:inline distT="0" distB="0" distL="0" distR="0" wp14:anchorId="1C6D2D6D" wp14:editId="0DF9E1C8">
            <wp:extent cx="3499485" cy="2603500"/>
            <wp:effectExtent l="0" t="0" r="571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53" w14:textId="46D1F4CC" w:rsidR="0079609A" w:rsidRDefault="00D148FE" w:rsidP="00F92FD1">
      <w:r>
        <w:t xml:space="preserve">Auto manufacturers </w:t>
      </w:r>
      <w:r w:rsidR="00695980">
        <w:t xml:space="preserve">reported </w:t>
      </w:r>
      <w:r w:rsidR="00210DB1">
        <w:t>1</w:t>
      </w:r>
      <w:r w:rsidR="00976B7D">
        <w:t>2.2</w:t>
      </w:r>
      <w:r w:rsidR="00210DB1">
        <w:t xml:space="preserve"> </w:t>
      </w:r>
      <w:r w:rsidR="0079609A" w:rsidRPr="008B37F0">
        <w:t>million autos and light trucks sold</w:t>
      </w:r>
      <w:r w:rsidR="00933E80">
        <w:rPr>
          <w:rStyle w:val="FootnoteReference"/>
        </w:rPr>
        <w:footnoteReference w:id="31"/>
      </w:r>
      <w:r w:rsidR="0079609A" w:rsidRPr="008B37F0">
        <w:t xml:space="preserve"> in </w:t>
      </w:r>
      <w:r w:rsidR="00976B7D">
        <w:t>September</w:t>
      </w:r>
      <w:r w:rsidR="00210DB1">
        <w:t xml:space="preserve"> 2021</w:t>
      </w:r>
      <w:r w:rsidR="008B3E4E">
        <w:t>,</w:t>
      </w:r>
      <w:r w:rsidR="005B40E5">
        <w:t xml:space="preserve"> </w:t>
      </w:r>
      <w:r w:rsidR="00210DB1">
        <w:t xml:space="preserve">down </w:t>
      </w:r>
      <w:r w:rsidR="00976B7D">
        <w:t>2</w:t>
      </w:r>
      <w:r w:rsidR="00442D2A">
        <w:t>1</w:t>
      </w:r>
      <w:r w:rsidR="00976B7D">
        <w:t>.</w:t>
      </w:r>
      <w:r w:rsidR="00442D2A">
        <w:t>4</w:t>
      </w:r>
      <w:r w:rsidR="00210DB1">
        <w:t>%</w:t>
      </w:r>
      <w:r w:rsidR="00442D2A">
        <w:t xml:space="preserve"> from </w:t>
      </w:r>
      <w:r w:rsidR="00830D32">
        <w:t>June</w:t>
      </w:r>
      <w:r w:rsidR="00140B44">
        <w:t>, the steepest quarterly drop in sales since the 1</w:t>
      </w:r>
      <w:r w:rsidR="00140B44" w:rsidRPr="00140B44">
        <w:rPr>
          <w:vertAlign w:val="superscript"/>
        </w:rPr>
        <w:t>st</w:t>
      </w:r>
      <w:r w:rsidR="00140B44">
        <w:t xml:space="preserve"> quarter 2020. Ongoing semiconductor chip shortages </w:t>
      </w:r>
      <w:r w:rsidR="002530D7">
        <w:t xml:space="preserve">inventory </w:t>
      </w:r>
      <w:r w:rsidR="00140B44">
        <w:t>pushed inventories to record lows</w:t>
      </w:r>
      <w:r w:rsidR="00D822BB" w:rsidRPr="00D822BB">
        <w:t xml:space="preserve"> </w:t>
      </w:r>
      <w:r w:rsidR="00D822BB">
        <w:t>and continued to boost new vehicle prices</w:t>
      </w:r>
      <w:r w:rsidR="00D822BB">
        <w:rPr>
          <w:rStyle w:val="FootnoteReference"/>
        </w:rPr>
        <w:footnoteReference w:id="32"/>
      </w:r>
      <w:r w:rsidR="00D822BB">
        <w:t>, which in September stood at an all-time high after rising 3.4% during the 3</w:t>
      </w:r>
      <w:r w:rsidR="00D822BB" w:rsidRPr="00D822BB">
        <w:rPr>
          <w:vertAlign w:val="superscript"/>
        </w:rPr>
        <w:t>rd</w:t>
      </w:r>
      <w:r w:rsidR="00D822BB">
        <w:t xml:space="preserve"> quarter</w:t>
      </w:r>
      <w:r w:rsidR="002530D7">
        <w:t>. Used car</w:t>
      </w:r>
      <w:r w:rsidR="00340262">
        <w:t xml:space="preserve"> prices</w:t>
      </w:r>
      <w:r w:rsidR="002530D7">
        <w:rPr>
          <w:rStyle w:val="FootnoteReference"/>
        </w:rPr>
        <w:footnoteReference w:id="33"/>
      </w:r>
      <w:r w:rsidR="002530D7">
        <w:t xml:space="preserve"> </w:t>
      </w:r>
      <w:r w:rsidR="00D822BB">
        <w:t>remained elevated after hitting their record high in July 2021</w:t>
      </w:r>
      <w:r w:rsidR="002530D7">
        <w:t xml:space="preserve">. </w:t>
      </w:r>
    </w:p>
    <w:p w14:paraId="571A905C" w14:textId="3C3B2F21" w:rsidR="002E3647" w:rsidRDefault="00404E89" w:rsidP="003A679B">
      <w:pPr>
        <w:jc w:val="center"/>
      </w:pPr>
      <w:r>
        <w:rPr>
          <w:noProof/>
        </w:rPr>
        <w:lastRenderedPageBreak/>
        <w:drawing>
          <wp:inline distT="0" distB="0" distL="0" distR="0" wp14:anchorId="4FC85454" wp14:editId="585B28DB">
            <wp:extent cx="4090670" cy="2603500"/>
            <wp:effectExtent l="0" t="0" r="508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670" cy="2603500"/>
                    </a:xfrm>
                    <a:prstGeom prst="rect">
                      <a:avLst/>
                    </a:prstGeom>
                    <a:noFill/>
                  </pic:spPr>
                </pic:pic>
              </a:graphicData>
            </a:graphic>
          </wp:inline>
        </w:drawing>
      </w:r>
    </w:p>
    <w:p w14:paraId="59B475FF" w14:textId="2D294B22" w:rsidR="002E3647" w:rsidRDefault="008A581A" w:rsidP="00354195">
      <w:r w:rsidRPr="002E3647">
        <w:t xml:space="preserve">The </w:t>
      </w:r>
      <w:r w:rsidR="00661AA7">
        <w:t xml:space="preserve">University of Michigan’s </w:t>
      </w:r>
      <w:r w:rsidRPr="002E3647">
        <w:t>c</w:t>
      </w:r>
      <w:r w:rsidR="008C5503" w:rsidRPr="002E3647">
        <w:t>onsumer sentiment</w:t>
      </w:r>
      <w:r w:rsidR="00661AA7">
        <w:t xml:space="preserve"> index</w:t>
      </w:r>
      <w:r w:rsidR="00291FFB" w:rsidRPr="002E3647">
        <w:rPr>
          <w:rStyle w:val="FootnoteReference"/>
        </w:rPr>
        <w:footnoteReference w:id="34"/>
      </w:r>
      <w:r w:rsidR="008C5503" w:rsidRPr="002E3647">
        <w:t xml:space="preserve"> </w:t>
      </w:r>
      <w:r w:rsidRPr="002E3647">
        <w:t>ended</w:t>
      </w:r>
      <w:r w:rsidR="008C5503" w:rsidRPr="002E3647">
        <w:t xml:space="preserve"> </w:t>
      </w:r>
      <w:r w:rsidR="00E71440">
        <w:t xml:space="preserve">the </w:t>
      </w:r>
      <w:r w:rsidR="00D822BB">
        <w:t>3</w:t>
      </w:r>
      <w:r w:rsidR="00D822BB" w:rsidRPr="00D822BB">
        <w:rPr>
          <w:vertAlign w:val="superscript"/>
        </w:rPr>
        <w:t>rd</w:t>
      </w:r>
      <w:r w:rsidR="00D822BB">
        <w:t xml:space="preserve"> </w:t>
      </w:r>
      <w:r w:rsidR="00E71440">
        <w:t>quarter</w:t>
      </w:r>
      <w:r w:rsidR="0036641E">
        <w:t xml:space="preserve"> </w:t>
      </w:r>
      <w:r w:rsidRPr="002E3647">
        <w:t xml:space="preserve">at </w:t>
      </w:r>
      <w:r w:rsidR="00D822BB">
        <w:t>7</w:t>
      </w:r>
      <w:r w:rsidR="00071A81">
        <w:t>2</w:t>
      </w:r>
      <w:r w:rsidR="00D822BB">
        <w:t>.</w:t>
      </w:r>
      <w:r w:rsidR="00071A81">
        <w:t>8</w:t>
      </w:r>
      <w:r w:rsidR="006C6752">
        <w:t>,</w:t>
      </w:r>
      <w:r w:rsidR="00B973A1">
        <w:t xml:space="preserve"> </w:t>
      </w:r>
      <w:r w:rsidR="00071A81">
        <w:t xml:space="preserve">after </w:t>
      </w:r>
      <w:r w:rsidR="00D66022">
        <w:t>crashing</w:t>
      </w:r>
      <w:r w:rsidR="00071A81">
        <w:t xml:space="preserve"> in August to 70.3,</w:t>
      </w:r>
      <w:r w:rsidR="00D66022">
        <w:t xml:space="preserve"> below even the initial trough of the pandemic </w:t>
      </w:r>
      <w:r w:rsidR="00071A81">
        <w:t>and</w:t>
      </w:r>
      <w:r w:rsidR="00D66022">
        <w:t xml:space="preserve"> its</w:t>
      </w:r>
      <w:r w:rsidR="00D822BB">
        <w:t xml:space="preserve"> lowest </w:t>
      </w:r>
      <w:r w:rsidR="00D66022">
        <w:t xml:space="preserve">level </w:t>
      </w:r>
      <w:r w:rsidR="00071A81">
        <w:t>in nearly 10 years</w:t>
      </w:r>
      <w:r w:rsidR="00B1397B">
        <w:t xml:space="preserve">. </w:t>
      </w:r>
      <w:r w:rsidR="00A82D0D">
        <w:t>A grim fourth wave of COVID-19 cases, rising inflation, and the waning effect of federal relief set the stage for cooling consumer sentiment</w:t>
      </w:r>
      <w:r w:rsidR="00B973A1" w:rsidRPr="00B973A1">
        <w:t xml:space="preserve">. </w:t>
      </w:r>
      <w:r w:rsidR="00BF72BA">
        <w:t>The</w:t>
      </w:r>
      <w:r w:rsidR="006970E9" w:rsidRPr="002E3647">
        <w:t xml:space="preserve"> </w:t>
      </w:r>
      <w:r w:rsidR="00BF72BA">
        <w:t xml:space="preserve">index </w:t>
      </w:r>
      <w:r w:rsidR="00071A81">
        <w:t>remains well above its previous nadir of 55.8 in August 2011</w:t>
      </w:r>
      <w:r w:rsidR="00173FBF">
        <w:t xml:space="preserve"> but</w:t>
      </w:r>
      <w:r w:rsidR="00D465D5" w:rsidRPr="002E3647">
        <w:t xml:space="preserve"> </w:t>
      </w:r>
      <w:r w:rsidR="00071A81">
        <w:t xml:space="preserve">far </w:t>
      </w:r>
      <w:r w:rsidR="00B973A1">
        <w:t xml:space="preserve">short of its </w:t>
      </w:r>
      <w:r w:rsidR="006970E9" w:rsidRPr="002E3647">
        <w:t xml:space="preserve">30-year average of </w:t>
      </w:r>
      <w:r w:rsidRPr="002E3647">
        <w:t>87.</w:t>
      </w:r>
      <w:r w:rsidR="00753854">
        <w:t>6</w:t>
      </w:r>
      <w:r w:rsidR="00291FFB" w:rsidRPr="002E3647">
        <w:t>.</w:t>
      </w:r>
      <w:r w:rsidR="00B973A1">
        <w:t xml:space="preserve"> </w:t>
      </w:r>
    </w:p>
    <w:p w14:paraId="182CF22B" w14:textId="2F61346A" w:rsidR="000D5719" w:rsidRDefault="00404E89" w:rsidP="002E3647">
      <w:pPr>
        <w:jc w:val="center"/>
      </w:pPr>
      <w:r>
        <w:rPr>
          <w:noProof/>
        </w:rPr>
        <w:drawing>
          <wp:inline distT="0" distB="0" distL="0" distR="0" wp14:anchorId="2C911109" wp14:editId="542876C5">
            <wp:extent cx="4090670" cy="2603500"/>
            <wp:effectExtent l="0" t="0" r="508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670" cy="2603500"/>
                    </a:xfrm>
                    <a:prstGeom prst="rect">
                      <a:avLst/>
                    </a:prstGeom>
                    <a:noFill/>
                  </pic:spPr>
                </pic:pic>
              </a:graphicData>
            </a:graphic>
          </wp:inline>
        </w:drawing>
      </w:r>
    </w:p>
    <w:p w14:paraId="149D5F56" w14:textId="77777777" w:rsidR="0091664E" w:rsidRDefault="0091664E" w:rsidP="0091664E">
      <w:pPr>
        <w:pStyle w:val="Heading1"/>
      </w:pPr>
      <w:r>
        <w:t>Capital Markets</w:t>
      </w:r>
    </w:p>
    <w:p w14:paraId="0F5E50D3" w14:textId="2E77EE03" w:rsidR="00855C4E" w:rsidRDefault="003D1D39" w:rsidP="00B875CA">
      <w:pPr>
        <w:rPr>
          <w:noProof/>
        </w:rPr>
      </w:pPr>
      <w:r>
        <w:rPr>
          <w:noProof/>
        </w:rPr>
        <w:t xml:space="preserve">The table below shows the </w:t>
      </w:r>
      <w:r w:rsidR="00C427E3">
        <w:rPr>
          <w:noProof/>
        </w:rPr>
        <w:t>quarterly, year-to-date,</w:t>
      </w:r>
      <w:r>
        <w:rPr>
          <w:noProof/>
        </w:rPr>
        <w:t xml:space="preserve"> and 12-month performance of major US equity indices. </w:t>
      </w:r>
      <w:r w:rsidR="00B45117">
        <w:rPr>
          <w:noProof/>
        </w:rPr>
        <w:t>After several months of bullish conditions, c</w:t>
      </w:r>
      <w:r w:rsidR="00182738">
        <w:rPr>
          <w:noProof/>
        </w:rPr>
        <w:t>apital markets ended the 3</w:t>
      </w:r>
      <w:r w:rsidR="00182738" w:rsidRPr="00182738">
        <w:rPr>
          <w:noProof/>
          <w:vertAlign w:val="superscript"/>
        </w:rPr>
        <w:t>rd</w:t>
      </w:r>
      <w:r w:rsidR="00182738">
        <w:rPr>
          <w:noProof/>
        </w:rPr>
        <w:t xml:space="preserve"> quarter on a low note </w:t>
      </w:r>
      <w:r w:rsidR="00B45117">
        <w:rPr>
          <w:noProof/>
        </w:rPr>
        <w:t>on</w:t>
      </w:r>
      <w:r w:rsidR="00182738">
        <w:rPr>
          <w:noProof/>
        </w:rPr>
        <w:t xml:space="preserve"> concerns over inflation and the impending </w:t>
      </w:r>
      <w:r w:rsidR="00B45117">
        <w:rPr>
          <w:noProof/>
        </w:rPr>
        <w:t>drawdown</w:t>
      </w:r>
      <w:r w:rsidR="00182738">
        <w:rPr>
          <w:noProof/>
        </w:rPr>
        <w:t xml:space="preserve"> of </w:t>
      </w:r>
      <w:r w:rsidR="00B45117">
        <w:rPr>
          <w:noProof/>
        </w:rPr>
        <w:t>the Fed’s pandemic-</w:t>
      </w:r>
      <w:r w:rsidR="00B45117">
        <w:rPr>
          <w:noProof/>
        </w:rPr>
        <w:lastRenderedPageBreak/>
        <w:t>era equity buying program</w:t>
      </w:r>
      <w:r>
        <w:rPr>
          <w:noProof/>
        </w:rPr>
        <w:t xml:space="preserve">. </w:t>
      </w:r>
      <w:r w:rsidR="00753854">
        <w:rPr>
          <w:noProof/>
        </w:rPr>
        <w:t>T</w:t>
      </w:r>
      <w:r>
        <w:rPr>
          <w:noProof/>
        </w:rPr>
        <w:t xml:space="preserve">he Dow </w:t>
      </w:r>
      <w:r w:rsidR="00182738">
        <w:rPr>
          <w:noProof/>
        </w:rPr>
        <w:t>J</w:t>
      </w:r>
      <w:r>
        <w:rPr>
          <w:noProof/>
        </w:rPr>
        <w:t>ones</w:t>
      </w:r>
      <w:r w:rsidR="00C427E3">
        <w:rPr>
          <w:noProof/>
        </w:rPr>
        <w:t xml:space="preserve"> </w:t>
      </w:r>
      <w:r w:rsidR="00182738">
        <w:rPr>
          <w:noProof/>
        </w:rPr>
        <w:t>Industrial</w:t>
      </w:r>
      <w:r>
        <w:rPr>
          <w:noProof/>
        </w:rPr>
        <w:t xml:space="preserve"> Average </w:t>
      </w:r>
      <w:r w:rsidR="00753854">
        <w:rPr>
          <w:noProof/>
        </w:rPr>
        <w:t>slid</w:t>
      </w:r>
      <w:r w:rsidR="00182738">
        <w:rPr>
          <w:noProof/>
        </w:rPr>
        <w:t xml:space="preserve"> </w:t>
      </w:r>
      <w:r w:rsidR="00753854">
        <w:rPr>
          <w:noProof/>
        </w:rPr>
        <w:t>1</w:t>
      </w:r>
      <w:r w:rsidR="00182738">
        <w:rPr>
          <w:noProof/>
        </w:rPr>
        <w:t>.</w:t>
      </w:r>
      <w:r w:rsidR="00753854">
        <w:rPr>
          <w:noProof/>
        </w:rPr>
        <w:t>9</w:t>
      </w:r>
      <w:r w:rsidR="00C427E3">
        <w:rPr>
          <w:noProof/>
        </w:rPr>
        <w:t>%</w:t>
      </w:r>
      <w:r w:rsidR="00B45117">
        <w:rPr>
          <w:noProof/>
        </w:rPr>
        <w:t xml:space="preserve"> </w:t>
      </w:r>
      <w:r w:rsidR="00182738">
        <w:rPr>
          <w:noProof/>
        </w:rPr>
        <w:t>during the quarter</w:t>
      </w:r>
      <w:r w:rsidR="00B45117">
        <w:rPr>
          <w:noProof/>
        </w:rPr>
        <w:t xml:space="preserve"> </w:t>
      </w:r>
      <w:r w:rsidR="00753854">
        <w:rPr>
          <w:noProof/>
        </w:rPr>
        <w:t>and</w:t>
      </w:r>
      <w:r>
        <w:rPr>
          <w:noProof/>
        </w:rPr>
        <w:t xml:space="preserve"> the </w:t>
      </w:r>
      <w:r w:rsidR="00182738">
        <w:rPr>
          <w:noProof/>
        </w:rPr>
        <w:t>Dow Jones Transportation and Composite Indexes declined 5.9% and 2.8%, respectively</w:t>
      </w:r>
      <w:r>
        <w:rPr>
          <w:noProof/>
        </w:rPr>
        <w:t xml:space="preserve">. </w:t>
      </w:r>
      <w:r w:rsidR="00182738">
        <w:rPr>
          <w:noProof/>
        </w:rPr>
        <w:t>Other market indices ended the quarter with little change.</w:t>
      </w:r>
    </w:p>
    <w:p w14:paraId="79C54A89" w14:textId="2C0C83E0" w:rsidR="002E3647" w:rsidRDefault="00404E89" w:rsidP="00855C4E">
      <w:pPr>
        <w:jc w:val="center"/>
        <w:rPr>
          <w:noProof/>
        </w:rPr>
      </w:pPr>
      <w:r w:rsidRPr="00404E89">
        <w:rPr>
          <w:noProof/>
        </w:rPr>
        <w:drawing>
          <wp:inline distT="0" distB="0" distL="0" distR="0" wp14:anchorId="29D6DA20" wp14:editId="2D40DA89">
            <wp:extent cx="5591175" cy="14763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1476375"/>
                    </a:xfrm>
                    <a:prstGeom prst="rect">
                      <a:avLst/>
                    </a:prstGeom>
                    <a:noFill/>
                    <a:ln>
                      <a:noFill/>
                    </a:ln>
                  </pic:spPr>
                </pic:pic>
              </a:graphicData>
            </a:graphic>
          </wp:inline>
        </w:drawing>
      </w:r>
      <w:r w:rsidR="003D1D39">
        <w:br/>
      </w:r>
    </w:p>
    <w:p w14:paraId="3743084E" w14:textId="5FFAF5EE" w:rsidR="00857079" w:rsidRDefault="00404E89" w:rsidP="00BB3B04">
      <w:pPr>
        <w:jc w:val="center"/>
        <w:rPr>
          <w:color w:val="FF0000"/>
        </w:rPr>
      </w:pPr>
      <w:r>
        <w:rPr>
          <w:noProof/>
          <w:color w:val="FF0000"/>
        </w:rPr>
        <w:drawing>
          <wp:inline distT="0" distB="0" distL="0" distR="0" wp14:anchorId="4AB83324" wp14:editId="5A9D4F60">
            <wp:extent cx="4097020" cy="26155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020" cy="2615565"/>
                    </a:xfrm>
                    <a:prstGeom prst="rect">
                      <a:avLst/>
                    </a:prstGeom>
                    <a:noFill/>
                  </pic:spPr>
                </pic:pic>
              </a:graphicData>
            </a:graphic>
          </wp:inline>
        </w:drawing>
      </w:r>
    </w:p>
    <w:p w14:paraId="0420E509" w14:textId="63D546F8" w:rsidR="00100DF8" w:rsidRDefault="00100DF8" w:rsidP="003D1D39">
      <w:pPr>
        <w:rPr>
          <w:noProof/>
        </w:rPr>
      </w:pPr>
      <w:r>
        <w:t>Stock market v</w:t>
      </w:r>
      <w:r w:rsidR="0007515A">
        <w:t>olatility</w:t>
      </w:r>
      <w:r w:rsidR="00A1419D">
        <w:t>, as measured by the VIX</w:t>
      </w:r>
      <w:r w:rsidR="00A1419D">
        <w:rPr>
          <w:rStyle w:val="FootnoteReference"/>
        </w:rPr>
        <w:t xml:space="preserve"> </w:t>
      </w:r>
      <w:r w:rsidR="0007515A">
        <w:rPr>
          <w:rStyle w:val="FootnoteReference"/>
        </w:rPr>
        <w:footnoteReference w:id="35"/>
      </w:r>
      <w:r w:rsidR="005573A8">
        <w:t>,</w:t>
      </w:r>
      <w:r>
        <w:t xml:space="preserve"> ended the </w:t>
      </w:r>
      <w:r w:rsidR="00B45117">
        <w:t>3</w:t>
      </w:r>
      <w:r w:rsidR="00B45117" w:rsidRPr="00B45117">
        <w:rPr>
          <w:vertAlign w:val="superscript"/>
        </w:rPr>
        <w:t>rd</w:t>
      </w:r>
      <w:r w:rsidR="00B45117">
        <w:t xml:space="preserve"> </w:t>
      </w:r>
      <w:r>
        <w:t>quarter</w:t>
      </w:r>
      <w:r w:rsidR="0036641E">
        <w:t xml:space="preserve"> </w:t>
      </w:r>
      <w:r>
        <w:t xml:space="preserve">at </w:t>
      </w:r>
      <w:r w:rsidR="00B45117">
        <w:t>23.1</w:t>
      </w:r>
      <w:r w:rsidR="00050BF6">
        <w:t>, up 46.2% since the prior quarter</w:t>
      </w:r>
      <w:r w:rsidR="003D1D39">
        <w:t>.</w:t>
      </w:r>
      <w:r w:rsidR="00B45117">
        <w:t xml:space="preserve"> </w:t>
      </w:r>
      <w:r w:rsidR="00050BF6">
        <w:t>After a quiet summer, t</w:t>
      </w:r>
      <w:r w:rsidR="00B45117">
        <w:t xml:space="preserve">he index </w:t>
      </w:r>
      <w:r w:rsidR="00D62DD0">
        <w:t>jumped</w:t>
      </w:r>
      <w:r w:rsidR="00B45117">
        <w:t xml:space="preserve"> in September </w:t>
      </w:r>
      <w:r w:rsidR="00050BF6">
        <w:t>amid speculation over monetary policy reversal, Washington negotiations on the debt ceiling, and potential tax increases including a tax on unrealized capital gains</w:t>
      </w:r>
      <w:r w:rsidR="003D1D39" w:rsidRPr="003D1D39">
        <w:t xml:space="preserve">. </w:t>
      </w:r>
    </w:p>
    <w:p w14:paraId="29D9D20D" w14:textId="0CA14B9F" w:rsidR="00661AA7" w:rsidRPr="00354195" w:rsidRDefault="00404E89" w:rsidP="00404E89">
      <w:pPr>
        <w:jc w:val="center"/>
      </w:pPr>
      <w:r>
        <w:rPr>
          <w:noProof/>
        </w:rPr>
        <w:lastRenderedPageBreak/>
        <w:drawing>
          <wp:inline distT="0" distB="0" distL="0" distR="0" wp14:anchorId="7AEDE300" wp14:editId="20231BB6">
            <wp:extent cx="4097020" cy="26155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020" cy="2615565"/>
                    </a:xfrm>
                    <a:prstGeom prst="rect">
                      <a:avLst/>
                    </a:prstGeom>
                    <a:noFill/>
                  </pic:spPr>
                </pic:pic>
              </a:graphicData>
            </a:graphic>
          </wp:inline>
        </w:drawing>
      </w:r>
    </w:p>
    <w:p w14:paraId="149D5F93" w14:textId="77777777" w:rsidR="00E44639" w:rsidRDefault="00E44639" w:rsidP="00E44639">
      <w:pPr>
        <w:pStyle w:val="Heading1"/>
      </w:pPr>
      <w:r>
        <w:t>Outlook</w:t>
      </w:r>
    </w:p>
    <w:p w14:paraId="71C9C508" w14:textId="156E2A65" w:rsidR="005573A8" w:rsidRPr="0007242E" w:rsidRDefault="003071CD" w:rsidP="00E44639">
      <w:r w:rsidRPr="0007242E">
        <w:t xml:space="preserve">In </w:t>
      </w:r>
      <w:r w:rsidR="0007242E" w:rsidRPr="0007242E">
        <w:t>September</w:t>
      </w:r>
      <w:r w:rsidRPr="0007242E">
        <w:t xml:space="preserve"> 20</w:t>
      </w:r>
      <w:r w:rsidR="005573A8" w:rsidRPr="0007242E">
        <w:t>21</w:t>
      </w:r>
      <w:r w:rsidRPr="0007242E">
        <w:t xml:space="preserve">, the FOMC </w:t>
      </w:r>
      <w:r w:rsidR="005573A8" w:rsidRPr="0007242E">
        <w:t xml:space="preserve">revised their </w:t>
      </w:r>
      <w:r w:rsidR="0007242E" w:rsidRPr="0007242E">
        <w:t xml:space="preserve">core </w:t>
      </w:r>
      <w:r w:rsidR="005573A8" w:rsidRPr="0007242E">
        <w:t xml:space="preserve">inflation and </w:t>
      </w:r>
      <w:r w:rsidR="0007242E">
        <w:t>unemployment rate</w:t>
      </w:r>
      <w:r w:rsidR="005573A8" w:rsidRPr="0007242E">
        <w:t xml:space="preserve"> projections upward, while expectations for </w:t>
      </w:r>
      <w:r w:rsidR="0007242E">
        <w:t>real GDP</w:t>
      </w:r>
      <w:r w:rsidR="005573A8" w:rsidRPr="0007242E">
        <w:t xml:space="preserve"> </w:t>
      </w:r>
      <w:r w:rsidR="0007242E">
        <w:t>softened. L</w:t>
      </w:r>
      <w:r w:rsidR="005573A8" w:rsidRPr="0007242E">
        <w:t>onger run projections for all three indicators</w:t>
      </w:r>
      <w:r w:rsidR="0007242E">
        <w:t xml:space="preserve"> held relatively steady</w:t>
      </w:r>
      <w:r w:rsidR="005573A8" w:rsidRPr="0007242E">
        <w:t xml:space="preserve">. </w:t>
      </w:r>
    </w:p>
    <w:p w14:paraId="1779A15E" w14:textId="310C4788" w:rsidR="00855C4E" w:rsidRDefault="005573A8" w:rsidP="00855C4E">
      <w:r w:rsidRPr="0007242E">
        <w:t>The FOMC revised their projection</w:t>
      </w:r>
      <w:r w:rsidR="00F60736" w:rsidRPr="0007242E">
        <w:t xml:space="preserve"> </w:t>
      </w:r>
      <w:r w:rsidRPr="0007242E">
        <w:t xml:space="preserve">for </w:t>
      </w:r>
      <w:r w:rsidR="00F60736" w:rsidRPr="0007242E">
        <w:t>real GDP</w:t>
      </w:r>
      <w:r w:rsidR="00BF5CE2" w:rsidRPr="0007242E">
        <w:rPr>
          <w:rStyle w:val="FootnoteReference"/>
        </w:rPr>
        <w:footnoteReference w:id="36"/>
      </w:r>
      <w:r w:rsidR="00F60736" w:rsidRPr="0007242E">
        <w:t xml:space="preserve"> </w:t>
      </w:r>
      <w:r w:rsidR="0039421C" w:rsidRPr="0007242E">
        <w:t xml:space="preserve">to </w:t>
      </w:r>
      <w:r w:rsidR="0007242E" w:rsidRPr="0007242E">
        <w:t>5.90</w:t>
      </w:r>
      <w:r w:rsidR="00F60736" w:rsidRPr="0007242E">
        <w:t>%</w:t>
      </w:r>
      <w:r w:rsidR="0049182B" w:rsidRPr="0007242E">
        <w:t xml:space="preserve"> growth in</w:t>
      </w:r>
      <w:r w:rsidR="00F60736" w:rsidRPr="0007242E">
        <w:t xml:space="preserve"> 20</w:t>
      </w:r>
      <w:r w:rsidR="00090DA6" w:rsidRPr="0007242E">
        <w:t>2</w:t>
      </w:r>
      <w:r w:rsidR="000D646D" w:rsidRPr="0007242E">
        <w:t>1</w:t>
      </w:r>
      <w:r w:rsidR="0049182B" w:rsidRPr="0007242E">
        <w:t xml:space="preserve">, slowing to </w:t>
      </w:r>
      <w:r w:rsidRPr="0007242E">
        <w:t>2.</w:t>
      </w:r>
      <w:r w:rsidR="0007242E" w:rsidRPr="0007242E">
        <w:t>10</w:t>
      </w:r>
      <w:r w:rsidR="0049182B" w:rsidRPr="0007242E">
        <w:t xml:space="preserve">% </w:t>
      </w:r>
      <w:r w:rsidR="004F307A" w:rsidRPr="0007242E">
        <w:t>by</w:t>
      </w:r>
      <w:r w:rsidR="000D646D" w:rsidRPr="0007242E">
        <w:t xml:space="preserve"> 202</w:t>
      </w:r>
      <w:r w:rsidR="0007242E" w:rsidRPr="0007242E">
        <w:t>4</w:t>
      </w:r>
      <w:r w:rsidR="00F60736" w:rsidRPr="0007242E">
        <w:t>. They expect</w:t>
      </w:r>
      <w:r w:rsidRPr="0007242E">
        <w:t>ed</w:t>
      </w:r>
      <w:r w:rsidR="00F60736" w:rsidRPr="0007242E">
        <w:t xml:space="preserve"> Personal Consumption Expendit</w:t>
      </w:r>
      <w:r w:rsidR="00090DA6" w:rsidRPr="0007242E">
        <w:t>ures (PCE)</w:t>
      </w:r>
      <w:r w:rsidR="005D3CEF" w:rsidRPr="0007242E">
        <w:rPr>
          <w:rStyle w:val="FootnoteReference"/>
        </w:rPr>
        <w:footnoteReference w:id="37"/>
      </w:r>
      <w:r w:rsidR="00090DA6" w:rsidRPr="0007242E">
        <w:t xml:space="preserve"> to </w:t>
      </w:r>
      <w:r w:rsidRPr="0007242E">
        <w:t xml:space="preserve">grow </w:t>
      </w:r>
      <w:r w:rsidR="0007242E" w:rsidRPr="0007242E">
        <w:t>4.15</w:t>
      </w:r>
      <w:r w:rsidR="0049182B" w:rsidRPr="0007242E">
        <w:t>% in 202</w:t>
      </w:r>
      <w:r w:rsidR="0039421C" w:rsidRPr="0007242E">
        <w:t>1</w:t>
      </w:r>
      <w:r w:rsidRPr="0007242E">
        <w:t xml:space="preserve">. </w:t>
      </w:r>
      <w:r w:rsidR="00F60736" w:rsidRPr="0007242E">
        <w:t xml:space="preserve"> The</w:t>
      </w:r>
      <w:r w:rsidR="004907DA" w:rsidRPr="0007242E">
        <w:t>y</w:t>
      </w:r>
      <w:r w:rsidR="00F60736" w:rsidRPr="0007242E">
        <w:t xml:space="preserve"> forecast th</w:t>
      </w:r>
      <w:r w:rsidR="004907DA" w:rsidRPr="0007242E">
        <w:t>at th</w:t>
      </w:r>
      <w:r w:rsidR="00F60736" w:rsidRPr="0007242E">
        <w:t>e unemployment rate</w:t>
      </w:r>
      <w:r w:rsidR="00E72196" w:rsidRPr="0007242E">
        <w:rPr>
          <w:rStyle w:val="FootnoteReference"/>
        </w:rPr>
        <w:footnoteReference w:id="38"/>
      </w:r>
      <w:r w:rsidR="00F60736" w:rsidRPr="0007242E">
        <w:t xml:space="preserve"> </w:t>
      </w:r>
      <w:r w:rsidR="004907DA" w:rsidRPr="0007242E">
        <w:t>will</w:t>
      </w:r>
      <w:r w:rsidR="00F60736" w:rsidRPr="0007242E">
        <w:t xml:space="preserve"> </w:t>
      </w:r>
      <w:r w:rsidRPr="0007242E">
        <w:t>reach to 4.</w:t>
      </w:r>
      <w:r w:rsidR="0007242E" w:rsidRPr="0007242E">
        <w:t>70</w:t>
      </w:r>
      <w:r w:rsidR="00F60736" w:rsidRPr="0007242E">
        <w:t>%</w:t>
      </w:r>
      <w:r w:rsidR="0039421C" w:rsidRPr="0007242E">
        <w:t xml:space="preserve"> in 2021 </w:t>
      </w:r>
      <w:r w:rsidR="0062444A" w:rsidRPr="0007242E">
        <w:t xml:space="preserve">and </w:t>
      </w:r>
      <w:r w:rsidRPr="0007242E">
        <w:t>3.</w:t>
      </w:r>
      <w:r w:rsidR="0007242E" w:rsidRPr="0007242E">
        <w:t>4</w:t>
      </w:r>
      <w:r w:rsidRPr="0007242E">
        <w:t>5</w:t>
      </w:r>
      <w:r w:rsidR="0049182B" w:rsidRPr="0007242E">
        <w:t xml:space="preserve">% </w:t>
      </w:r>
      <w:r w:rsidR="00F11B2B" w:rsidRPr="0007242E">
        <w:t>by</w:t>
      </w:r>
      <w:r w:rsidR="00F60736" w:rsidRPr="0007242E">
        <w:t xml:space="preserve"> 20</w:t>
      </w:r>
      <w:r w:rsidR="00090DA6" w:rsidRPr="0007242E">
        <w:t>2</w:t>
      </w:r>
      <w:r w:rsidR="0007242E" w:rsidRPr="0007242E">
        <w:t>4</w:t>
      </w:r>
      <w:r w:rsidR="003071CD" w:rsidRPr="0007242E">
        <w:t>.</w:t>
      </w:r>
      <w:r w:rsidR="005C22CA" w:rsidRPr="0007242E">
        <w:t xml:space="preserve"> Notably, the board projected </w:t>
      </w:r>
      <w:r w:rsidR="0007242E" w:rsidRPr="0007242E">
        <w:t>interest</w:t>
      </w:r>
      <w:r w:rsidR="005C22CA" w:rsidRPr="0007242E">
        <w:t xml:space="preserve"> rate hikes </w:t>
      </w:r>
      <w:r w:rsidR="0007242E" w:rsidRPr="0007242E">
        <w:t>each year through</w:t>
      </w:r>
      <w:r w:rsidR="005C22CA" w:rsidRPr="0007242E">
        <w:t xml:space="preserve"> 202</w:t>
      </w:r>
      <w:r w:rsidR="0007242E" w:rsidRPr="0007242E">
        <w:t>4</w:t>
      </w:r>
      <w:r w:rsidR="005C22CA" w:rsidRPr="0007242E">
        <w:t xml:space="preserve">, likely in response to the </w:t>
      </w:r>
      <w:r w:rsidR="0007242E">
        <w:t>continued elevation in</w:t>
      </w:r>
      <w:r w:rsidR="005C22CA" w:rsidRPr="0007242E">
        <w:t xml:space="preserve"> inflation figures.</w:t>
      </w:r>
      <w:r w:rsidR="005C22CA">
        <w:t xml:space="preserve">  </w:t>
      </w:r>
    </w:p>
    <w:p w14:paraId="4D630423" w14:textId="3A2CF370" w:rsidR="00FD0160" w:rsidRDefault="00404E89" w:rsidP="00855C4E">
      <w:pPr>
        <w:jc w:val="center"/>
      </w:pPr>
      <w:r w:rsidRPr="00404E89">
        <w:rPr>
          <w:noProof/>
        </w:rPr>
        <w:drawing>
          <wp:inline distT="0" distB="0" distL="0" distR="0" wp14:anchorId="5B8199C5" wp14:editId="053AC1E4">
            <wp:extent cx="3914775" cy="111442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1114425"/>
                    </a:xfrm>
                    <a:prstGeom prst="rect">
                      <a:avLst/>
                    </a:prstGeom>
                    <a:noFill/>
                    <a:ln>
                      <a:noFill/>
                    </a:ln>
                  </pic:spPr>
                </pic:pic>
              </a:graphicData>
            </a:graphic>
          </wp:inline>
        </w:drawing>
      </w:r>
    </w:p>
    <w:p w14:paraId="3DA5A3C9" w14:textId="4CF9E1B8" w:rsidR="002301AB" w:rsidRDefault="002308A9">
      <w:r>
        <w:br w:type="page"/>
      </w:r>
    </w:p>
    <w:p w14:paraId="71E59CEA" w14:textId="6D7E62F8" w:rsidR="002308A9" w:rsidRDefault="002301AB">
      <w:pPr>
        <w:rPr>
          <w:rFonts w:asciiTheme="majorHAnsi" w:eastAsiaTheme="majorEastAsia" w:hAnsiTheme="majorHAnsi" w:cstheme="majorBidi"/>
          <w:color w:val="008FD5"/>
          <w:sz w:val="36"/>
          <w:szCs w:val="32"/>
        </w:rPr>
      </w:pPr>
      <w:r>
        <w:rPr>
          <w:rFonts w:asciiTheme="majorHAnsi" w:eastAsiaTheme="majorEastAsia" w:hAnsiTheme="majorHAnsi" w:cstheme="majorBidi"/>
          <w:color w:val="008FD5"/>
          <w:sz w:val="36"/>
          <w:szCs w:val="32"/>
        </w:rPr>
        <w:lastRenderedPageBreak/>
        <w:t>Appendix – Selected Interest Rates</w:t>
      </w:r>
    </w:p>
    <w:p w14:paraId="6F34C406" w14:textId="43D26208" w:rsidR="002301AB" w:rsidRDefault="003E3039">
      <w:r w:rsidRPr="003E3039">
        <w:rPr>
          <w:noProof/>
        </w:rPr>
        <w:drawing>
          <wp:inline distT="0" distB="0" distL="0" distR="0" wp14:anchorId="79A2E446" wp14:editId="4F3B76FE">
            <wp:extent cx="5461677" cy="767715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6264" cy="7683598"/>
                    </a:xfrm>
                    <a:prstGeom prst="rect">
                      <a:avLst/>
                    </a:prstGeom>
                    <a:noFill/>
                    <a:ln>
                      <a:noFill/>
                    </a:ln>
                  </pic:spPr>
                </pic:pic>
              </a:graphicData>
            </a:graphic>
          </wp:inline>
        </w:drawing>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TagniFi.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olleague to help us spread the word about TagniFi</w:t>
      </w:r>
      <w:r w:rsidRPr="0017465F">
        <w:t>.</w:t>
      </w:r>
    </w:p>
    <w:p w14:paraId="149D5FB5" w14:textId="77777777" w:rsidR="001475FF" w:rsidRDefault="001475FF" w:rsidP="001475FF">
      <w:pPr>
        <w:pStyle w:val="Heading1"/>
      </w:pPr>
      <w:bookmarkStart w:id="1" w:name="_Hlk31896782"/>
      <w:r>
        <w:t>About TagniFi</w:t>
      </w:r>
    </w:p>
    <w:bookmarkEnd w:id="1"/>
    <w:p w14:paraId="48B0785A" w14:textId="1A8E78E5" w:rsidR="00964DD4" w:rsidRDefault="00964DD4" w:rsidP="00964DD4">
      <w:r>
        <w:t xml:space="preserve">In July 2015 we released our first dataset, TagniFi Fundamentals, because we thought investors and finance professionals needed a better solution for financial data. Since </w:t>
      </w:r>
      <w:r w:rsidR="004846E4">
        <w:t>then,</w:t>
      </w:r>
      <w:r>
        <w:t xml:space="preserve"> our mission has remained the same: to serve our clients with the best financial data available at a reasonable price. We do this by developing innovative solutions to leverage tagged financial statements which allow us to deliver better, </w:t>
      </w:r>
      <w:r w:rsidR="004846E4">
        <w:t>faster,</w:t>
      </w:r>
      <w:r>
        <w:t xml:space="preserve"> and more detailed data at a fraction of the cost.</w:t>
      </w:r>
    </w:p>
    <w:p w14:paraId="0F1887EF" w14:textId="2A298234" w:rsidR="00964DD4" w:rsidRDefault="00964DD4" w:rsidP="00230D29">
      <w:r>
        <w:t>Today TagniFi is a platform of financial data aimed at making our clients more productive and prosperous. We're helping clients in all corners of finance make better decisions with better data. We relentlessly focus on quality and the trust we've earned from our clients is our greatest asset. Our growth is centered around our clients' needs as we look to expand our platform with new data. Referrals from our existing clients is the ultimate compliment so we choose to invest in our product, not flashy marketing campaigns.</w:t>
      </w:r>
      <w:r w:rsidR="004846E4">
        <w:t xml:space="preserve"> </w:t>
      </w:r>
      <w:r w:rsidR="00C36857" w:rsidRPr="0017465F">
        <w:t>For more information on TagniFi, please visit</w:t>
      </w:r>
      <w:r w:rsidR="00230D29" w:rsidRPr="0017465F">
        <w:t xml:space="preserve"> </w:t>
      </w:r>
      <w:hyperlink r:id="rId39"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How TagniFi</w:t>
      </w:r>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r w:rsidRPr="00964DD4">
        <w:t xml:space="preserve">TagniFi’s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Search for public companies with TagniFi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Search for public and private M&amp;A transactions with TagniFi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TagniFi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Automate the interest rates and economic data in your valuation report using the TagniFi Excel plugin. Choose from over 200,000 time series available.</w:t>
      </w:r>
      <w:r>
        <w:t xml:space="preserve"> All data in this </w:t>
      </w:r>
      <w:r w:rsidRPr="003B0B22">
        <w:rPr>
          <w:i/>
          <w:iCs/>
        </w:rPr>
        <w:t>Quarterly Economic Update</w:t>
      </w:r>
      <w:r>
        <w:t xml:space="preserve"> </w:t>
      </w:r>
      <w:r w:rsidR="002C5E52">
        <w:t>is</w:t>
      </w:r>
      <w:r>
        <w:t xml:space="preserve"> from the TagniFi platform.</w:t>
      </w:r>
      <w:r w:rsidR="002C5E52">
        <w:t xml:space="preserve"> Use economic and interest rate dat</w:t>
      </w:r>
      <w:r w:rsidR="006C08FA">
        <w:t>a</w:t>
      </w:r>
      <w:r w:rsidR="002C5E52">
        <w:t xml:space="preserve"> for your own valuation models with the TagniFi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Search for closed-end mutual funds by keyword, category, subcategory, and more with the TagniFi Console. Use the TagniFi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TagniFi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5"/>
      <w:footerReference w:type="defaul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D260" w14:textId="77777777" w:rsidR="00426A6A" w:rsidRDefault="00426A6A" w:rsidP="00171C8E">
      <w:pPr>
        <w:spacing w:after="0" w:line="240" w:lineRule="auto"/>
      </w:pPr>
      <w:r>
        <w:separator/>
      </w:r>
    </w:p>
  </w:endnote>
  <w:endnote w:type="continuationSeparator" w:id="0">
    <w:p w14:paraId="76BB56E2" w14:textId="77777777" w:rsidR="00426A6A" w:rsidRDefault="00426A6A"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31454DBF" w:rsidR="00B36811" w:rsidRDefault="00B36811">
    <w:pPr>
      <w:pStyle w:val="Footer"/>
    </w:pPr>
    <w:r>
      <w:t>© 2021 TagniFi, LLC. All rights reserved.</w:t>
    </w:r>
    <w:r>
      <w:tab/>
    </w:r>
    <w:r>
      <w:tab/>
      <w:t xml:space="preserve">Page </w:t>
    </w: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B36811" w:rsidRDefault="00B36811">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7968" w14:textId="77777777" w:rsidR="00426A6A" w:rsidRDefault="00426A6A" w:rsidP="00171C8E">
      <w:pPr>
        <w:spacing w:after="0" w:line="240" w:lineRule="auto"/>
      </w:pPr>
      <w:r>
        <w:separator/>
      </w:r>
    </w:p>
  </w:footnote>
  <w:footnote w:type="continuationSeparator" w:id="0">
    <w:p w14:paraId="6CFAB1D1" w14:textId="77777777" w:rsidR="00426A6A" w:rsidRDefault="00426A6A" w:rsidP="00171C8E">
      <w:pPr>
        <w:spacing w:after="0" w:line="240" w:lineRule="auto"/>
      </w:pPr>
      <w:r>
        <w:continuationSeparator/>
      </w:r>
    </w:p>
  </w:footnote>
  <w:footnote w:id="1">
    <w:p w14:paraId="0A2FA1C7" w14:textId="77777777" w:rsidR="00B36811" w:rsidRDefault="00B36811" w:rsidP="00EC7CB1">
      <w:pPr>
        <w:pStyle w:val="FootnoteText"/>
      </w:pPr>
      <w:r>
        <w:rPr>
          <w:rStyle w:val="FootnoteReference"/>
        </w:rPr>
        <w:footnoteRef/>
      </w:r>
      <w:r>
        <w:t xml:space="preserve"> </w:t>
      </w:r>
      <w:r w:rsidRPr="006B1EB1">
        <w:rPr>
          <w:rFonts w:cstheme="minorHAnsi"/>
          <w:color w:val="222222"/>
          <w:sz w:val="16"/>
          <w:szCs w:val="16"/>
          <w:shd w:val="clear" w:color="auto" w:fill="FFFFFF"/>
        </w:rPr>
        <w:t>Federal Reserve Bank of Philadelphia, Coincident Economic Activity Index for the United States [USPHCI],</w:t>
      </w:r>
      <w:r w:rsidRPr="00DA3959">
        <w:rPr>
          <w:rFonts w:cstheme="minorHAnsi"/>
          <w:i/>
          <w:iCs/>
          <w:color w:val="222222"/>
          <w:sz w:val="16"/>
          <w:szCs w:val="16"/>
          <w:shd w:val="clear" w:color="auto" w:fill="FFFFFF"/>
        </w:rPr>
        <w:t xml:space="preserve"> retrieved from FRED, Federal Reserve Bank of St. Louis; </w:t>
      </w:r>
      <w:hyperlink r:id="rId1"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DA3959">
        <w:rPr>
          <w:rFonts w:cstheme="minorHAnsi"/>
          <w:i/>
          <w:iCs/>
          <w:color w:val="222222"/>
          <w:sz w:val="16"/>
          <w:szCs w:val="16"/>
          <w:shd w:val="clear" w:color="auto" w:fill="FFFFFF"/>
        </w:rPr>
        <w:t>.</w:t>
      </w:r>
    </w:p>
  </w:footnote>
  <w:footnote w:id="2">
    <w:p w14:paraId="04EBBD96" w14:textId="139BB65D" w:rsidR="00B36811" w:rsidRPr="000322F4" w:rsidRDefault="00B36811">
      <w:pPr>
        <w:pStyle w:val="FootnoteText"/>
        <w:rPr>
          <w:sz w:val="16"/>
          <w:szCs w:val="16"/>
          <w:lang w:val="en-PH"/>
        </w:rPr>
      </w:pPr>
      <w:r w:rsidRPr="000322F4">
        <w:rPr>
          <w:rStyle w:val="FootnoteReference"/>
          <w:sz w:val="16"/>
          <w:szCs w:val="16"/>
        </w:rPr>
        <w:footnoteRef/>
      </w:r>
      <w:r w:rsidRPr="000322F4">
        <w:rPr>
          <w:sz w:val="16"/>
          <w:szCs w:val="16"/>
        </w:rPr>
        <w:t xml:space="preserve"> </w:t>
      </w:r>
      <w:r w:rsidRPr="006B1EB1">
        <w:rPr>
          <w:rFonts w:cstheme="minorHAnsi"/>
          <w:color w:val="222222"/>
          <w:sz w:val="16"/>
          <w:szCs w:val="16"/>
          <w:shd w:val="clear" w:color="auto" w:fill="FFFFFF"/>
        </w:rPr>
        <w:t>Board of Governors of the Federal Reserve System (US), Trade Weighted U.S. Dollar Index: Broad, Goods and Services [DTWEXBGS],</w:t>
      </w:r>
      <w:r w:rsidRPr="00DA3959">
        <w:rPr>
          <w:rFonts w:cstheme="minorHAnsi"/>
          <w:i/>
          <w:iCs/>
          <w:color w:val="222222"/>
          <w:sz w:val="16"/>
          <w:szCs w:val="16"/>
          <w:shd w:val="clear" w:color="auto" w:fill="FFFFFF"/>
        </w:rPr>
        <w:t xml:space="preserve"> retrieved from FRED, Federal Reserve Bank of St. Louis; </w:t>
      </w:r>
      <w:hyperlink r:id="rId2"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20, 2021</w:t>
      </w:r>
      <w:r w:rsidRPr="00DA3959">
        <w:rPr>
          <w:rFonts w:cstheme="minorHAnsi"/>
          <w:i/>
          <w:iCs/>
          <w:color w:val="222222"/>
          <w:sz w:val="16"/>
          <w:szCs w:val="16"/>
          <w:shd w:val="clear" w:color="auto" w:fill="FFFFFF"/>
        </w:rPr>
        <w:t>.</w:t>
      </w:r>
    </w:p>
  </w:footnote>
  <w:footnote w:id="3">
    <w:p w14:paraId="517776FA" w14:textId="15D1E7EF"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3"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sidR="006B1EB1">
        <w:rPr>
          <w:rFonts w:cstheme="minorHAnsi"/>
          <w:i/>
          <w:iCs/>
          <w:color w:val="222222"/>
          <w:sz w:val="16"/>
          <w:szCs w:val="16"/>
          <w:shd w:val="clear" w:color="auto" w:fill="FFFFFF"/>
        </w:rPr>
        <w:t>Oct</w:t>
      </w:r>
      <w:r>
        <w:rPr>
          <w:rFonts w:cstheme="minorHAnsi"/>
          <w:i/>
          <w:iCs/>
          <w:color w:val="222222"/>
          <w:sz w:val="16"/>
          <w:szCs w:val="16"/>
          <w:shd w:val="clear" w:color="auto" w:fill="FFFFFF"/>
        </w:rPr>
        <w:t xml:space="preserve"> 30, 2021</w:t>
      </w:r>
      <w:r w:rsidRPr="00BF5CE2">
        <w:rPr>
          <w:rFonts w:cstheme="minorHAnsi"/>
          <w:i/>
          <w:iCs/>
          <w:color w:val="222222"/>
          <w:sz w:val="16"/>
          <w:szCs w:val="16"/>
          <w:shd w:val="clear" w:color="auto" w:fill="FFFFFF"/>
        </w:rPr>
        <w:t>.</w:t>
      </w:r>
    </w:p>
  </w:footnote>
  <w:footnote w:id="4">
    <w:p w14:paraId="68571ECC" w14:textId="1CA6B99B" w:rsidR="009A15D9" w:rsidRPr="00263EBD" w:rsidRDefault="009A15D9" w:rsidP="009A15D9">
      <w:pPr>
        <w:pStyle w:val="FootnoteText"/>
        <w:rPr>
          <w:i/>
          <w:iCs/>
          <w:sz w:val="16"/>
          <w:szCs w:val="16"/>
        </w:rPr>
      </w:pPr>
      <w:r>
        <w:rPr>
          <w:rStyle w:val="FootnoteReference"/>
        </w:rPr>
        <w:footnoteRef/>
      </w:r>
      <w:r>
        <w:t xml:space="preserve"> </w:t>
      </w:r>
      <w:r w:rsidR="00263EBD" w:rsidRPr="00263EBD">
        <w:rPr>
          <w:sz w:val="16"/>
          <w:szCs w:val="16"/>
        </w:rPr>
        <w:t xml:space="preserve">U.S. Bureau of Economic Analysis, Contributions to percent change in real gross domestic product: Gross private domestic investment [A006RY2Q224SBEA], </w:t>
      </w:r>
      <w:r w:rsidR="00263EBD" w:rsidRPr="00263EBD">
        <w:rPr>
          <w:i/>
          <w:iCs/>
          <w:sz w:val="16"/>
          <w:szCs w:val="16"/>
        </w:rPr>
        <w:t xml:space="preserve">retrieved from FRED, Federal Reserve Bank of St. Louis; </w:t>
      </w:r>
      <w:hyperlink r:id="rId4" w:history="1">
        <w:r w:rsidR="00F72263" w:rsidRPr="00E05DB5">
          <w:rPr>
            <w:rStyle w:val="Hyperlink"/>
            <w:i/>
            <w:iCs/>
            <w:sz w:val="16"/>
            <w:szCs w:val="16"/>
          </w:rPr>
          <w:t>https://fred.stlouisfed.org/series/A006RY2Q224SBEA</w:t>
        </w:r>
      </w:hyperlink>
      <w:r w:rsidR="00263EBD" w:rsidRPr="00263EBD">
        <w:rPr>
          <w:i/>
          <w:iCs/>
          <w:sz w:val="16"/>
          <w:szCs w:val="16"/>
        </w:rPr>
        <w:t>, Nov</w:t>
      </w:r>
      <w:r w:rsidR="00263EBD">
        <w:rPr>
          <w:i/>
          <w:iCs/>
          <w:sz w:val="16"/>
          <w:szCs w:val="16"/>
        </w:rPr>
        <w:t xml:space="preserve"> 1</w:t>
      </w:r>
      <w:r w:rsidR="00263EBD" w:rsidRPr="00263EBD">
        <w:rPr>
          <w:i/>
          <w:iCs/>
          <w:sz w:val="16"/>
          <w:szCs w:val="16"/>
        </w:rPr>
        <w:t>, 2021.</w:t>
      </w:r>
    </w:p>
  </w:footnote>
  <w:footnote w:id="5">
    <w:p w14:paraId="38368886" w14:textId="35EBE5E2" w:rsidR="009A15D9" w:rsidRPr="00263EBD" w:rsidRDefault="009A15D9" w:rsidP="009A15D9">
      <w:pPr>
        <w:pStyle w:val="FootnoteText"/>
        <w:rPr>
          <w:i/>
          <w:iCs/>
          <w:sz w:val="16"/>
          <w:szCs w:val="16"/>
        </w:rPr>
      </w:pPr>
      <w:r>
        <w:rPr>
          <w:rStyle w:val="FootnoteReference"/>
        </w:rPr>
        <w:footnoteRef/>
      </w:r>
      <w:r>
        <w:t xml:space="preserve"> </w:t>
      </w:r>
      <w:r w:rsidR="00263EBD" w:rsidRPr="00263EBD">
        <w:rPr>
          <w:sz w:val="16"/>
          <w:szCs w:val="16"/>
        </w:rPr>
        <w:t xml:space="preserve">U.S. Bureau of Economic Analysis, Contributions to percent change in real gross domestic product: Personal consumption expenditures [DPCERY2Q224SBEA], </w:t>
      </w:r>
      <w:r w:rsidR="00263EBD" w:rsidRPr="00263EBD">
        <w:rPr>
          <w:i/>
          <w:iCs/>
          <w:sz w:val="16"/>
          <w:szCs w:val="16"/>
        </w:rPr>
        <w:t xml:space="preserve">retrieved from FRED, Federal Reserve Bank of St. Louis; </w:t>
      </w:r>
      <w:hyperlink r:id="rId5" w:history="1">
        <w:r w:rsidR="00F72263" w:rsidRPr="00E05DB5">
          <w:rPr>
            <w:rStyle w:val="Hyperlink"/>
            <w:i/>
            <w:iCs/>
            <w:sz w:val="16"/>
            <w:szCs w:val="16"/>
          </w:rPr>
          <w:t>https://fred.stlouisfed.org/series/DPCERY2Q224SBEA</w:t>
        </w:r>
      </w:hyperlink>
      <w:r w:rsidR="00263EBD" w:rsidRPr="00263EBD">
        <w:rPr>
          <w:i/>
          <w:iCs/>
          <w:sz w:val="16"/>
          <w:szCs w:val="16"/>
        </w:rPr>
        <w:t>, Nov</w:t>
      </w:r>
      <w:r w:rsidR="00263EBD">
        <w:rPr>
          <w:i/>
          <w:iCs/>
          <w:sz w:val="16"/>
          <w:szCs w:val="16"/>
        </w:rPr>
        <w:t xml:space="preserve"> 1</w:t>
      </w:r>
      <w:r w:rsidR="00263EBD" w:rsidRPr="00263EBD">
        <w:rPr>
          <w:i/>
          <w:iCs/>
          <w:sz w:val="16"/>
          <w:szCs w:val="16"/>
        </w:rPr>
        <w:t>, 2021.</w:t>
      </w:r>
    </w:p>
  </w:footnote>
  <w:footnote w:id="6">
    <w:p w14:paraId="5F9EEBAC" w14:textId="6414AEF8" w:rsidR="009A15D9" w:rsidRDefault="009A15D9" w:rsidP="009A15D9">
      <w:pPr>
        <w:pStyle w:val="FootnoteText"/>
      </w:pPr>
      <w:r>
        <w:rPr>
          <w:rStyle w:val="FootnoteReference"/>
        </w:rPr>
        <w:footnoteRef/>
      </w:r>
      <w:r>
        <w:t xml:space="preserve"> </w:t>
      </w:r>
      <w:r w:rsidR="00263EBD" w:rsidRPr="00263EBD">
        <w:rPr>
          <w:sz w:val="16"/>
          <w:szCs w:val="16"/>
        </w:rPr>
        <w:t xml:space="preserve">U.S. Bureau of Economic Analysis, Contributions to percent change in real gross domestic product: Government consumption expenditures and gross investment [A822RY2Q224SBEA], </w:t>
      </w:r>
      <w:r w:rsidR="00263EBD" w:rsidRPr="00263EBD">
        <w:rPr>
          <w:i/>
          <w:iCs/>
          <w:sz w:val="16"/>
          <w:szCs w:val="16"/>
        </w:rPr>
        <w:t xml:space="preserve">retrieved from FRED, Federal Reserve Bank of St. Louis; </w:t>
      </w:r>
      <w:hyperlink r:id="rId6" w:history="1">
        <w:r w:rsidR="00F72263" w:rsidRPr="00E05DB5">
          <w:rPr>
            <w:rStyle w:val="Hyperlink"/>
            <w:i/>
            <w:iCs/>
            <w:sz w:val="16"/>
            <w:szCs w:val="16"/>
          </w:rPr>
          <w:t>https://fred.stlouisfed.org/series/A822RY2Q224SBEA</w:t>
        </w:r>
      </w:hyperlink>
      <w:r w:rsidR="00263EBD" w:rsidRPr="00263EBD">
        <w:rPr>
          <w:i/>
          <w:iCs/>
          <w:sz w:val="16"/>
          <w:szCs w:val="16"/>
        </w:rPr>
        <w:t>, Nov</w:t>
      </w:r>
      <w:r w:rsidR="00263EBD">
        <w:rPr>
          <w:i/>
          <w:iCs/>
          <w:sz w:val="16"/>
          <w:szCs w:val="16"/>
        </w:rPr>
        <w:t xml:space="preserve"> 1</w:t>
      </w:r>
      <w:r w:rsidR="00263EBD" w:rsidRPr="00263EBD">
        <w:rPr>
          <w:i/>
          <w:iCs/>
          <w:sz w:val="16"/>
          <w:szCs w:val="16"/>
        </w:rPr>
        <w:t>, 2021.</w:t>
      </w:r>
    </w:p>
  </w:footnote>
  <w:footnote w:id="7">
    <w:p w14:paraId="4DEC6634" w14:textId="5AD1BBF7" w:rsidR="009A15D9" w:rsidRPr="009A15D9" w:rsidRDefault="009A15D9" w:rsidP="009A15D9">
      <w:pPr>
        <w:pStyle w:val="FootnoteText"/>
        <w:rPr>
          <w:i/>
          <w:iCs/>
          <w:sz w:val="16"/>
          <w:szCs w:val="16"/>
          <w:lang w:val="en-PH"/>
        </w:rPr>
      </w:pPr>
      <w:r w:rsidRPr="009A15D9">
        <w:rPr>
          <w:rStyle w:val="FootnoteReference"/>
          <w:szCs w:val="18"/>
        </w:rPr>
        <w:footnoteRef/>
      </w:r>
      <w:r w:rsidRPr="009A15D9">
        <w:rPr>
          <w:sz w:val="15"/>
          <w:szCs w:val="15"/>
          <w:lang w:val="en-PH"/>
        </w:rPr>
        <w:t xml:space="preserve"> </w:t>
      </w:r>
      <w:r>
        <w:rPr>
          <w:sz w:val="16"/>
          <w:szCs w:val="16"/>
          <w:lang w:val="en-PH"/>
        </w:rPr>
        <w:t>U.S.</w:t>
      </w:r>
      <w:r w:rsidRPr="009A15D9">
        <w:rPr>
          <w:sz w:val="16"/>
          <w:szCs w:val="16"/>
          <w:lang w:val="en-PH"/>
        </w:rPr>
        <w:t xml:space="preserve">. Bureau of Economic Analysis, Contributions to percent change in real gross domestic product: Personal consumption expenditures [DPCERY2Q224SBEA], </w:t>
      </w:r>
      <w:r w:rsidRPr="009A15D9">
        <w:rPr>
          <w:i/>
          <w:iCs/>
          <w:sz w:val="16"/>
          <w:szCs w:val="16"/>
          <w:lang w:val="en-PH"/>
        </w:rPr>
        <w:t xml:space="preserve">retrieved from FRED, Federal Reserve Bank of St. Louis; </w:t>
      </w:r>
      <w:hyperlink r:id="rId7" w:history="1">
        <w:r w:rsidR="00F72263" w:rsidRPr="00E05DB5">
          <w:rPr>
            <w:rStyle w:val="Hyperlink"/>
            <w:i/>
            <w:iCs/>
            <w:sz w:val="16"/>
            <w:szCs w:val="16"/>
            <w:lang w:val="en-PH"/>
          </w:rPr>
          <w:t>https://fred.stlouisfed.org/series/DPCERY2Q224SBEA</w:t>
        </w:r>
      </w:hyperlink>
      <w:r w:rsidRPr="009A15D9">
        <w:rPr>
          <w:i/>
          <w:iCs/>
          <w:sz w:val="16"/>
          <w:szCs w:val="16"/>
          <w:lang w:val="en-PH"/>
        </w:rPr>
        <w:t>, No</w:t>
      </w:r>
      <w:r>
        <w:rPr>
          <w:i/>
          <w:iCs/>
          <w:sz w:val="16"/>
          <w:szCs w:val="16"/>
          <w:lang w:val="en-PH"/>
        </w:rPr>
        <w:t>v 1</w:t>
      </w:r>
      <w:r w:rsidRPr="009A15D9">
        <w:rPr>
          <w:i/>
          <w:iCs/>
          <w:sz w:val="16"/>
          <w:szCs w:val="16"/>
          <w:lang w:val="en-PH"/>
        </w:rPr>
        <w:t>, 2021..</w:t>
      </w:r>
    </w:p>
  </w:footnote>
  <w:footnote w:id="8">
    <w:p w14:paraId="7FABCB6E" w14:textId="4D70DFFD" w:rsidR="00B36811" w:rsidRPr="006A114D" w:rsidRDefault="00B36811" w:rsidP="00D03164">
      <w:pPr>
        <w:pStyle w:val="FootnoteText"/>
        <w:rPr>
          <w:lang w:val="en-PH"/>
        </w:rPr>
      </w:pPr>
      <w:r w:rsidRPr="009A15D9">
        <w:rPr>
          <w:rStyle w:val="FootnoteReference"/>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sidR="006B1EB1">
        <w:rPr>
          <w:rFonts w:cstheme="minorHAnsi"/>
          <w:i/>
          <w:iCs/>
          <w:color w:val="222222"/>
          <w:sz w:val="16"/>
          <w:szCs w:val="16"/>
          <w:shd w:val="clear" w:color="auto" w:fill="FFFFFF"/>
        </w:rPr>
        <w:t>Nov 1</w:t>
      </w:r>
      <w:r>
        <w:rPr>
          <w:rFonts w:cstheme="minorHAnsi"/>
          <w:i/>
          <w:iCs/>
          <w:color w:val="222222"/>
          <w:sz w:val="16"/>
          <w:szCs w:val="16"/>
          <w:shd w:val="clear" w:color="auto" w:fill="FFFFFF"/>
        </w:rPr>
        <w:t>, 2021</w:t>
      </w:r>
      <w:r w:rsidRPr="00BF5CE2">
        <w:rPr>
          <w:rFonts w:cstheme="minorHAnsi"/>
          <w:i/>
          <w:iCs/>
          <w:color w:val="222222"/>
          <w:sz w:val="16"/>
          <w:szCs w:val="16"/>
          <w:shd w:val="clear" w:color="auto" w:fill="FFFFFF"/>
        </w:rPr>
        <w:t>.</w:t>
      </w:r>
    </w:p>
  </w:footnote>
  <w:footnote w:id="9">
    <w:p w14:paraId="036626D0" w14:textId="38C72578" w:rsidR="00B36811" w:rsidRDefault="00B36811" w:rsidP="007A05AD">
      <w:pPr>
        <w:pStyle w:val="FootnoteText"/>
      </w:pPr>
      <w:r>
        <w:rPr>
          <w:rStyle w:val="FootnoteReference"/>
        </w:rPr>
        <w:footnoteRef/>
      </w:r>
      <w:r>
        <w:rPr>
          <w:sz w:val="16"/>
          <w:szCs w:val="16"/>
          <w:lang w:val="en-PH"/>
        </w:rPr>
        <w:t xml:space="preserve"> </w:t>
      </w:r>
      <w:r w:rsidRPr="00267BC7">
        <w:rPr>
          <w:sz w:val="16"/>
          <w:szCs w:val="16"/>
          <w:lang w:val="en-PH"/>
        </w:rPr>
        <w:t>Board of Governors of the Federal Reserve System (US),</w:t>
      </w:r>
      <w:r>
        <w:rPr>
          <w:sz w:val="16"/>
          <w:szCs w:val="16"/>
          <w:lang w:val="en-PH"/>
        </w:rPr>
        <w:t xml:space="preserve"> Capacity Utilization, Manufacturing (NAICS), </w:t>
      </w:r>
      <w:r w:rsidRPr="006B1EB1">
        <w:rPr>
          <w:i/>
          <w:iCs/>
          <w:sz w:val="16"/>
          <w:szCs w:val="16"/>
          <w:lang w:val="en-PH"/>
        </w:rPr>
        <w:t xml:space="preserve">retrieved from FRED, Federal Reserve Bank of St. Louis; </w:t>
      </w:r>
      <w:hyperlink r:id="rId9" w:history="1">
        <w:r w:rsidRPr="006B1EB1">
          <w:rPr>
            <w:rStyle w:val="Hyperlink"/>
            <w:i/>
            <w:iCs/>
            <w:sz w:val="16"/>
            <w:szCs w:val="16"/>
            <w:lang w:val="en-PH"/>
          </w:rPr>
          <w:t>https://fred.stlouisfed.org/series/MCUMFN</w:t>
        </w:r>
      </w:hyperlink>
      <w:r w:rsidRPr="006B1EB1">
        <w:rPr>
          <w:i/>
          <w:iCs/>
          <w:sz w:val="16"/>
          <w:szCs w:val="16"/>
          <w:lang w:val="en-PH"/>
        </w:rPr>
        <w:t xml:space="preserve">, </w:t>
      </w:r>
      <w:r w:rsidR="006B1EB1" w:rsidRPr="006B1EB1">
        <w:rPr>
          <w:i/>
          <w:iCs/>
          <w:sz w:val="16"/>
          <w:szCs w:val="16"/>
          <w:lang w:val="en-PH"/>
        </w:rPr>
        <w:t>Nov 1</w:t>
      </w:r>
      <w:r w:rsidRPr="006B1EB1">
        <w:rPr>
          <w:i/>
          <w:iCs/>
          <w:sz w:val="16"/>
          <w:szCs w:val="16"/>
          <w:lang w:val="en-PH"/>
        </w:rPr>
        <w:t>, 2021</w:t>
      </w:r>
      <w:r w:rsidR="006B1EB1">
        <w:rPr>
          <w:i/>
          <w:iCs/>
          <w:sz w:val="16"/>
          <w:szCs w:val="16"/>
          <w:lang w:val="en-PH"/>
        </w:rPr>
        <w:t>.</w:t>
      </w:r>
    </w:p>
  </w:footnote>
  <w:footnote w:id="10">
    <w:p w14:paraId="5D03BFAC" w14:textId="735616AD" w:rsidR="00B36811" w:rsidRPr="005A0EC4" w:rsidRDefault="00B36811" w:rsidP="005A0EC4">
      <w:pPr>
        <w:rPr>
          <w:rFonts w:ascii="Times New Roman" w:eastAsia="Times New Roman" w:hAnsi="Times New Roman" w:cs="Times New Roman"/>
          <w:szCs w:val="24"/>
        </w:rPr>
      </w:pPr>
      <w:r>
        <w:rPr>
          <w:rStyle w:val="FootnoteReference"/>
        </w:rPr>
        <w:footnoteRef/>
      </w:r>
      <w:r>
        <w:t xml:space="preserve"> </w:t>
      </w:r>
      <w:r w:rsidRPr="00814E45">
        <w:rPr>
          <w:sz w:val="16"/>
          <w:szCs w:val="16"/>
          <w:lang w:val="en-PH"/>
        </w:rPr>
        <w:t xml:space="preserve">Board of Governors of the Federal Reserve System (US), Federal Funds Effective Rate [FEDFUNDS], </w:t>
      </w:r>
      <w:r w:rsidRPr="006B1EB1">
        <w:rPr>
          <w:i/>
          <w:iCs/>
          <w:sz w:val="16"/>
          <w:szCs w:val="16"/>
          <w:lang w:val="en-PH"/>
        </w:rPr>
        <w:t xml:space="preserve">retrieved from FRED, Federal Reserve Bank of St. Louis; </w:t>
      </w:r>
      <w:hyperlink r:id="rId10" w:history="1">
        <w:r w:rsidRPr="006B1EB1">
          <w:rPr>
            <w:rStyle w:val="Hyperlink"/>
            <w:i/>
            <w:iCs/>
            <w:sz w:val="16"/>
            <w:szCs w:val="16"/>
            <w:lang w:val="en-PH"/>
          </w:rPr>
          <w:t>https://fred.stlouisfed.org/series/FEDFUNDS</w:t>
        </w:r>
      </w:hyperlink>
      <w:r w:rsidRPr="006B1EB1">
        <w:rPr>
          <w:i/>
          <w:iCs/>
          <w:sz w:val="16"/>
          <w:szCs w:val="16"/>
          <w:lang w:val="en-PH"/>
        </w:rPr>
        <w:t>, Oct 24, 2021.</w:t>
      </w:r>
    </w:p>
  </w:footnote>
  <w:footnote w:id="11">
    <w:p w14:paraId="2BE1B367" w14:textId="7B9DD55C" w:rsidR="00B36811" w:rsidRDefault="00B36811">
      <w:pPr>
        <w:pStyle w:val="FootnoteText"/>
      </w:pPr>
      <w:r>
        <w:rPr>
          <w:rStyle w:val="FootnoteReference"/>
        </w:rPr>
        <w:footnoteRef/>
      </w:r>
      <w:r>
        <w:t xml:space="preserve"> </w:t>
      </w:r>
      <w:r w:rsidRPr="006B1EB1">
        <w:rPr>
          <w:sz w:val="16"/>
          <w:szCs w:val="16"/>
          <w:lang w:val="en-PH"/>
        </w:rPr>
        <w:t>Selected Interest Rates Instruments, Yields in percent per annum,</w:t>
      </w:r>
      <w:r w:rsidRPr="00B65667">
        <w:rPr>
          <w:i/>
          <w:iCs/>
          <w:sz w:val="16"/>
          <w:szCs w:val="16"/>
          <w:lang w:val="en-PH"/>
        </w:rPr>
        <w:t xml:space="preserve"> retrieved from FRED, Federal Reserve Bank of St. Louis; </w:t>
      </w:r>
      <w:hyperlink r:id="rId11" w:history="1">
        <w:r>
          <w:rPr>
            <w:rStyle w:val="Hyperlink"/>
            <w:i/>
            <w:iCs/>
            <w:sz w:val="16"/>
            <w:szCs w:val="16"/>
            <w:lang w:val="en-PH"/>
          </w:rPr>
          <w:t>https://fred.stlouisfed.org/release/tables?rid=18&amp;eid=289&amp;od=2021-09-30</w:t>
        </w:r>
      </w:hyperlink>
      <w:r w:rsidRPr="00B65667">
        <w:rPr>
          <w:i/>
          <w:iCs/>
          <w:sz w:val="16"/>
          <w:szCs w:val="16"/>
          <w:lang w:val="en-PH"/>
        </w:rPr>
        <w:t xml:space="preserve">, </w:t>
      </w:r>
      <w:r>
        <w:rPr>
          <w:i/>
          <w:iCs/>
          <w:sz w:val="16"/>
          <w:szCs w:val="16"/>
          <w:lang w:val="en-PH"/>
        </w:rPr>
        <w:t>Oct 24, 2021</w:t>
      </w:r>
      <w:r w:rsidRPr="00B65667">
        <w:rPr>
          <w:i/>
          <w:iCs/>
          <w:sz w:val="16"/>
          <w:szCs w:val="16"/>
          <w:lang w:val="en-PH"/>
        </w:rPr>
        <w:t>.</w:t>
      </w:r>
    </w:p>
  </w:footnote>
  <w:footnote w:id="12">
    <w:p w14:paraId="35FA6FE7" w14:textId="4E3ABE41"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E97314">
        <w:rPr>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12"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24, 2021</w:t>
      </w:r>
      <w:r w:rsidRPr="00BF5CE2">
        <w:rPr>
          <w:rFonts w:cstheme="minorHAnsi"/>
          <w:i/>
          <w:iCs/>
          <w:color w:val="222222"/>
          <w:sz w:val="16"/>
          <w:szCs w:val="16"/>
          <w:shd w:val="clear" w:color="auto" w:fill="FFFFFF"/>
        </w:rPr>
        <w:t>.</w:t>
      </w:r>
    </w:p>
  </w:footnote>
  <w:footnote w:id="13">
    <w:p w14:paraId="5D92A033" w14:textId="305E6D21" w:rsidR="00B36811" w:rsidRPr="004759DB"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13"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24, 2021</w:t>
      </w:r>
      <w:r w:rsidRPr="00BF5CE2">
        <w:rPr>
          <w:rFonts w:cstheme="minorHAnsi"/>
          <w:i/>
          <w:iCs/>
          <w:color w:val="222222"/>
          <w:sz w:val="16"/>
          <w:szCs w:val="16"/>
          <w:shd w:val="clear" w:color="auto" w:fill="FFFFFF"/>
        </w:rPr>
        <w:t>.</w:t>
      </w:r>
    </w:p>
  </w:footnote>
  <w:footnote w:id="14">
    <w:p w14:paraId="29E4EDD1" w14:textId="6458A09F"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00263EBD" w:rsidRPr="00263EBD">
        <w:rPr>
          <w:sz w:val="16"/>
          <w:szCs w:val="16"/>
          <w:lang w:val="en-PH"/>
        </w:rPr>
        <w:t xml:space="preserve">Moody’s, Moody's Seasoned Baa Corporate Bond Yield [DBAA], </w:t>
      </w:r>
      <w:r w:rsidR="00263EBD" w:rsidRPr="00263EBD">
        <w:rPr>
          <w:i/>
          <w:iCs/>
          <w:sz w:val="16"/>
          <w:szCs w:val="16"/>
          <w:lang w:val="en-PH"/>
        </w:rPr>
        <w:t xml:space="preserve">retrieved from FRED, Federal Reserve Bank of St. Louis; </w:t>
      </w:r>
      <w:hyperlink r:id="rId14" w:history="1">
        <w:r w:rsidR="00263EBD" w:rsidRPr="00263EBD">
          <w:rPr>
            <w:rStyle w:val="Hyperlink"/>
            <w:i/>
            <w:iCs/>
            <w:sz w:val="16"/>
            <w:szCs w:val="16"/>
            <w:lang w:val="en-PH"/>
          </w:rPr>
          <w:t>https://fred.stlouisfed.org/series/DBAA</w:t>
        </w:r>
      </w:hyperlink>
      <w:r w:rsidR="00263EBD" w:rsidRPr="00263EBD">
        <w:rPr>
          <w:i/>
          <w:iCs/>
          <w:sz w:val="16"/>
          <w:szCs w:val="16"/>
          <w:lang w:val="en-PH"/>
        </w:rPr>
        <w:t>, Nov 1, 2021.</w:t>
      </w:r>
    </w:p>
  </w:footnote>
  <w:footnote w:id="15">
    <w:p w14:paraId="6012CE06" w14:textId="47262E3B" w:rsidR="00B36811" w:rsidRPr="00263EBD" w:rsidRDefault="00B36811">
      <w:pPr>
        <w:pStyle w:val="FootnoteText"/>
        <w:rPr>
          <w:i/>
          <w:iCs/>
        </w:rPr>
      </w:pPr>
      <w:r w:rsidRPr="009D42AA">
        <w:rPr>
          <w:rStyle w:val="FootnoteReference"/>
          <w:sz w:val="16"/>
          <w:szCs w:val="16"/>
        </w:rPr>
        <w:footnoteRef/>
      </w:r>
      <w:r w:rsidRPr="009D42AA">
        <w:rPr>
          <w:rStyle w:val="FootnoteReference"/>
          <w:sz w:val="16"/>
          <w:szCs w:val="16"/>
        </w:rPr>
        <w:t xml:space="preserve"> </w:t>
      </w:r>
      <w:r w:rsidR="00263EBD" w:rsidRPr="00263EBD">
        <w:rPr>
          <w:sz w:val="16"/>
          <w:szCs w:val="16"/>
          <w:lang w:val="en-PH"/>
        </w:rPr>
        <w:t xml:space="preserve">Moody’s, Moody's Seasoned Aaa Corporate Bond Yield [DAAA], </w:t>
      </w:r>
      <w:r w:rsidR="00263EBD" w:rsidRPr="00263EBD">
        <w:rPr>
          <w:i/>
          <w:iCs/>
          <w:sz w:val="16"/>
          <w:szCs w:val="16"/>
          <w:lang w:val="en-PH"/>
        </w:rPr>
        <w:t xml:space="preserve">retrieved from FRED, Federal Reserve Bank of St. Louis; </w:t>
      </w:r>
      <w:hyperlink r:id="rId15" w:history="1">
        <w:r w:rsidR="00263EBD" w:rsidRPr="00263EBD">
          <w:rPr>
            <w:rStyle w:val="Hyperlink"/>
            <w:i/>
            <w:iCs/>
            <w:sz w:val="16"/>
            <w:szCs w:val="16"/>
            <w:lang w:val="en-PH"/>
          </w:rPr>
          <w:t>https://fred.stlouisfed.org/series/DAAA</w:t>
        </w:r>
      </w:hyperlink>
      <w:r w:rsidR="00263EBD" w:rsidRPr="00263EBD">
        <w:rPr>
          <w:i/>
          <w:iCs/>
          <w:sz w:val="16"/>
          <w:szCs w:val="16"/>
          <w:lang w:val="en-PH"/>
        </w:rPr>
        <w:t>, Nov 1, 2021.</w:t>
      </w:r>
    </w:p>
  </w:footnote>
  <w:footnote w:id="16">
    <w:p w14:paraId="66B25A11" w14:textId="495B9A7F" w:rsidR="00B36811" w:rsidRDefault="00B36811">
      <w:pPr>
        <w:pStyle w:val="FootnoteText"/>
      </w:pPr>
      <w:r>
        <w:rPr>
          <w:rStyle w:val="FootnoteReference"/>
        </w:rPr>
        <w:footnoteRef/>
      </w:r>
      <w: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6"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20, 2021</w:t>
      </w:r>
      <w:r w:rsidRPr="00BF5CE2">
        <w:rPr>
          <w:rFonts w:cstheme="minorHAnsi"/>
          <w:i/>
          <w:iCs/>
          <w:color w:val="222222"/>
          <w:sz w:val="16"/>
          <w:szCs w:val="16"/>
          <w:shd w:val="clear" w:color="auto" w:fill="FFFFFF"/>
        </w:rPr>
        <w:t>.</w:t>
      </w:r>
    </w:p>
  </w:footnote>
  <w:footnote w:id="17">
    <w:p w14:paraId="5EC03169" w14:textId="77777777" w:rsidR="006859BA" w:rsidRPr="006859BA" w:rsidRDefault="006859BA" w:rsidP="006859BA">
      <w:pPr>
        <w:pStyle w:val="FootnoteText"/>
        <w:ind w:left="270" w:hanging="270"/>
        <w:rPr>
          <w:i/>
          <w:iCs/>
        </w:rPr>
      </w:pPr>
      <w:r>
        <w:rPr>
          <w:rStyle w:val="FootnoteReference"/>
        </w:rPr>
        <w:footnoteRef/>
      </w:r>
      <w:r>
        <w:t xml:space="preserve"> </w:t>
      </w:r>
      <w:r>
        <w:tab/>
      </w:r>
      <w:r w:rsidRPr="006859BA">
        <w:rPr>
          <w:sz w:val="16"/>
          <w:szCs w:val="16"/>
        </w:rPr>
        <w:t xml:space="preserve">U.S. Bureau of Labor Statistics, Civilian Labor Force Level [CLF16OV], </w:t>
      </w:r>
      <w:r w:rsidRPr="006859BA">
        <w:rPr>
          <w:i/>
          <w:iCs/>
          <w:sz w:val="16"/>
          <w:szCs w:val="16"/>
        </w:rPr>
        <w:t xml:space="preserve">retrieved from FRED, Federal Reserve Bank of St. Louis; </w:t>
      </w:r>
      <w:hyperlink r:id="rId17" w:history="1">
        <w:r w:rsidRPr="006859BA">
          <w:rPr>
            <w:rStyle w:val="Hyperlink"/>
            <w:i/>
            <w:iCs/>
            <w:sz w:val="16"/>
            <w:szCs w:val="16"/>
          </w:rPr>
          <w:t>https://fred.stlouisfed.org/series/CLF16OV</w:t>
        </w:r>
      </w:hyperlink>
      <w:r w:rsidRPr="006859BA">
        <w:rPr>
          <w:i/>
          <w:iCs/>
          <w:sz w:val="16"/>
          <w:szCs w:val="16"/>
        </w:rPr>
        <w:t>, Oct 31, 2021.</w:t>
      </w:r>
    </w:p>
  </w:footnote>
  <w:footnote w:id="18">
    <w:p w14:paraId="0E3463A9" w14:textId="77777777" w:rsidR="006859BA" w:rsidRPr="006859BA" w:rsidRDefault="006859BA" w:rsidP="006859BA">
      <w:pPr>
        <w:pStyle w:val="FootnoteText"/>
        <w:ind w:left="270" w:hanging="270"/>
        <w:rPr>
          <w:i/>
          <w:iCs/>
        </w:rPr>
      </w:pPr>
      <w:r>
        <w:rPr>
          <w:rStyle w:val="FootnoteReference"/>
        </w:rPr>
        <w:footnoteRef/>
      </w:r>
      <w:r>
        <w:t xml:space="preserve"> </w:t>
      </w:r>
      <w:r>
        <w:tab/>
      </w:r>
      <w:r w:rsidRPr="006859BA">
        <w:rPr>
          <w:sz w:val="16"/>
          <w:szCs w:val="16"/>
        </w:rPr>
        <w:t xml:space="preserve">U.S. Bureau of Labor Statistics, Labor Force Participation Rate [CIVPART], </w:t>
      </w:r>
      <w:r w:rsidRPr="006859BA">
        <w:rPr>
          <w:i/>
          <w:iCs/>
          <w:sz w:val="16"/>
          <w:szCs w:val="16"/>
        </w:rPr>
        <w:t xml:space="preserve">retrieved from FRED, Federal Reserve Bank of St. Louis; </w:t>
      </w:r>
      <w:hyperlink r:id="rId18" w:history="1">
        <w:r w:rsidRPr="006859BA">
          <w:rPr>
            <w:rStyle w:val="Hyperlink"/>
            <w:i/>
            <w:iCs/>
            <w:sz w:val="16"/>
            <w:szCs w:val="16"/>
          </w:rPr>
          <w:t>https://fred.stlouisfed.org/series/CIVPART</w:t>
        </w:r>
      </w:hyperlink>
      <w:r w:rsidRPr="006859BA">
        <w:rPr>
          <w:i/>
          <w:iCs/>
          <w:sz w:val="16"/>
          <w:szCs w:val="16"/>
        </w:rPr>
        <w:t>, Oct 31, 2021.</w:t>
      </w:r>
    </w:p>
  </w:footnote>
  <w:footnote w:id="19">
    <w:p w14:paraId="7EE0AABC" w14:textId="6FF3D127" w:rsidR="00B36811" w:rsidRPr="00C7535D" w:rsidRDefault="00B36811">
      <w:pPr>
        <w:pStyle w:val="FootnoteText"/>
        <w:rPr>
          <w:sz w:val="16"/>
          <w:szCs w:val="16"/>
        </w:rPr>
      </w:pPr>
      <w:r w:rsidRPr="00C7535D">
        <w:rPr>
          <w:rStyle w:val="FootnoteReference"/>
          <w:sz w:val="16"/>
          <w:szCs w:val="16"/>
        </w:rPr>
        <w:footnoteRef/>
      </w:r>
      <w:r w:rsidRPr="00C7535D">
        <w:rPr>
          <w:sz w:val="16"/>
          <w:szCs w:val="16"/>
        </w:rPr>
        <w:t xml:space="preserve"> Federal Reserve Bank of Philadelphia, Livingston Survey, </w:t>
      </w:r>
      <w:hyperlink r:id="rId19" w:history="1">
        <w:r w:rsidRPr="002024E2">
          <w:rPr>
            <w:rStyle w:val="Hyperlink"/>
            <w:i/>
            <w:iCs/>
            <w:sz w:val="16"/>
            <w:szCs w:val="16"/>
          </w:rPr>
          <w:t>https://www.philadelphiafed.org/surveys-and-data/real-time-data-research/livingston-survey</w:t>
        </w:r>
      </w:hyperlink>
      <w:r w:rsidRPr="002024E2">
        <w:rPr>
          <w:i/>
          <w:iCs/>
          <w:sz w:val="16"/>
          <w:szCs w:val="16"/>
        </w:rPr>
        <w:t xml:space="preserve">, </w:t>
      </w:r>
      <w:r>
        <w:rPr>
          <w:i/>
          <w:iCs/>
          <w:sz w:val="16"/>
          <w:szCs w:val="16"/>
        </w:rPr>
        <w:t>Oct 20</w:t>
      </w:r>
      <w:r w:rsidRPr="002024E2">
        <w:rPr>
          <w:i/>
          <w:iCs/>
          <w:sz w:val="16"/>
          <w:szCs w:val="16"/>
        </w:rPr>
        <w:t>, 2021.</w:t>
      </w:r>
    </w:p>
  </w:footnote>
  <w:footnote w:id="20">
    <w:p w14:paraId="181B2D4A" w14:textId="4D412C57" w:rsidR="00B36811" w:rsidRDefault="00B36811">
      <w:pPr>
        <w:pStyle w:val="FootnoteText"/>
      </w:pPr>
      <w:r>
        <w:rPr>
          <w:rStyle w:val="FootnoteReference"/>
        </w:rPr>
        <w:footnoteRef/>
      </w:r>
      <w:r>
        <w:t xml:space="preserve"> </w:t>
      </w:r>
      <w:r w:rsidRPr="00BF5CE2">
        <w:rPr>
          <w:sz w:val="16"/>
          <w:szCs w:val="16"/>
          <w:lang w:val="en-PH"/>
        </w:rPr>
        <w:t>U.S. Bureau of Labor Statistics</w:t>
      </w:r>
      <w:r w:rsidRPr="009D7CB0">
        <w:t xml:space="preserve"> </w:t>
      </w:r>
      <w:r w:rsidRPr="009D7CB0">
        <w:rPr>
          <w:sz w:val="16"/>
          <w:szCs w:val="16"/>
          <w:lang w:val="en-PH"/>
        </w:rPr>
        <w:t xml:space="preserve">Total Unemployed, Plus All Persons Marginally Attached to the Labor Force, Plus Total Employed Part Time for Economic Reasons, as a Percent of the Civilian Labor Force Plus All Persons Marginally Attached to the Labor Force (U-6) </w:t>
      </w:r>
      <w:r>
        <w:rPr>
          <w:sz w:val="16"/>
          <w:szCs w:val="16"/>
          <w:lang w:val="en-PH"/>
        </w:rPr>
        <w:t>[</w:t>
      </w:r>
      <w:r w:rsidRPr="009D7CB0">
        <w:rPr>
          <w:sz w:val="16"/>
          <w:szCs w:val="16"/>
          <w:lang w:val="en-PH"/>
        </w:rPr>
        <w:t>U6RATE</w:t>
      </w:r>
      <w:r>
        <w:rPr>
          <w:sz w:val="16"/>
          <w:szCs w:val="16"/>
          <w:lang w:val="en-PH"/>
        </w:rPr>
        <w:t>]</w:t>
      </w:r>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hyperlink r:id="rId20" w:history="1">
        <w:r w:rsidRPr="00D541A5">
          <w:rPr>
            <w:rStyle w:val="Hyperlink"/>
            <w:rFonts w:cstheme="minorHAnsi"/>
            <w:i/>
            <w:iCs/>
            <w:sz w:val="16"/>
            <w:szCs w:val="16"/>
            <w:shd w:val="clear" w:color="auto" w:fill="FFFFFF"/>
          </w:rPr>
          <w:t>https://fred.stlouisfed.org/series/U6RATE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20, 2021</w:t>
      </w:r>
      <w:r w:rsidRPr="00BF5CE2">
        <w:rPr>
          <w:rFonts w:cstheme="minorHAnsi"/>
          <w:i/>
          <w:iCs/>
          <w:color w:val="222222"/>
          <w:sz w:val="16"/>
          <w:szCs w:val="16"/>
          <w:shd w:val="clear" w:color="auto" w:fill="FFFFFF"/>
        </w:rPr>
        <w:t>.</w:t>
      </w:r>
    </w:p>
  </w:footnote>
  <w:footnote w:id="21">
    <w:p w14:paraId="041DBB1A" w14:textId="7FF464C0" w:rsidR="00B36811" w:rsidRDefault="00B36811">
      <w:pPr>
        <w:pStyle w:val="FootnoteText"/>
      </w:pPr>
      <w:r>
        <w:rPr>
          <w:rStyle w:val="FootnoteReference"/>
        </w:rPr>
        <w:footnoteRef/>
      </w:r>
      <w: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w:t>
      </w:r>
      <w:r w:rsidRPr="002024E2">
        <w:rPr>
          <w:rFonts w:cstheme="minorHAnsi"/>
          <w:i/>
          <w:iCs/>
          <w:color w:val="222222"/>
          <w:sz w:val="16"/>
          <w:szCs w:val="16"/>
          <w:shd w:val="clear" w:color="auto" w:fill="FFFFFF"/>
        </w:rPr>
        <w:t>retrieved from FRED, Federal Reserve Bank of St. Louis; </w:t>
      </w:r>
      <w:hyperlink r:id="rId21" w:history="1">
        <w:r w:rsidRPr="002024E2">
          <w:rPr>
            <w:rStyle w:val="Hyperlink"/>
            <w:rFonts w:cstheme="minorHAnsi"/>
            <w:i/>
            <w:iCs/>
            <w:sz w:val="16"/>
            <w:szCs w:val="16"/>
            <w:shd w:val="clear" w:color="auto" w:fill="FFFFFF"/>
          </w:rPr>
          <w:t>https://fred.stlouisfed.org/series/PAYEMS</w:t>
        </w:r>
      </w:hyperlink>
      <w:r w:rsidRPr="002024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20</w:t>
      </w:r>
      <w:r w:rsidRPr="002024E2">
        <w:rPr>
          <w:rFonts w:cstheme="minorHAnsi"/>
          <w:i/>
          <w:iCs/>
          <w:color w:val="222222"/>
          <w:sz w:val="16"/>
          <w:szCs w:val="16"/>
          <w:shd w:val="clear" w:color="auto" w:fill="FFFFFF"/>
        </w:rPr>
        <w:t>, 2021.</w:t>
      </w:r>
    </w:p>
  </w:footnote>
  <w:footnote w:id="22">
    <w:p w14:paraId="7DB2BDE1" w14:textId="2F73AE9C" w:rsidR="00B36811" w:rsidRDefault="00B36811">
      <w:pPr>
        <w:pStyle w:val="FootnoteText"/>
      </w:pPr>
      <w:r>
        <w:rPr>
          <w:rStyle w:val="FootnoteReference"/>
        </w:rPr>
        <w:footnoteRef/>
      </w:r>
      <w: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22"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24, 2021</w:t>
      </w:r>
      <w:r w:rsidRPr="00BF5CE2">
        <w:rPr>
          <w:rFonts w:cstheme="minorHAnsi"/>
          <w:i/>
          <w:iCs/>
          <w:color w:val="222222"/>
          <w:sz w:val="16"/>
          <w:szCs w:val="16"/>
          <w:shd w:val="clear" w:color="auto" w:fill="FFFFFF"/>
        </w:rPr>
        <w:t>.</w:t>
      </w:r>
    </w:p>
  </w:footnote>
  <w:footnote w:id="23">
    <w:p w14:paraId="46D1616A" w14:textId="00425E73" w:rsidR="00B36811" w:rsidRPr="003A2900" w:rsidRDefault="00B36811" w:rsidP="003A2900">
      <w:pPr>
        <w:pStyle w:val="FootnoteText"/>
        <w:rPr>
          <w:rFonts w:ascii="Times New Roman" w:eastAsia="Times New Roman" w:hAnsi="Times New Roman" w:cs="Times New Roman"/>
          <w:szCs w:val="24"/>
        </w:rPr>
      </w:pPr>
      <w:r w:rsidRPr="003A2900">
        <w:rPr>
          <w:vertAlign w:val="superscript"/>
          <w:lang w:val="en-PH"/>
        </w:rPr>
        <w:footnoteRef/>
      </w:r>
      <w:r w:rsidRPr="003A2900">
        <w:rPr>
          <w:vertAlign w:val="superscript"/>
          <w:lang w:val="en-PH"/>
        </w:rPr>
        <w:t xml:space="preserve"> </w:t>
      </w:r>
      <w:r w:rsidRPr="003A2900">
        <w:rPr>
          <w:sz w:val="16"/>
          <w:szCs w:val="16"/>
          <w:lang w:val="en-PH"/>
        </w:rPr>
        <w:t xml:space="preserve">U.S. Bureau of Labor Statistics, Average Price: Gasoline, Unleaded Regular (Cost per Gallon/3.785 Liters) in U.S. City Average [APU000074714], </w:t>
      </w:r>
      <w:r w:rsidRPr="003A2900">
        <w:rPr>
          <w:i/>
          <w:iCs/>
          <w:sz w:val="16"/>
          <w:szCs w:val="16"/>
          <w:lang w:val="en-PH"/>
        </w:rPr>
        <w:t xml:space="preserve">retrieved from FRED, Federal Reserve Bank of St. Louis; </w:t>
      </w:r>
      <w:hyperlink r:id="rId23" w:history="1">
        <w:r w:rsidRPr="006859BA">
          <w:rPr>
            <w:rStyle w:val="Hyperlink"/>
            <w:i/>
            <w:iCs/>
            <w:sz w:val="16"/>
            <w:szCs w:val="16"/>
            <w:lang w:val="en-PH"/>
          </w:rPr>
          <w:t>https://fred.stlouisfed.org/series/APU000074714</w:t>
        </w:r>
      </w:hyperlink>
      <w:r w:rsidRPr="006859BA">
        <w:rPr>
          <w:i/>
          <w:iCs/>
          <w:sz w:val="16"/>
          <w:szCs w:val="16"/>
          <w:lang w:val="en-PH"/>
        </w:rPr>
        <w:t>, Oct 24, 2021.</w:t>
      </w:r>
    </w:p>
  </w:footnote>
  <w:footnote w:id="24">
    <w:p w14:paraId="0C7EB8BC" w14:textId="65F6EC0F" w:rsidR="00B36811" w:rsidRDefault="00B36811">
      <w:pPr>
        <w:pStyle w:val="FootnoteText"/>
      </w:pPr>
      <w:r>
        <w:rPr>
          <w:rStyle w:val="FootnoteReference"/>
        </w:rPr>
        <w:footnoteRef/>
      </w:r>
      <w: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24"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24, 2021</w:t>
      </w:r>
      <w:r w:rsidRPr="00BF5CE2">
        <w:rPr>
          <w:rFonts w:cstheme="minorHAnsi"/>
          <w:i/>
          <w:iCs/>
          <w:color w:val="222222"/>
          <w:sz w:val="16"/>
          <w:szCs w:val="16"/>
          <w:shd w:val="clear" w:color="auto" w:fill="FFFFFF"/>
        </w:rPr>
        <w:t>.</w:t>
      </w:r>
    </w:p>
  </w:footnote>
  <w:footnote w:id="25">
    <w:p w14:paraId="1E8CCC61" w14:textId="67C689F6" w:rsidR="00B36811" w:rsidRDefault="00B36811" w:rsidP="00661AA7">
      <w:pPr>
        <w:pStyle w:val="FootnoteText"/>
      </w:pPr>
      <w:r>
        <w:rPr>
          <w:rStyle w:val="FootnoteReference"/>
        </w:rPr>
        <w:footnoteRef/>
      </w:r>
      <w:r w:rsidRPr="009B52AF">
        <w:rPr>
          <w:rFonts w:cstheme="minorHAnsi"/>
          <w:i/>
          <w:iCs/>
          <w:color w:val="222222"/>
          <w:sz w:val="16"/>
          <w:szCs w:val="16"/>
          <w:shd w:val="clear" w:color="auto" w:fill="FFFFFF"/>
        </w:rPr>
        <w:t>Federal Reserve Bank of St. Louis</w:t>
      </w:r>
      <w:r>
        <w:rPr>
          <w:rFonts w:cstheme="minorHAnsi"/>
          <w:i/>
          <w:iCs/>
          <w:color w:val="222222"/>
          <w:sz w:val="16"/>
          <w:szCs w:val="16"/>
          <w:shd w:val="clear" w:color="auto" w:fill="FFFFFF"/>
        </w:rPr>
        <w:t xml:space="preserve">, </w:t>
      </w:r>
      <w:r w:rsidRPr="009B52AF">
        <w:rPr>
          <w:rFonts w:cstheme="minorHAnsi"/>
          <w:i/>
          <w:iCs/>
          <w:color w:val="222222"/>
          <w:sz w:val="16"/>
          <w:szCs w:val="16"/>
          <w:shd w:val="clear" w:color="auto" w:fill="FFFFFF"/>
        </w:rPr>
        <w:t>5-Year Breakeven Inflation Rate</w:t>
      </w:r>
      <w:r>
        <w:rPr>
          <w:rFonts w:cstheme="minorHAnsi"/>
          <w:i/>
          <w:iCs/>
          <w:color w:val="222222"/>
          <w:sz w:val="16"/>
          <w:szCs w:val="16"/>
          <w:shd w:val="clear" w:color="auto" w:fill="FFFFFF"/>
        </w:rPr>
        <w:t xml:space="preserve"> [T5YIE</w:t>
      </w:r>
      <w:r w:rsidRPr="000322F4">
        <w:rPr>
          <w:rFonts w:cstheme="minorHAnsi"/>
          <w:i/>
          <w:iCs/>
          <w:color w:val="222222"/>
          <w:sz w:val="16"/>
          <w:szCs w:val="16"/>
          <w:shd w:val="clear" w:color="auto" w:fill="FFFFFF"/>
        </w:rPr>
        <w:t>], retrieved from FRED, Federal Reserve Bank of St. Louis; </w:t>
      </w:r>
      <w:hyperlink r:id="rId25" w:history="1">
        <w:r w:rsidRPr="001B4FCC">
          <w:rPr>
            <w:rStyle w:val="Hyperlink"/>
            <w:rFonts w:cstheme="minorHAnsi"/>
            <w:i/>
            <w:iCs/>
            <w:sz w:val="16"/>
            <w:szCs w:val="16"/>
            <w:shd w:val="clear" w:color="auto" w:fill="FFFFFF"/>
          </w:rPr>
          <w:t>https://fred.stlouisfed.org/series/T5YIE</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24, 2021</w:t>
      </w:r>
      <w:r w:rsidRPr="000322F4">
        <w:rPr>
          <w:rFonts w:cstheme="minorHAnsi"/>
          <w:i/>
          <w:iCs/>
          <w:color w:val="222222"/>
          <w:sz w:val="16"/>
          <w:szCs w:val="16"/>
          <w:shd w:val="clear" w:color="auto" w:fill="FFFFFF"/>
        </w:rPr>
        <w:t>.</w:t>
      </w:r>
    </w:p>
  </w:footnote>
  <w:footnote w:id="26">
    <w:p w14:paraId="1C900108" w14:textId="0D078848" w:rsidR="00B36811" w:rsidRPr="000322F4" w:rsidRDefault="00B36811"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00F72263" w:rsidRPr="00F72263">
        <w:rPr>
          <w:rFonts w:cstheme="minorHAnsi"/>
          <w:color w:val="222222"/>
          <w:sz w:val="16"/>
          <w:szCs w:val="16"/>
          <w:shd w:val="clear" w:color="auto" w:fill="FFFFFF"/>
        </w:rPr>
        <w:t>U.S. Energy Information Administration, Crude Oil Prices: West Texas Intermediate (WTI) - Cushing, Oklahoma [DCOILWTICO],</w:t>
      </w:r>
      <w:r w:rsidR="00F72263" w:rsidRPr="00F72263">
        <w:rPr>
          <w:rFonts w:cstheme="minorHAnsi"/>
          <w:i/>
          <w:iCs/>
          <w:color w:val="222222"/>
          <w:sz w:val="16"/>
          <w:szCs w:val="16"/>
          <w:shd w:val="clear" w:color="auto" w:fill="FFFFFF"/>
        </w:rPr>
        <w:t xml:space="preserve"> retrieved from FRED, Federal Reserve Bank of St. Louis; </w:t>
      </w:r>
      <w:hyperlink r:id="rId26" w:history="1">
        <w:r w:rsidR="00EC2B2F" w:rsidRPr="00E05DB5">
          <w:rPr>
            <w:rStyle w:val="Hyperlink"/>
            <w:rFonts w:cstheme="minorHAnsi"/>
            <w:i/>
            <w:iCs/>
            <w:sz w:val="16"/>
            <w:szCs w:val="16"/>
            <w:shd w:val="clear" w:color="auto" w:fill="FFFFFF"/>
          </w:rPr>
          <w:t>https://fred.stlouisfed.org/series/DCOILWTICO</w:t>
        </w:r>
      </w:hyperlink>
      <w:r w:rsidR="00F72263" w:rsidRPr="00F72263">
        <w:rPr>
          <w:rFonts w:cstheme="minorHAnsi"/>
          <w:i/>
          <w:iCs/>
          <w:color w:val="222222"/>
          <w:sz w:val="16"/>
          <w:szCs w:val="16"/>
          <w:shd w:val="clear" w:color="auto" w:fill="FFFFFF"/>
        </w:rPr>
        <w:t>, No</w:t>
      </w:r>
      <w:r w:rsidR="00F72263">
        <w:rPr>
          <w:rFonts w:cstheme="minorHAnsi"/>
          <w:i/>
          <w:iCs/>
          <w:color w:val="222222"/>
          <w:sz w:val="16"/>
          <w:szCs w:val="16"/>
          <w:shd w:val="clear" w:color="auto" w:fill="FFFFFF"/>
        </w:rPr>
        <w:t>v</w:t>
      </w:r>
      <w:r w:rsidR="00F72263" w:rsidRPr="00F72263">
        <w:rPr>
          <w:rFonts w:cstheme="minorHAnsi"/>
          <w:i/>
          <w:iCs/>
          <w:color w:val="222222"/>
          <w:sz w:val="16"/>
          <w:szCs w:val="16"/>
          <w:shd w:val="clear" w:color="auto" w:fill="FFFFFF"/>
        </w:rPr>
        <w:t xml:space="preserve"> 3, 2021.</w:t>
      </w:r>
      <w:r w:rsidRPr="000322F4">
        <w:rPr>
          <w:rFonts w:cstheme="minorHAnsi"/>
          <w:i/>
          <w:iCs/>
          <w:color w:val="222222"/>
          <w:sz w:val="16"/>
          <w:szCs w:val="16"/>
          <w:shd w:val="clear" w:color="auto" w:fill="FFFFFF"/>
        </w:rPr>
        <w:t>.</w:t>
      </w:r>
    </w:p>
  </w:footnote>
  <w:footnote w:id="27">
    <w:p w14:paraId="11221A52" w14:textId="09E93FF1"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27"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25, 2021</w:t>
      </w:r>
      <w:r w:rsidRPr="00BF5CE2">
        <w:rPr>
          <w:rFonts w:cstheme="minorHAnsi"/>
          <w:i/>
          <w:iCs/>
          <w:color w:val="222222"/>
          <w:sz w:val="16"/>
          <w:szCs w:val="16"/>
          <w:shd w:val="clear" w:color="auto" w:fill="FFFFFF"/>
        </w:rPr>
        <w:t>.</w:t>
      </w:r>
    </w:p>
  </w:footnote>
  <w:footnote w:id="28">
    <w:p w14:paraId="6A794CBD" w14:textId="7A1820DA" w:rsidR="00B36811" w:rsidRPr="00250313"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28"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25, 2021</w:t>
      </w:r>
      <w:r w:rsidRPr="00BF5CE2">
        <w:rPr>
          <w:rFonts w:cstheme="minorHAnsi"/>
          <w:i/>
          <w:iCs/>
          <w:color w:val="222222"/>
          <w:sz w:val="16"/>
          <w:szCs w:val="16"/>
          <w:shd w:val="clear" w:color="auto" w:fill="FFFFFF"/>
        </w:rPr>
        <w:t>.</w:t>
      </w:r>
    </w:p>
  </w:footnote>
  <w:footnote w:id="29">
    <w:p w14:paraId="48E5411D" w14:textId="407DB3DF"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Down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29"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28, 2021</w:t>
      </w:r>
      <w:r w:rsidRPr="00BF5CE2">
        <w:rPr>
          <w:rFonts w:cstheme="minorHAnsi"/>
          <w:i/>
          <w:iCs/>
          <w:color w:val="222222"/>
          <w:sz w:val="16"/>
          <w:szCs w:val="16"/>
          <w:shd w:val="clear" w:color="auto" w:fill="FFFFFF"/>
        </w:rPr>
        <w:t>.</w:t>
      </w:r>
    </w:p>
  </w:footnote>
  <w:footnote w:id="30">
    <w:p w14:paraId="3C84FE4A" w14:textId="2657B723"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30"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31">
    <w:p w14:paraId="08E11874" w14:textId="2E0AAFD1" w:rsidR="00B36811" w:rsidRPr="00933E80"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bookmarkStart w:id="0" w:name="_Hlk79177981"/>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bookmarkEnd w:id="0"/>
      <w:r>
        <w:fldChar w:fldCharType="begin"/>
      </w:r>
      <w:r>
        <w:instrText xml:space="preserve"> HYPERLINK "https://fred.stlouisfed.org/series/ALTSALES" </w:instrText>
      </w:r>
      <w:r>
        <w:fldChar w:fldCharType="separate"/>
      </w:r>
      <w:r w:rsidRPr="00BF5CE2">
        <w:rPr>
          <w:rStyle w:val="Hyperlink"/>
          <w:rFonts w:cstheme="minorHAnsi"/>
          <w:i/>
          <w:iCs/>
          <w:sz w:val="16"/>
          <w:szCs w:val="16"/>
          <w:shd w:val="clear" w:color="auto" w:fill="FFFFFF"/>
        </w:rPr>
        <w:t>https://fred.stlouisfed.org/series/ALTSALES</w:t>
      </w:r>
      <w:r>
        <w:rPr>
          <w:rStyle w:val="Hyperlink"/>
          <w:rFonts w:cstheme="minorHAnsi"/>
          <w:i/>
          <w:iCs/>
          <w:sz w:val="16"/>
          <w:szCs w:val="16"/>
          <w:shd w:val="clear" w:color="auto" w:fill="FFFFFF"/>
        </w:rPr>
        <w:fldChar w:fldCharType="end"/>
      </w:r>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28, 2021</w:t>
      </w:r>
      <w:r w:rsidRPr="00BF5CE2">
        <w:rPr>
          <w:rFonts w:cstheme="minorHAnsi"/>
          <w:i/>
          <w:iCs/>
          <w:color w:val="222222"/>
          <w:sz w:val="16"/>
          <w:szCs w:val="16"/>
          <w:shd w:val="clear" w:color="auto" w:fill="FFFFFF"/>
        </w:rPr>
        <w:t>.</w:t>
      </w:r>
    </w:p>
  </w:footnote>
  <w:footnote w:id="32">
    <w:p w14:paraId="1FBBD940" w14:textId="5FE16CEE" w:rsidR="00B36811" w:rsidRPr="00D822BB" w:rsidRDefault="00B36811" w:rsidP="00D822BB">
      <w:pPr>
        <w:rPr>
          <w:sz w:val="16"/>
          <w:szCs w:val="16"/>
          <w:lang w:val="en-PH"/>
        </w:rPr>
      </w:pPr>
      <w:r w:rsidRPr="00D822BB">
        <w:rPr>
          <w:rStyle w:val="FootnoteReference"/>
          <w:sz w:val="16"/>
          <w:szCs w:val="16"/>
        </w:rPr>
        <w:footnoteRef/>
      </w:r>
      <w:r w:rsidRPr="00D822BB">
        <w:rPr>
          <w:rStyle w:val="FootnoteReference"/>
          <w:sz w:val="16"/>
          <w:szCs w:val="16"/>
        </w:rPr>
        <w:t xml:space="preserve"> </w:t>
      </w:r>
      <w:r>
        <w:rPr>
          <w:rFonts w:ascii="Lucida Sans" w:eastAsia="Times New Roman" w:hAnsi="Lucida Sans" w:cs="Times New Roman"/>
          <w:color w:val="333333"/>
          <w:sz w:val="18"/>
          <w:szCs w:val="18"/>
          <w:shd w:val="clear" w:color="auto" w:fill="FFFFFF"/>
        </w:rPr>
        <w:t>U</w:t>
      </w:r>
      <w:r w:rsidRPr="00D822BB">
        <w:rPr>
          <w:sz w:val="16"/>
          <w:szCs w:val="16"/>
          <w:lang w:val="en-PH"/>
        </w:rPr>
        <w:t xml:space="preserve">.S. Bureau of Labor Statistics, Consumer Price Index for All Urban Consumers: New Vehicles in U.S. City Average [CUUR0000SETA01], </w:t>
      </w:r>
      <w:r w:rsidRPr="00D822BB">
        <w:rPr>
          <w:i/>
          <w:iCs/>
          <w:sz w:val="16"/>
          <w:szCs w:val="16"/>
          <w:lang w:val="en-PH"/>
        </w:rPr>
        <w:t xml:space="preserve">retrieved from FRED, Federal Reserve Bank of St. Louis; </w:t>
      </w:r>
      <w:hyperlink r:id="rId31" w:history="1">
        <w:r w:rsidRPr="00D822BB">
          <w:rPr>
            <w:rStyle w:val="Hyperlink"/>
            <w:i/>
            <w:iCs/>
            <w:sz w:val="16"/>
            <w:szCs w:val="16"/>
            <w:lang w:val="en-PH"/>
          </w:rPr>
          <w:t>https://fred.stlouisfed.org/series/CUUR0000SETA01</w:t>
        </w:r>
      </w:hyperlink>
      <w:r w:rsidRPr="00D822BB">
        <w:rPr>
          <w:i/>
          <w:iCs/>
          <w:sz w:val="16"/>
          <w:szCs w:val="16"/>
          <w:lang w:val="en-PH"/>
        </w:rPr>
        <w:t>, Oct 28, 2021.</w:t>
      </w:r>
    </w:p>
  </w:footnote>
  <w:footnote w:id="33">
    <w:p w14:paraId="1D43F300" w14:textId="5597A15F" w:rsidR="00B36811" w:rsidRDefault="00B36811">
      <w:pPr>
        <w:pStyle w:val="FootnoteText"/>
      </w:pPr>
      <w:r>
        <w:rPr>
          <w:rStyle w:val="FootnoteReference"/>
        </w:rPr>
        <w:footnoteRef/>
      </w:r>
      <w:r>
        <w:t xml:space="preserve"> </w:t>
      </w:r>
      <w:r w:rsidRPr="00611626">
        <w:rPr>
          <w:sz w:val="16"/>
          <w:szCs w:val="16"/>
        </w:rPr>
        <w:t>U.S. Bureau of Labor Statistics</w:t>
      </w:r>
      <w:r>
        <w:rPr>
          <w:sz w:val="16"/>
          <w:szCs w:val="16"/>
        </w:rPr>
        <w:t xml:space="preserve">, </w:t>
      </w:r>
      <w:r w:rsidRPr="00611626">
        <w:rPr>
          <w:sz w:val="16"/>
          <w:szCs w:val="16"/>
        </w:rPr>
        <w:t>Consumer Price Index for All Urban Consumers: Used Cars and Trucks in U.S. City Average</w:t>
      </w:r>
      <w:r>
        <w:rPr>
          <w:sz w:val="16"/>
          <w:szCs w:val="16"/>
        </w:rPr>
        <w:t xml:space="preserve"> [</w:t>
      </w:r>
      <w:r w:rsidRPr="00611626">
        <w:rPr>
          <w:sz w:val="16"/>
          <w:szCs w:val="16"/>
        </w:rPr>
        <w:t>CUSR0000SETA02</w:t>
      </w:r>
      <w:r>
        <w:rPr>
          <w:sz w:val="16"/>
          <w:szCs w:val="16"/>
        </w:rPr>
        <w:t>],</w:t>
      </w:r>
      <w:r w:rsidRPr="00611626">
        <w:rPr>
          <w:sz w:val="16"/>
          <w:szCs w:val="16"/>
        </w:rPr>
        <w:t xml:space="preserve"> </w:t>
      </w:r>
      <w:r w:rsidRPr="00D822BB">
        <w:rPr>
          <w:i/>
          <w:iCs/>
          <w:sz w:val="16"/>
          <w:szCs w:val="16"/>
        </w:rPr>
        <w:t xml:space="preserve">retrieved from FRED, Federal Reserve Bank of St. Louis; </w:t>
      </w:r>
      <w:hyperlink r:id="rId32" w:history="1">
        <w:r w:rsidRPr="00D822BB">
          <w:rPr>
            <w:rStyle w:val="Hyperlink"/>
            <w:i/>
            <w:iCs/>
            <w:sz w:val="16"/>
            <w:szCs w:val="16"/>
          </w:rPr>
          <w:t>https://fred.stlouisfed.org/series/CUSR0000SETA02</w:t>
        </w:r>
      </w:hyperlink>
      <w:r>
        <w:t xml:space="preserve">, </w:t>
      </w:r>
      <w:r>
        <w:rPr>
          <w:rFonts w:cstheme="minorHAnsi"/>
          <w:i/>
          <w:iCs/>
          <w:color w:val="222222"/>
          <w:sz w:val="16"/>
          <w:szCs w:val="16"/>
          <w:shd w:val="clear" w:color="auto" w:fill="FFFFFF"/>
        </w:rPr>
        <w:t>Oct 28, 2021</w:t>
      </w:r>
      <w:r w:rsidRPr="00BF5CE2">
        <w:rPr>
          <w:rFonts w:cstheme="minorHAnsi"/>
          <w:i/>
          <w:iCs/>
          <w:color w:val="222222"/>
          <w:sz w:val="16"/>
          <w:szCs w:val="16"/>
          <w:shd w:val="clear" w:color="auto" w:fill="FFFFFF"/>
        </w:rPr>
        <w:t>.</w:t>
      </w:r>
    </w:p>
  </w:footnote>
  <w:footnote w:id="34">
    <w:p w14:paraId="01357EF0" w14:textId="6C5876B1" w:rsidR="00B36811" w:rsidRPr="00364347" w:rsidRDefault="00B36811"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33" w:history="1">
        <w:r w:rsidRPr="00364347">
          <w:rPr>
            <w:rStyle w:val="Hyperlink"/>
            <w:i/>
            <w:iCs/>
            <w:sz w:val="16"/>
            <w:szCs w:val="16"/>
            <w:lang w:val="en-PH"/>
          </w:rPr>
          <w:t>https://fred.stlouisfed.org/series/UMCSENT</w:t>
        </w:r>
      </w:hyperlink>
      <w:r w:rsidRPr="00364347">
        <w:rPr>
          <w:i/>
          <w:iCs/>
          <w:sz w:val="16"/>
          <w:szCs w:val="16"/>
          <w:lang w:val="en-PH"/>
        </w:rPr>
        <w:t xml:space="preserve">, </w:t>
      </w:r>
      <w:r>
        <w:rPr>
          <w:i/>
          <w:iCs/>
          <w:sz w:val="16"/>
          <w:szCs w:val="16"/>
          <w:lang w:val="en-PH"/>
        </w:rPr>
        <w:t>Oct 30, 2021</w:t>
      </w:r>
      <w:r w:rsidRPr="00364347">
        <w:rPr>
          <w:i/>
          <w:iCs/>
          <w:sz w:val="16"/>
          <w:szCs w:val="16"/>
          <w:lang w:val="en-PH"/>
        </w:rPr>
        <w:t>.</w:t>
      </w:r>
    </w:p>
    <w:p w14:paraId="10C86738" w14:textId="29101548" w:rsidR="00B36811" w:rsidRDefault="00B36811">
      <w:pPr>
        <w:pStyle w:val="FootnoteText"/>
      </w:pPr>
    </w:p>
  </w:footnote>
  <w:footnote w:id="35">
    <w:p w14:paraId="3E58D959" w14:textId="4D300948" w:rsidR="00B36811" w:rsidRPr="00364347" w:rsidRDefault="00B36811">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34" w:history="1">
        <w:r w:rsidRPr="00364347">
          <w:rPr>
            <w:rStyle w:val="Hyperlink"/>
            <w:i/>
            <w:iCs/>
            <w:sz w:val="16"/>
            <w:szCs w:val="16"/>
          </w:rPr>
          <w:t>https://fred.stlouisfed.org/series/VIXCLS</w:t>
        </w:r>
      </w:hyperlink>
      <w:r w:rsidRPr="00364347">
        <w:rPr>
          <w:i/>
          <w:iCs/>
          <w:sz w:val="16"/>
          <w:szCs w:val="16"/>
        </w:rPr>
        <w:t xml:space="preserve">, </w:t>
      </w:r>
      <w:r>
        <w:rPr>
          <w:i/>
          <w:iCs/>
          <w:sz w:val="16"/>
          <w:szCs w:val="16"/>
        </w:rPr>
        <w:t>Jul 30, 2021</w:t>
      </w:r>
      <w:r w:rsidRPr="00364347">
        <w:rPr>
          <w:i/>
          <w:iCs/>
          <w:sz w:val="16"/>
          <w:szCs w:val="16"/>
        </w:rPr>
        <w:t>.</w:t>
      </w:r>
    </w:p>
  </w:footnote>
  <w:footnote w:id="36">
    <w:p w14:paraId="1CF53D3A" w14:textId="402E8F97" w:rsidR="00B36811" w:rsidRPr="00BF5CE2" w:rsidRDefault="00B36811">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35"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Jul 30, 2021</w:t>
      </w:r>
      <w:r w:rsidRPr="002B29C7">
        <w:rPr>
          <w:rFonts w:cstheme="minorHAnsi"/>
          <w:i/>
          <w:iCs/>
          <w:color w:val="222222"/>
          <w:sz w:val="16"/>
          <w:szCs w:val="16"/>
          <w:shd w:val="clear" w:color="auto" w:fill="FFFFFF"/>
        </w:rPr>
        <w:t>.</w:t>
      </w:r>
    </w:p>
  </w:footnote>
  <w:footnote w:id="37">
    <w:p w14:paraId="054982F6" w14:textId="2F3143E2" w:rsidR="00B36811" w:rsidRPr="005D3CEF" w:rsidRDefault="00B36811">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36"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364347">
        <w:rPr>
          <w:rFonts w:cstheme="minorHAnsi"/>
          <w:i/>
          <w:iCs/>
          <w:color w:val="222222"/>
          <w:sz w:val="16"/>
          <w:szCs w:val="16"/>
          <w:shd w:val="clear" w:color="auto" w:fill="FFFFFF"/>
        </w:rPr>
        <w:t>.</w:t>
      </w:r>
    </w:p>
  </w:footnote>
  <w:footnote w:id="38">
    <w:p w14:paraId="4A7DBD07" w14:textId="50110C68" w:rsidR="00B36811" w:rsidRPr="00E72196" w:rsidRDefault="00B36811"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37"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B36811" w:rsidRPr="00460436" w:rsidRDefault="00B36811"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11"/>
    <w:rsid w:val="0000055B"/>
    <w:rsid w:val="000017CB"/>
    <w:rsid w:val="00001B20"/>
    <w:rsid w:val="000048BB"/>
    <w:rsid w:val="00005111"/>
    <w:rsid w:val="00014CBA"/>
    <w:rsid w:val="00021EA4"/>
    <w:rsid w:val="00022BB4"/>
    <w:rsid w:val="00023FB9"/>
    <w:rsid w:val="000248D0"/>
    <w:rsid w:val="00024E64"/>
    <w:rsid w:val="0002602B"/>
    <w:rsid w:val="0002760A"/>
    <w:rsid w:val="00027E1E"/>
    <w:rsid w:val="00030ECA"/>
    <w:rsid w:val="0003136B"/>
    <w:rsid w:val="00031DA4"/>
    <w:rsid w:val="000322F4"/>
    <w:rsid w:val="00033B75"/>
    <w:rsid w:val="00035810"/>
    <w:rsid w:val="00035F0C"/>
    <w:rsid w:val="0003611B"/>
    <w:rsid w:val="0004025D"/>
    <w:rsid w:val="0004306B"/>
    <w:rsid w:val="00046A04"/>
    <w:rsid w:val="00047034"/>
    <w:rsid w:val="00047E74"/>
    <w:rsid w:val="00050BF6"/>
    <w:rsid w:val="0005198D"/>
    <w:rsid w:val="00052F94"/>
    <w:rsid w:val="00053E46"/>
    <w:rsid w:val="0005726F"/>
    <w:rsid w:val="00057711"/>
    <w:rsid w:val="00060AA5"/>
    <w:rsid w:val="00061DAA"/>
    <w:rsid w:val="000644DB"/>
    <w:rsid w:val="000650B3"/>
    <w:rsid w:val="00065E14"/>
    <w:rsid w:val="0007056A"/>
    <w:rsid w:val="00071875"/>
    <w:rsid w:val="00071A81"/>
    <w:rsid w:val="0007242E"/>
    <w:rsid w:val="00072C36"/>
    <w:rsid w:val="000738AD"/>
    <w:rsid w:val="00074123"/>
    <w:rsid w:val="000742F7"/>
    <w:rsid w:val="0007515A"/>
    <w:rsid w:val="00076850"/>
    <w:rsid w:val="000807FF"/>
    <w:rsid w:val="000841DA"/>
    <w:rsid w:val="00084604"/>
    <w:rsid w:val="00084608"/>
    <w:rsid w:val="00084C45"/>
    <w:rsid w:val="00086DBA"/>
    <w:rsid w:val="000874E3"/>
    <w:rsid w:val="00090DA6"/>
    <w:rsid w:val="00093D9A"/>
    <w:rsid w:val="00093EF4"/>
    <w:rsid w:val="0009699C"/>
    <w:rsid w:val="000A0001"/>
    <w:rsid w:val="000A0FCA"/>
    <w:rsid w:val="000A1224"/>
    <w:rsid w:val="000A239B"/>
    <w:rsid w:val="000A2C4B"/>
    <w:rsid w:val="000A3240"/>
    <w:rsid w:val="000A79DC"/>
    <w:rsid w:val="000B0583"/>
    <w:rsid w:val="000B0B86"/>
    <w:rsid w:val="000B42F9"/>
    <w:rsid w:val="000B43C0"/>
    <w:rsid w:val="000B4F85"/>
    <w:rsid w:val="000B5DA2"/>
    <w:rsid w:val="000B6EBB"/>
    <w:rsid w:val="000C1495"/>
    <w:rsid w:val="000C19DD"/>
    <w:rsid w:val="000C2E7D"/>
    <w:rsid w:val="000C6EEB"/>
    <w:rsid w:val="000C71C7"/>
    <w:rsid w:val="000D3995"/>
    <w:rsid w:val="000D47AB"/>
    <w:rsid w:val="000D4973"/>
    <w:rsid w:val="000D4AF1"/>
    <w:rsid w:val="000D5719"/>
    <w:rsid w:val="000D646D"/>
    <w:rsid w:val="000D7BDC"/>
    <w:rsid w:val="000E1BAA"/>
    <w:rsid w:val="000E3192"/>
    <w:rsid w:val="000E5860"/>
    <w:rsid w:val="000E6060"/>
    <w:rsid w:val="000E6A61"/>
    <w:rsid w:val="000F1648"/>
    <w:rsid w:val="000F4AC6"/>
    <w:rsid w:val="000F59FF"/>
    <w:rsid w:val="001009B9"/>
    <w:rsid w:val="00100DF8"/>
    <w:rsid w:val="00102080"/>
    <w:rsid w:val="0010260B"/>
    <w:rsid w:val="00105413"/>
    <w:rsid w:val="001058D4"/>
    <w:rsid w:val="00105A55"/>
    <w:rsid w:val="00107AB4"/>
    <w:rsid w:val="001116CA"/>
    <w:rsid w:val="00111911"/>
    <w:rsid w:val="00111974"/>
    <w:rsid w:val="00113C90"/>
    <w:rsid w:val="001149CD"/>
    <w:rsid w:val="00115717"/>
    <w:rsid w:val="00116B91"/>
    <w:rsid w:val="00117BB0"/>
    <w:rsid w:val="00121E2F"/>
    <w:rsid w:val="00122842"/>
    <w:rsid w:val="001235D8"/>
    <w:rsid w:val="001277B9"/>
    <w:rsid w:val="00130055"/>
    <w:rsid w:val="00131885"/>
    <w:rsid w:val="00131A14"/>
    <w:rsid w:val="00132201"/>
    <w:rsid w:val="00134A21"/>
    <w:rsid w:val="00140712"/>
    <w:rsid w:val="00140763"/>
    <w:rsid w:val="00140B44"/>
    <w:rsid w:val="00140FEE"/>
    <w:rsid w:val="001451F8"/>
    <w:rsid w:val="001460CC"/>
    <w:rsid w:val="001475FF"/>
    <w:rsid w:val="0015037B"/>
    <w:rsid w:val="001511FF"/>
    <w:rsid w:val="00152215"/>
    <w:rsid w:val="00153FBB"/>
    <w:rsid w:val="001545F2"/>
    <w:rsid w:val="00155E88"/>
    <w:rsid w:val="00156FE4"/>
    <w:rsid w:val="0016088B"/>
    <w:rsid w:val="00162E77"/>
    <w:rsid w:val="00163F37"/>
    <w:rsid w:val="00164566"/>
    <w:rsid w:val="00166778"/>
    <w:rsid w:val="0016688A"/>
    <w:rsid w:val="00166C08"/>
    <w:rsid w:val="00166F90"/>
    <w:rsid w:val="00171C8E"/>
    <w:rsid w:val="00172307"/>
    <w:rsid w:val="001737B6"/>
    <w:rsid w:val="00173FBF"/>
    <w:rsid w:val="001744C6"/>
    <w:rsid w:val="0017465F"/>
    <w:rsid w:val="00174B44"/>
    <w:rsid w:val="00174BCD"/>
    <w:rsid w:val="00174CC3"/>
    <w:rsid w:val="001756EC"/>
    <w:rsid w:val="0017576B"/>
    <w:rsid w:val="00176C00"/>
    <w:rsid w:val="00176F91"/>
    <w:rsid w:val="001773AA"/>
    <w:rsid w:val="0018096F"/>
    <w:rsid w:val="00180CA9"/>
    <w:rsid w:val="001819E6"/>
    <w:rsid w:val="00182738"/>
    <w:rsid w:val="00183B61"/>
    <w:rsid w:val="00186318"/>
    <w:rsid w:val="00186873"/>
    <w:rsid w:val="001868CB"/>
    <w:rsid w:val="00187669"/>
    <w:rsid w:val="00193436"/>
    <w:rsid w:val="001945EC"/>
    <w:rsid w:val="00195B12"/>
    <w:rsid w:val="001A21D2"/>
    <w:rsid w:val="001A3FBA"/>
    <w:rsid w:val="001A4F9E"/>
    <w:rsid w:val="001A5EDF"/>
    <w:rsid w:val="001A6C86"/>
    <w:rsid w:val="001B1490"/>
    <w:rsid w:val="001B4B76"/>
    <w:rsid w:val="001C0418"/>
    <w:rsid w:val="001C0F2A"/>
    <w:rsid w:val="001C1070"/>
    <w:rsid w:val="001C14A1"/>
    <w:rsid w:val="001C2541"/>
    <w:rsid w:val="001C38B9"/>
    <w:rsid w:val="001C5F4E"/>
    <w:rsid w:val="001C7617"/>
    <w:rsid w:val="001D7D8D"/>
    <w:rsid w:val="001E04F8"/>
    <w:rsid w:val="001E15B0"/>
    <w:rsid w:val="001E26E8"/>
    <w:rsid w:val="001E42A6"/>
    <w:rsid w:val="001E6FCC"/>
    <w:rsid w:val="001E7445"/>
    <w:rsid w:val="001F297B"/>
    <w:rsid w:val="001F4E3D"/>
    <w:rsid w:val="001F7970"/>
    <w:rsid w:val="0020145F"/>
    <w:rsid w:val="002024E2"/>
    <w:rsid w:val="00203609"/>
    <w:rsid w:val="00204D9D"/>
    <w:rsid w:val="002108BA"/>
    <w:rsid w:val="00210DB1"/>
    <w:rsid w:val="0021377C"/>
    <w:rsid w:val="00217AD5"/>
    <w:rsid w:val="00220B63"/>
    <w:rsid w:val="002218BC"/>
    <w:rsid w:val="002219B5"/>
    <w:rsid w:val="0022226D"/>
    <w:rsid w:val="002301AB"/>
    <w:rsid w:val="002308A9"/>
    <w:rsid w:val="00230D29"/>
    <w:rsid w:val="00231BB2"/>
    <w:rsid w:val="00231FA3"/>
    <w:rsid w:val="00232336"/>
    <w:rsid w:val="00234F94"/>
    <w:rsid w:val="00235B28"/>
    <w:rsid w:val="002361FB"/>
    <w:rsid w:val="00236B68"/>
    <w:rsid w:val="00237901"/>
    <w:rsid w:val="00237E71"/>
    <w:rsid w:val="002406D9"/>
    <w:rsid w:val="002435D7"/>
    <w:rsid w:val="00244C4D"/>
    <w:rsid w:val="00245903"/>
    <w:rsid w:val="002502D5"/>
    <w:rsid w:val="00250313"/>
    <w:rsid w:val="002516C6"/>
    <w:rsid w:val="002521FF"/>
    <w:rsid w:val="0025222E"/>
    <w:rsid w:val="00252A9B"/>
    <w:rsid w:val="002530D7"/>
    <w:rsid w:val="00254176"/>
    <w:rsid w:val="0025469C"/>
    <w:rsid w:val="00255530"/>
    <w:rsid w:val="00255C32"/>
    <w:rsid w:val="0025666D"/>
    <w:rsid w:val="00257944"/>
    <w:rsid w:val="002608F3"/>
    <w:rsid w:val="00261A6E"/>
    <w:rsid w:val="0026329B"/>
    <w:rsid w:val="00263EBD"/>
    <w:rsid w:val="00265131"/>
    <w:rsid w:val="0026599C"/>
    <w:rsid w:val="002731EF"/>
    <w:rsid w:val="002743DC"/>
    <w:rsid w:val="0027585A"/>
    <w:rsid w:val="002775DB"/>
    <w:rsid w:val="002817E1"/>
    <w:rsid w:val="00281E64"/>
    <w:rsid w:val="0028237E"/>
    <w:rsid w:val="00282C6E"/>
    <w:rsid w:val="00283D6F"/>
    <w:rsid w:val="002857FD"/>
    <w:rsid w:val="00285F67"/>
    <w:rsid w:val="00291763"/>
    <w:rsid w:val="00291E5B"/>
    <w:rsid w:val="00291FFB"/>
    <w:rsid w:val="00292B24"/>
    <w:rsid w:val="00296BEB"/>
    <w:rsid w:val="002972D2"/>
    <w:rsid w:val="002978F9"/>
    <w:rsid w:val="002A0B80"/>
    <w:rsid w:val="002A14C5"/>
    <w:rsid w:val="002A375D"/>
    <w:rsid w:val="002A3CB2"/>
    <w:rsid w:val="002A45E8"/>
    <w:rsid w:val="002A764F"/>
    <w:rsid w:val="002B16D0"/>
    <w:rsid w:val="002B29C7"/>
    <w:rsid w:val="002B2BBA"/>
    <w:rsid w:val="002B4308"/>
    <w:rsid w:val="002C0EC8"/>
    <w:rsid w:val="002C1F64"/>
    <w:rsid w:val="002C240B"/>
    <w:rsid w:val="002C3C67"/>
    <w:rsid w:val="002C429F"/>
    <w:rsid w:val="002C5E52"/>
    <w:rsid w:val="002C601A"/>
    <w:rsid w:val="002C69A4"/>
    <w:rsid w:val="002D17D6"/>
    <w:rsid w:val="002D4C10"/>
    <w:rsid w:val="002D5CC3"/>
    <w:rsid w:val="002D660A"/>
    <w:rsid w:val="002D7154"/>
    <w:rsid w:val="002D78A5"/>
    <w:rsid w:val="002E0DC9"/>
    <w:rsid w:val="002E0F29"/>
    <w:rsid w:val="002E2644"/>
    <w:rsid w:val="002E3213"/>
    <w:rsid w:val="002E3647"/>
    <w:rsid w:val="002E3E26"/>
    <w:rsid w:val="002E4494"/>
    <w:rsid w:val="002E58CF"/>
    <w:rsid w:val="002E6FDE"/>
    <w:rsid w:val="002E7ACF"/>
    <w:rsid w:val="002F0CDA"/>
    <w:rsid w:val="002F1660"/>
    <w:rsid w:val="002F1B2A"/>
    <w:rsid w:val="002F1B4B"/>
    <w:rsid w:val="002F1C7B"/>
    <w:rsid w:val="002F3682"/>
    <w:rsid w:val="002F3ADD"/>
    <w:rsid w:val="002F3CE6"/>
    <w:rsid w:val="002F4629"/>
    <w:rsid w:val="002F6282"/>
    <w:rsid w:val="002F63F8"/>
    <w:rsid w:val="002F7417"/>
    <w:rsid w:val="003028B3"/>
    <w:rsid w:val="00304B4E"/>
    <w:rsid w:val="00306B1D"/>
    <w:rsid w:val="003071CD"/>
    <w:rsid w:val="00307A87"/>
    <w:rsid w:val="0031179D"/>
    <w:rsid w:val="00311E77"/>
    <w:rsid w:val="00314985"/>
    <w:rsid w:val="003167AC"/>
    <w:rsid w:val="00316CBD"/>
    <w:rsid w:val="00316E8F"/>
    <w:rsid w:val="00317448"/>
    <w:rsid w:val="003175DC"/>
    <w:rsid w:val="00321AA2"/>
    <w:rsid w:val="00322C58"/>
    <w:rsid w:val="00323C75"/>
    <w:rsid w:val="00327700"/>
    <w:rsid w:val="0033052C"/>
    <w:rsid w:val="003316E9"/>
    <w:rsid w:val="00331CF3"/>
    <w:rsid w:val="00332197"/>
    <w:rsid w:val="00334DE4"/>
    <w:rsid w:val="00336F2C"/>
    <w:rsid w:val="003376CD"/>
    <w:rsid w:val="00337BD8"/>
    <w:rsid w:val="00340262"/>
    <w:rsid w:val="00340B8A"/>
    <w:rsid w:val="003412DA"/>
    <w:rsid w:val="003414E7"/>
    <w:rsid w:val="00346350"/>
    <w:rsid w:val="00346E54"/>
    <w:rsid w:val="003477B7"/>
    <w:rsid w:val="003479C3"/>
    <w:rsid w:val="00353F0A"/>
    <w:rsid w:val="00354195"/>
    <w:rsid w:val="00354414"/>
    <w:rsid w:val="0035542E"/>
    <w:rsid w:val="00360100"/>
    <w:rsid w:val="00361E70"/>
    <w:rsid w:val="00362202"/>
    <w:rsid w:val="00363E78"/>
    <w:rsid w:val="00364347"/>
    <w:rsid w:val="003643F8"/>
    <w:rsid w:val="0036641E"/>
    <w:rsid w:val="003711BF"/>
    <w:rsid w:val="00371414"/>
    <w:rsid w:val="00372F3C"/>
    <w:rsid w:val="003802E7"/>
    <w:rsid w:val="003812D0"/>
    <w:rsid w:val="0038144F"/>
    <w:rsid w:val="00381A81"/>
    <w:rsid w:val="00382C86"/>
    <w:rsid w:val="00385105"/>
    <w:rsid w:val="00386023"/>
    <w:rsid w:val="00387C82"/>
    <w:rsid w:val="0039196F"/>
    <w:rsid w:val="00392D01"/>
    <w:rsid w:val="00393B78"/>
    <w:rsid w:val="0039421C"/>
    <w:rsid w:val="00394236"/>
    <w:rsid w:val="00395B3E"/>
    <w:rsid w:val="00396E51"/>
    <w:rsid w:val="0039736B"/>
    <w:rsid w:val="00397F57"/>
    <w:rsid w:val="003A0447"/>
    <w:rsid w:val="003A0B8A"/>
    <w:rsid w:val="003A2900"/>
    <w:rsid w:val="003A390C"/>
    <w:rsid w:val="003A3D8A"/>
    <w:rsid w:val="003A4BCC"/>
    <w:rsid w:val="003A679B"/>
    <w:rsid w:val="003B0615"/>
    <w:rsid w:val="003B0B22"/>
    <w:rsid w:val="003B2BFB"/>
    <w:rsid w:val="003B4D22"/>
    <w:rsid w:val="003C1A72"/>
    <w:rsid w:val="003C1F24"/>
    <w:rsid w:val="003C2173"/>
    <w:rsid w:val="003C4023"/>
    <w:rsid w:val="003C4CAF"/>
    <w:rsid w:val="003D112A"/>
    <w:rsid w:val="003D1D39"/>
    <w:rsid w:val="003D3C51"/>
    <w:rsid w:val="003D4159"/>
    <w:rsid w:val="003E18DF"/>
    <w:rsid w:val="003E282E"/>
    <w:rsid w:val="003E3039"/>
    <w:rsid w:val="003E3E2D"/>
    <w:rsid w:val="003E4ACB"/>
    <w:rsid w:val="003E5CFB"/>
    <w:rsid w:val="003F007D"/>
    <w:rsid w:val="003F2FE7"/>
    <w:rsid w:val="003F4CDB"/>
    <w:rsid w:val="003F5061"/>
    <w:rsid w:val="00401A65"/>
    <w:rsid w:val="0040211C"/>
    <w:rsid w:val="00403355"/>
    <w:rsid w:val="00404E89"/>
    <w:rsid w:val="0040653A"/>
    <w:rsid w:val="0041138E"/>
    <w:rsid w:val="00411404"/>
    <w:rsid w:val="00411A4C"/>
    <w:rsid w:val="004134F4"/>
    <w:rsid w:val="00413EE3"/>
    <w:rsid w:val="00421F60"/>
    <w:rsid w:val="0042476E"/>
    <w:rsid w:val="00424E74"/>
    <w:rsid w:val="00426A6A"/>
    <w:rsid w:val="00427110"/>
    <w:rsid w:val="0042719D"/>
    <w:rsid w:val="0043016A"/>
    <w:rsid w:val="00440FEB"/>
    <w:rsid w:val="00442163"/>
    <w:rsid w:val="00442565"/>
    <w:rsid w:val="00442A7A"/>
    <w:rsid w:val="00442BF6"/>
    <w:rsid w:val="00442D2A"/>
    <w:rsid w:val="00443A15"/>
    <w:rsid w:val="00445A11"/>
    <w:rsid w:val="00446C08"/>
    <w:rsid w:val="004476DE"/>
    <w:rsid w:val="00447E7F"/>
    <w:rsid w:val="00450276"/>
    <w:rsid w:val="004506CC"/>
    <w:rsid w:val="0045095D"/>
    <w:rsid w:val="0045097E"/>
    <w:rsid w:val="004513EB"/>
    <w:rsid w:val="00451755"/>
    <w:rsid w:val="00453708"/>
    <w:rsid w:val="00454F4B"/>
    <w:rsid w:val="0045550A"/>
    <w:rsid w:val="00457E1D"/>
    <w:rsid w:val="00460436"/>
    <w:rsid w:val="00460DE2"/>
    <w:rsid w:val="00460E43"/>
    <w:rsid w:val="00463560"/>
    <w:rsid w:val="00466612"/>
    <w:rsid w:val="00466861"/>
    <w:rsid w:val="00467365"/>
    <w:rsid w:val="00467AB1"/>
    <w:rsid w:val="004709B0"/>
    <w:rsid w:val="004759DB"/>
    <w:rsid w:val="004778D8"/>
    <w:rsid w:val="0048128D"/>
    <w:rsid w:val="004846E4"/>
    <w:rsid w:val="004907DA"/>
    <w:rsid w:val="00490AFD"/>
    <w:rsid w:val="0049134B"/>
    <w:rsid w:val="0049182B"/>
    <w:rsid w:val="00491B4B"/>
    <w:rsid w:val="00493CF1"/>
    <w:rsid w:val="00494933"/>
    <w:rsid w:val="004965CE"/>
    <w:rsid w:val="00496E13"/>
    <w:rsid w:val="004A0649"/>
    <w:rsid w:val="004A0947"/>
    <w:rsid w:val="004A0ABB"/>
    <w:rsid w:val="004A4BD1"/>
    <w:rsid w:val="004B047B"/>
    <w:rsid w:val="004B2BFB"/>
    <w:rsid w:val="004B2DF4"/>
    <w:rsid w:val="004B3923"/>
    <w:rsid w:val="004B3B5E"/>
    <w:rsid w:val="004B5284"/>
    <w:rsid w:val="004B6D7A"/>
    <w:rsid w:val="004B76BB"/>
    <w:rsid w:val="004B7D92"/>
    <w:rsid w:val="004C20AB"/>
    <w:rsid w:val="004C587A"/>
    <w:rsid w:val="004C6B76"/>
    <w:rsid w:val="004D0515"/>
    <w:rsid w:val="004D099A"/>
    <w:rsid w:val="004D1BCA"/>
    <w:rsid w:val="004D1C9D"/>
    <w:rsid w:val="004D1DA4"/>
    <w:rsid w:val="004E1574"/>
    <w:rsid w:val="004E2AB3"/>
    <w:rsid w:val="004E2C09"/>
    <w:rsid w:val="004E3393"/>
    <w:rsid w:val="004E4A45"/>
    <w:rsid w:val="004E4B6F"/>
    <w:rsid w:val="004E5EC0"/>
    <w:rsid w:val="004E7265"/>
    <w:rsid w:val="004F1527"/>
    <w:rsid w:val="004F2735"/>
    <w:rsid w:val="004F307A"/>
    <w:rsid w:val="004F330B"/>
    <w:rsid w:val="004F3ADA"/>
    <w:rsid w:val="004F55C9"/>
    <w:rsid w:val="004F67A9"/>
    <w:rsid w:val="004F73C7"/>
    <w:rsid w:val="00502B32"/>
    <w:rsid w:val="00504F45"/>
    <w:rsid w:val="00507B5A"/>
    <w:rsid w:val="005117CA"/>
    <w:rsid w:val="005127D3"/>
    <w:rsid w:val="00515DB3"/>
    <w:rsid w:val="00515E9D"/>
    <w:rsid w:val="00516EDD"/>
    <w:rsid w:val="005200CA"/>
    <w:rsid w:val="0052077C"/>
    <w:rsid w:val="00521F1D"/>
    <w:rsid w:val="005232D6"/>
    <w:rsid w:val="00525C1B"/>
    <w:rsid w:val="005261C1"/>
    <w:rsid w:val="00532A06"/>
    <w:rsid w:val="005356B5"/>
    <w:rsid w:val="00536754"/>
    <w:rsid w:val="00536B00"/>
    <w:rsid w:val="005378C5"/>
    <w:rsid w:val="00541D29"/>
    <w:rsid w:val="005425D7"/>
    <w:rsid w:val="00542F5A"/>
    <w:rsid w:val="00544623"/>
    <w:rsid w:val="005469DE"/>
    <w:rsid w:val="005475F2"/>
    <w:rsid w:val="0055033B"/>
    <w:rsid w:val="005505E5"/>
    <w:rsid w:val="00550C7C"/>
    <w:rsid w:val="00551864"/>
    <w:rsid w:val="00551B4D"/>
    <w:rsid w:val="00554121"/>
    <w:rsid w:val="005554F5"/>
    <w:rsid w:val="0055555A"/>
    <w:rsid w:val="005563D4"/>
    <w:rsid w:val="00556EAD"/>
    <w:rsid w:val="00557239"/>
    <w:rsid w:val="005573A8"/>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BEE"/>
    <w:rsid w:val="00584B8E"/>
    <w:rsid w:val="00587C5A"/>
    <w:rsid w:val="00590322"/>
    <w:rsid w:val="005917C1"/>
    <w:rsid w:val="00594B4A"/>
    <w:rsid w:val="005954B1"/>
    <w:rsid w:val="005A0EC4"/>
    <w:rsid w:val="005A693F"/>
    <w:rsid w:val="005B1168"/>
    <w:rsid w:val="005B1ACA"/>
    <w:rsid w:val="005B2ED9"/>
    <w:rsid w:val="005B40E5"/>
    <w:rsid w:val="005C021F"/>
    <w:rsid w:val="005C0423"/>
    <w:rsid w:val="005C0A6E"/>
    <w:rsid w:val="005C0D2D"/>
    <w:rsid w:val="005C2215"/>
    <w:rsid w:val="005C22CA"/>
    <w:rsid w:val="005C2F47"/>
    <w:rsid w:val="005C493F"/>
    <w:rsid w:val="005C532B"/>
    <w:rsid w:val="005C6411"/>
    <w:rsid w:val="005C6CD5"/>
    <w:rsid w:val="005C771E"/>
    <w:rsid w:val="005D06C9"/>
    <w:rsid w:val="005D1E0A"/>
    <w:rsid w:val="005D1E7F"/>
    <w:rsid w:val="005D3CEF"/>
    <w:rsid w:val="005D3FB8"/>
    <w:rsid w:val="005D43B8"/>
    <w:rsid w:val="005D5553"/>
    <w:rsid w:val="005D6316"/>
    <w:rsid w:val="005E19C2"/>
    <w:rsid w:val="005E306A"/>
    <w:rsid w:val="005E3622"/>
    <w:rsid w:val="005E56AE"/>
    <w:rsid w:val="005E67EF"/>
    <w:rsid w:val="005E797B"/>
    <w:rsid w:val="005E7A94"/>
    <w:rsid w:val="005F07E9"/>
    <w:rsid w:val="005F1D7F"/>
    <w:rsid w:val="005F5744"/>
    <w:rsid w:val="00600AF9"/>
    <w:rsid w:val="006055F4"/>
    <w:rsid w:val="006068F7"/>
    <w:rsid w:val="00610140"/>
    <w:rsid w:val="0061080D"/>
    <w:rsid w:val="00610894"/>
    <w:rsid w:val="00611626"/>
    <w:rsid w:val="0061200D"/>
    <w:rsid w:val="006130EE"/>
    <w:rsid w:val="00613599"/>
    <w:rsid w:val="00615B70"/>
    <w:rsid w:val="006167DB"/>
    <w:rsid w:val="00617DFF"/>
    <w:rsid w:val="00617E5C"/>
    <w:rsid w:val="00620094"/>
    <w:rsid w:val="00621173"/>
    <w:rsid w:val="0062162D"/>
    <w:rsid w:val="00623672"/>
    <w:rsid w:val="0062444A"/>
    <w:rsid w:val="00624AEF"/>
    <w:rsid w:val="0062659E"/>
    <w:rsid w:val="00626DAC"/>
    <w:rsid w:val="00627C19"/>
    <w:rsid w:val="00627DE7"/>
    <w:rsid w:val="006314B9"/>
    <w:rsid w:val="00631555"/>
    <w:rsid w:val="00632F4E"/>
    <w:rsid w:val="006331A2"/>
    <w:rsid w:val="006342D9"/>
    <w:rsid w:val="00634658"/>
    <w:rsid w:val="00634787"/>
    <w:rsid w:val="00640C9C"/>
    <w:rsid w:val="00640DD5"/>
    <w:rsid w:val="00641A51"/>
    <w:rsid w:val="00643797"/>
    <w:rsid w:val="006439EA"/>
    <w:rsid w:val="00643FBF"/>
    <w:rsid w:val="006451FA"/>
    <w:rsid w:val="0064538F"/>
    <w:rsid w:val="00650430"/>
    <w:rsid w:val="00650582"/>
    <w:rsid w:val="00651AC2"/>
    <w:rsid w:val="00654B02"/>
    <w:rsid w:val="006553D1"/>
    <w:rsid w:val="006575D2"/>
    <w:rsid w:val="00657642"/>
    <w:rsid w:val="00660A13"/>
    <w:rsid w:val="00660C7A"/>
    <w:rsid w:val="00660C8A"/>
    <w:rsid w:val="006619DC"/>
    <w:rsid w:val="00661AA7"/>
    <w:rsid w:val="00662828"/>
    <w:rsid w:val="006646E8"/>
    <w:rsid w:val="006663D0"/>
    <w:rsid w:val="00670FB1"/>
    <w:rsid w:val="0067215A"/>
    <w:rsid w:val="00673A89"/>
    <w:rsid w:val="0067456E"/>
    <w:rsid w:val="006748EE"/>
    <w:rsid w:val="00675122"/>
    <w:rsid w:val="00675F26"/>
    <w:rsid w:val="00682B7E"/>
    <w:rsid w:val="006859BA"/>
    <w:rsid w:val="00690C93"/>
    <w:rsid w:val="0069122E"/>
    <w:rsid w:val="00691D14"/>
    <w:rsid w:val="00694624"/>
    <w:rsid w:val="00695441"/>
    <w:rsid w:val="00695980"/>
    <w:rsid w:val="00696388"/>
    <w:rsid w:val="006970E9"/>
    <w:rsid w:val="006A01A0"/>
    <w:rsid w:val="006A0819"/>
    <w:rsid w:val="006A114D"/>
    <w:rsid w:val="006A5321"/>
    <w:rsid w:val="006A62EE"/>
    <w:rsid w:val="006A687C"/>
    <w:rsid w:val="006A6BFF"/>
    <w:rsid w:val="006B166E"/>
    <w:rsid w:val="006B1EB1"/>
    <w:rsid w:val="006B394A"/>
    <w:rsid w:val="006B3D25"/>
    <w:rsid w:val="006B792C"/>
    <w:rsid w:val="006C08FA"/>
    <w:rsid w:val="006C28D8"/>
    <w:rsid w:val="006C2DAB"/>
    <w:rsid w:val="006C6752"/>
    <w:rsid w:val="006C7116"/>
    <w:rsid w:val="006C7B04"/>
    <w:rsid w:val="006C7BEF"/>
    <w:rsid w:val="006D2660"/>
    <w:rsid w:val="006D3877"/>
    <w:rsid w:val="006D4E8F"/>
    <w:rsid w:val="006D518C"/>
    <w:rsid w:val="006D579F"/>
    <w:rsid w:val="006E0830"/>
    <w:rsid w:val="006E4B4F"/>
    <w:rsid w:val="006E5760"/>
    <w:rsid w:val="006E608A"/>
    <w:rsid w:val="006E621A"/>
    <w:rsid w:val="006E69A7"/>
    <w:rsid w:val="006E6EAA"/>
    <w:rsid w:val="006F060A"/>
    <w:rsid w:val="006F0678"/>
    <w:rsid w:val="006F1B14"/>
    <w:rsid w:val="006F3E36"/>
    <w:rsid w:val="006F49C7"/>
    <w:rsid w:val="006F4DB7"/>
    <w:rsid w:val="006F58B0"/>
    <w:rsid w:val="006F6733"/>
    <w:rsid w:val="006F7FB2"/>
    <w:rsid w:val="00700166"/>
    <w:rsid w:val="00701D95"/>
    <w:rsid w:val="00703D80"/>
    <w:rsid w:val="007062B8"/>
    <w:rsid w:val="00707B5E"/>
    <w:rsid w:val="007102D3"/>
    <w:rsid w:val="007110AF"/>
    <w:rsid w:val="00714B74"/>
    <w:rsid w:val="00724C08"/>
    <w:rsid w:val="0072697B"/>
    <w:rsid w:val="00730BC7"/>
    <w:rsid w:val="00730C3D"/>
    <w:rsid w:val="007329E1"/>
    <w:rsid w:val="0073598E"/>
    <w:rsid w:val="007361CC"/>
    <w:rsid w:val="00737D58"/>
    <w:rsid w:val="00740863"/>
    <w:rsid w:val="0074137C"/>
    <w:rsid w:val="00741DA8"/>
    <w:rsid w:val="00742E84"/>
    <w:rsid w:val="00743683"/>
    <w:rsid w:val="00743A12"/>
    <w:rsid w:val="00753854"/>
    <w:rsid w:val="0075479C"/>
    <w:rsid w:val="00755B70"/>
    <w:rsid w:val="00756248"/>
    <w:rsid w:val="00756A49"/>
    <w:rsid w:val="007602B9"/>
    <w:rsid w:val="00761D36"/>
    <w:rsid w:val="0076272C"/>
    <w:rsid w:val="007635CE"/>
    <w:rsid w:val="0076678E"/>
    <w:rsid w:val="0076717F"/>
    <w:rsid w:val="0077027E"/>
    <w:rsid w:val="00770759"/>
    <w:rsid w:val="00772342"/>
    <w:rsid w:val="007736DF"/>
    <w:rsid w:val="00773AC4"/>
    <w:rsid w:val="00773B5B"/>
    <w:rsid w:val="00773E0E"/>
    <w:rsid w:val="007768C7"/>
    <w:rsid w:val="007807DE"/>
    <w:rsid w:val="00782F5F"/>
    <w:rsid w:val="0078488C"/>
    <w:rsid w:val="00791F5C"/>
    <w:rsid w:val="007929DB"/>
    <w:rsid w:val="00792E5D"/>
    <w:rsid w:val="007939CA"/>
    <w:rsid w:val="00795569"/>
    <w:rsid w:val="00795ECE"/>
    <w:rsid w:val="0079609A"/>
    <w:rsid w:val="007A0574"/>
    <w:rsid w:val="007A05AD"/>
    <w:rsid w:val="007A0E93"/>
    <w:rsid w:val="007A4896"/>
    <w:rsid w:val="007A5255"/>
    <w:rsid w:val="007A770A"/>
    <w:rsid w:val="007A7FCF"/>
    <w:rsid w:val="007B0C0E"/>
    <w:rsid w:val="007B0FB5"/>
    <w:rsid w:val="007B178B"/>
    <w:rsid w:val="007B3A9E"/>
    <w:rsid w:val="007B5780"/>
    <w:rsid w:val="007B5CA1"/>
    <w:rsid w:val="007B7D73"/>
    <w:rsid w:val="007C1E79"/>
    <w:rsid w:val="007C4944"/>
    <w:rsid w:val="007C54CB"/>
    <w:rsid w:val="007C5517"/>
    <w:rsid w:val="007D4FF9"/>
    <w:rsid w:val="007E1BB9"/>
    <w:rsid w:val="007E3ED3"/>
    <w:rsid w:val="007E4E9D"/>
    <w:rsid w:val="007E5B14"/>
    <w:rsid w:val="007E7320"/>
    <w:rsid w:val="007E76B7"/>
    <w:rsid w:val="007F04AE"/>
    <w:rsid w:val="007F1968"/>
    <w:rsid w:val="007F34A5"/>
    <w:rsid w:val="007F58C3"/>
    <w:rsid w:val="007F590E"/>
    <w:rsid w:val="007F5A38"/>
    <w:rsid w:val="007F5D12"/>
    <w:rsid w:val="007F67C3"/>
    <w:rsid w:val="0080028D"/>
    <w:rsid w:val="0080052B"/>
    <w:rsid w:val="00805C12"/>
    <w:rsid w:val="0080666E"/>
    <w:rsid w:val="00811606"/>
    <w:rsid w:val="00811FA7"/>
    <w:rsid w:val="008129B2"/>
    <w:rsid w:val="00813396"/>
    <w:rsid w:val="00814E45"/>
    <w:rsid w:val="008155BA"/>
    <w:rsid w:val="008162B7"/>
    <w:rsid w:val="00816313"/>
    <w:rsid w:val="00816C0F"/>
    <w:rsid w:val="0081792D"/>
    <w:rsid w:val="00822038"/>
    <w:rsid w:val="00822897"/>
    <w:rsid w:val="00823A4E"/>
    <w:rsid w:val="00823E2B"/>
    <w:rsid w:val="00826AE7"/>
    <w:rsid w:val="00826F0B"/>
    <w:rsid w:val="00830D32"/>
    <w:rsid w:val="00831041"/>
    <w:rsid w:val="008339F4"/>
    <w:rsid w:val="00833A07"/>
    <w:rsid w:val="00835434"/>
    <w:rsid w:val="00836176"/>
    <w:rsid w:val="00836E7F"/>
    <w:rsid w:val="00837DF2"/>
    <w:rsid w:val="00842094"/>
    <w:rsid w:val="0084463F"/>
    <w:rsid w:val="0084528D"/>
    <w:rsid w:val="00850A64"/>
    <w:rsid w:val="00855A46"/>
    <w:rsid w:val="00855C4E"/>
    <w:rsid w:val="008564EA"/>
    <w:rsid w:val="00857079"/>
    <w:rsid w:val="00860631"/>
    <w:rsid w:val="00860D54"/>
    <w:rsid w:val="008636F9"/>
    <w:rsid w:val="0086476C"/>
    <w:rsid w:val="00865CE8"/>
    <w:rsid w:val="008664EB"/>
    <w:rsid w:val="00867D68"/>
    <w:rsid w:val="00870469"/>
    <w:rsid w:val="00873466"/>
    <w:rsid w:val="008744EA"/>
    <w:rsid w:val="00874DE9"/>
    <w:rsid w:val="00875F25"/>
    <w:rsid w:val="0087715C"/>
    <w:rsid w:val="00877D3C"/>
    <w:rsid w:val="00880496"/>
    <w:rsid w:val="00882E60"/>
    <w:rsid w:val="00882F96"/>
    <w:rsid w:val="008844A2"/>
    <w:rsid w:val="008845A9"/>
    <w:rsid w:val="008860FC"/>
    <w:rsid w:val="00886D3A"/>
    <w:rsid w:val="008874C1"/>
    <w:rsid w:val="00890513"/>
    <w:rsid w:val="0089070C"/>
    <w:rsid w:val="00890B68"/>
    <w:rsid w:val="0089260E"/>
    <w:rsid w:val="00892D49"/>
    <w:rsid w:val="008932A3"/>
    <w:rsid w:val="00893CB8"/>
    <w:rsid w:val="00894CA7"/>
    <w:rsid w:val="00894FB2"/>
    <w:rsid w:val="00895002"/>
    <w:rsid w:val="00895BD8"/>
    <w:rsid w:val="0089655B"/>
    <w:rsid w:val="00896C0D"/>
    <w:rsid w:val="00896D03"/>
    <w:rsid w:val="00896EB1"/>
    <w:rsid w:val="008972D1"/>
    <w:rsid w:val="00897BC8"/>
    <w:rsid w:val="008A0838"/>
    <w:rsid w:val="008A13E7"/>
    <w:rsid w:val="008A252E"/>
    <w:rsid w:val="008A3F35"/>
    <w:rsid w:val="008A581A"/>
    <w:rsid w:val="008A5F7F"/>
    <w:rsid w:val="008A63E2"/>
    <w:rsid w:val="008A6630"/>
    <w:rsid w:val="008A6DB9"/>
    <w:rsid w:val="008A7107"/>
    <w:rsid w:val="008A7D83"/>
    <w:rsid w:val="008B0154"/>
    <w:rsid w:val="008B1963"/>
    <w:rsid w:val="008B20D0"/>
    <w:rsid w:val="008B24F2"/>
    <w:rsid w:val="008B2769"/>
    <w:rsid w:val="008B37F0"/>
    <w:rsid w:val="008B3E4E"/>
    <w:rsid w:val="008B41BC"/>
    <w:rsid w:val="008B4702"/>
    <w:rsid w:val="008B65B4"/>
    <w:rsid w:val="008C0F54"/>
    <w:rsid w:val="008C1C56"/>
    <w:rsid w:val="008C5503"/>
    <w:rsid w:val="008C5726"/>
    <w:rsid w:val="008C798A"/>
    <w:rsid w:val="008D1C86"/>
    <w:rsid w:val="008D47F6"/>
    <w:rsid w:val="008D6371"/>
    <w:rsid w:val="008E1296"/>
    <w:rsid w:val="008E270A"/>
    <w:rsid w:val="008E672E"/>
    <w:rsid w:val="008E72E3"/>
    <w:rsid w:val="008F4B7D"/>
    <w:rsid w:val="008F4B82"/>
    <w:rsid w:val="009130AF"/>
    <w:rsid w:val="00913825"/>
    <w:rsid w:val="009140B9"/>
    <w:rsid w:val="009141C1"/>
    <w:rsid w:val="009148CA"/>
    <w:rsid w:val="00914EA8"/>
    <w:rsid w:val="0091664E"/>
    <w:rsid w:val="009169A4"/>
    <w:rsid w:val="009170B7"/>
    <w:rsid w:val="00920236"/>
    <w:rsid w:val="009206A6"/>
    <w:rsid w:val="009219D9"/>
    <w:rsid w:val="0092287E"/>
    <w:rsid w:val="0092347C"/>
    <w:rsid w:val="0092472D"/>
    <w:rsid w:val="00925F58"/>
    <w:rsid w:val="009262AA"/>
    <w:rsid w:val="00926438"/>
    <w:rsid w:val="009323CA"/>
    <w:rsid w:val="0093291C"/>
    <w:rsid w:val="00932DD8"/>
    <w:rsid w:val="00933213"/>
    <w:rsid w:val="00933E80"/>
    <w:rsid w:val="009343D3"/>
    <w:rsid w:val="00937D2C"/>
    <w:rsid w:val="009411C1"/>
    <w:rsid w:val="00942366"/>
    <w:rsid w:val="00943329"/>
    <w:rsid w:val="00943ED3"/>
    <w:rsid w:val="009443D6"/>
    <w:rsid w:val="009445E7"/>
    <w:rsid w:val="0094654A"/>
    <w:rsid w:val="0094736B"/>
    <w:rsid w:val="0095004D"/>
    <w:rsid w:val="009515AA"/>
    <w:rsid w:val="00951DAA"/>
    <w:rsid w:val="009524D9"/>
    <w:rsid w:val="009526E8"/>
    <w:rsid w:val="00952AF7"/>
    <w:rsid w:val="00953DDB"/>
    <w:rsid w:val="00955094"/>
    <w:rsid w:val="00960B49"/>
    <w:rsid w:val="009648C3"/>
    <w:rsid w:val="00964DD4"/>
    <w:rsid w:val="009669F1"/>
    <w:rsid w:val="00966BA6"/>
    <w:rsid w:val="0096732C"/>
    <w:rsid w:val="009675A9"/>
    <w:rsid w:val="009714E6"/>
    <w:rsid w:val="00971553"/>
    <w:rsid w:val="009717A1"/>
    <w:rsid w:val="00976B7D"/>
    <w:rsid w:val="009774D1"/>
    <w:rsid w:val="00977737"/>
    <w:rsid w:val="00981C70"/>
    <w:rsid w:val="00982654"/>
    <w:rsid w:val="00982B60"/>
    <w:rsid w:val="00983A76"/>
    <w:rsid w:val="009878F0"/>
    <w:rsid w:val="00987AB7"/>
    <w:rsid w:val="00987FB6"/>
    <w:rsid w:val="00990761"/>
    <w:rsid w:val="00992467"/>
    <w:rsid w:val="009972A2"/>
    <w:rsid w:val="0099783F"/>
    <w:rsid w:val="009A0B29"/>
    <w:rsid w:val="009A106A"/>
    <w:rsid w:val="009A13D9"/>
    <w:rsid w:val="009A15D9"/>
    <w:rsid w:val="009A1711"/>
    <w:rsid w:val="009A181B"/>
    <w:rsid w:val="009A1C23"/>
    <w:rsid w:val="009A36DD"/>
    <w:rsid w:val="009A4508"/>
    <w:rsid w:val="009A6A40"/>
    <w:rsid w:val="009B1B6B"/>
    <w:rsid w:val="009B2A0E"/>
    <w:rsid w:val="009B462A"/>
    <w:rsid w:val="009B52AF"/>
    <w:rsid w:val="009B5606"/>
    <w:rsid w:val="009B603A"/>
    <w:rsid w:val="009B7956"/>
    <w:rsid w:val="009C057C"/>
    <w:rsid w:val="009C0945"/>
    <w:rsid w:val="009C0F33"/>
    <w:rsid w:val="009C1E6B"/>
    <w:rsid w:val="009C4651"/>
    <w:rsid w:val="009C5CDE"/>
    <w:rsid w:val="009C6162"/>
    <w:rsid w:val="009C74AB"/>
    <w:rsid w:val="009D26B5"/>
    <w:rsid w:val="009D3151"/>
    <w:rsid w:val="009D42AA"/>
    <w:rsid w:val="009D5A7B"/>
    <w:rsid w:val="009D7CB0"/>
    <w:rsid w:val="009E013E"/>
    <w:rsid w:val="009E2682"/>
    <w:rsid w:val="009E44F2"/>
    <w:rsid w:val="009E4A2E"/>
    <w:rsid w:val="009E4D8D"/>
    <w:rsid w:val="009E6453"/>
    <w:rsid w:val="009F19E8"/>
    <w:rsid w:val="009F1C9C"/>
    <w:rsid w:val="009F272A"/>
    <w:rsid w:val="009F2830"/>
    <w:rsid w:val="009F3181"/>
    <w:rsid w:val="009F6EB6"/>
    <w:rsid w:val="009F790B"/>
    <w:rsid w:val="009F7EB5"/>
    <w:rsid w:val="00A01E81"/>
    <w:rsid w:val="00A04AD3"/>
    <w:rsid w:val="00A073CB"/>
    <w:rsid w:val="00A07D5A"/>
    <w:rsid w:val="00A1037F"/>
    <w:rsid w:val="00A11CAC"/>
    <w:rsid w:val="00A1419D"/>
    <w:rsid w:val="00A14C86"/>
    <w:rsid w:val="00A14CD4"/>
    <w:rsid w:val="00A1734E"/>
    <w:rsid w:val="00A17C3A"/>
    <w:rsid w:val="00A223EC"/>
    <w:rsid w:val="00A262DF"/>
    <w:rsid w:val="00A2684A"/>
    <w:rsid w:val="00A27EB6"/>
    <w:rsid w:val="00A30440"/>
    <w:rsid w:val="00A325AB"/>
    <w:rsid w:val="00A41316"/>
    <w:rsid w:val="00A45F59"/>
    <w:rsid w:val="00A5218C"/>
    <w:rsid w:val="00A52469"/>
    <w:rsid w:val="00A52E02"/>
    <w:rsid w:val="00A57EA4"/>
    <w:rsid w:val="00A60213"/>
    <w:rsid w:val="00A6114B"/>
    <w:rsid w:val="00A615E8"/>
    <w:rsid w:val="00A61C0E"/>
    <w:rsid w:val="00A645D8"/>
    <w:rsid w:val="00A670FB"/>
    <w:rsid w:val="00A72343"/>
    <w:rsid w:val="00A730DC"/>
    <w:rsid w:val="00A73A66"/>
    <w:rsid w:val="00A75687"/>
    <w:rsid w:val="00A762AA"/>
    <w:rsid w:val="00A76F02"/>
    <w:rsid w:val="00A77399"/>
    <w:rsid w:val="00A77981"/>
    <w:rsid w:val="00A82B9E"/>
    <w:rsid w:val="00A82D0D"/>
    <w:rsid w:val="00A83597"/>
    <w:rsid w:val="00A841DE"/>
    <w:rsid w:val="00A8559D"/>
    <w:rsid w:val="00A931A3"/>
    <w:rsid w:val="00A9408A"/>
    <w:rsid w:val="00A96795"/>
    <w:rsid w:val="00A96A6A"/>
    <w:rsid w:val="00A96E27"/>
    <w:rsid w:val="00A97343"/>
    <w:rsid w:val="00AA1DAF"/>
    <w:rsid w:val="00AA236F"/>
    <w:rsid w:val="00AA2E90"/>
    <w:rsid w:val="00AA37BC"/>
    <w:rsid w:val="00AA4A29"/>
    <w:rsid w:val="00AA651C"/>
    <w:rsid w:val="00AA74C1"/>
    <w:rsid w:val="00AA7A1B"/>
    <w:rsid w:val="00AB236A"/>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4E03"/>
    <w:rsid w:val="00AE53C0"/>
    <w:rsid w:val="00AE64EF"/>
    <w:rsid w:val="00AE7215"/>
    <w:rsid w:val="00AF2763"/>
    <w:rsid w:val="00AF2BA7"/>
    <w:rsid w:val="00AF306C"/>
    <w:rsid w:val="00AF420E"/>
    <w:rsid w:val="00AF6040"/>
    <w:rsid w:val="00AF653C"/>
    <w:rsid w:val="00AF7938"/>
    <w:rsid w:val="00B0030B"/>
    <w:rsid w:val="00B00681"/>
    <w:rsid w:val="00B00A5E"/>
    <w:rsid w:val="00B00E83"/>
    <w:rsid w:val="00B0395F"/>
    <w:rsid w:val="00B064A0"/>
    <w:rsid w:val="00B071DB"/>
    <w:rsid w:val="00B135D7"/>
    <w:rsid w:val="00B1388C"/>
    <w:rsid w:val="00B1397B"/>
    <w:rsid w:val="00B13FE9"/>
    <w:rsid w:val="00B14691"/>
    <w:rsid w:val="00B162CD"/>
    <w:rsid w:val="00B23279"/>
    <w:rsid w:val="00B2531F"/>
    <w:rsid w:val="00B2585A"/>
    <w:rsid w:val="00B25898"/>
    <w:rsid w:val="00B25B77"/>
    <w:rsid w:val="00B2629D"/>
    <w:rsid w:val="00B31011"/>
    <w:rsid w:val="00B316F7"/>
    <w:rsid w:val="00B34926"/>
    <w:rsid w:val="00B36811"/>
    <w:rsid w:val="00B370B2"/>
    <w:rsid w:val="00B371D4"/>
    <w:rsid w:val="00B401C1"/>
    <w:rsid w:val="00B40456"/>
    <w:rsid w:val="00B40AF8"/>
    <w:rsid w:val="00B426C6"/>
    <w:rsid w:val="00B432FD"/>
    <w:rsid w:val="00B44219"/>
    <w:rsid w:val="00B445C8"/>
    <w:rsid w:val="00B45117"/>
    <w:rsid w:val="00B45F40"/>
    <w:rsid w:val="00B524BD"/>
    <w:rsid w:val="00B53037"/>
    <w:rsid w:val="00B5315D"/>
    <w:rsid w:val="00B55FC5"/>
    <w:rsid w:val="00B60178"/>
    <w:rsid w:val="00B60EC4"/>
    <w:rsid w:val="00B61DE8"/>
    <w:rsid w:val="00B634D4"/>
    <w:rsid w:val="00B64313"/>
    <w:rsid w:val="00B64829"/>
    <w:rsid w:val="00B650A2"/>
    <w:rsid w:val="00B6548E"/>
    <w:rsid w:val="00B65667"/>
    <w:rsid w:val="00B6639B"/>
    <w:rsid w:val="00B66CB7"/>
    <w:rsid w:val="00B66CC0"/>
    <w:rsid w:val="00B7053E"/>
    <w:rsid w:val="00B71FC4"/>
    <w:rsid w:val="00B748E1"/>
    <w:rsid w:val="00B767AE"/>
    <w:rsid w:val="00B76BDF"/>
    <w:rsid w:val="00B76D6D"/>
    <w:rsid w:val="00B80D2B"/>
    <w:rsid w:val="00B82B8B"/>
    <w:rsid w:val="00B84330"/>
    <w:rsid w:val="00B875CA"/>
    <w:rsid w:val="00B87F2A"/>
    <w:rsid w:val="00B91356"/>
    <w:rsid w:val="00B94E68"/>
    <w:rsid w:val="00B973A1"/>
    <w:rsid w:val="00B97C78"/>
    <w:rsid w:val="00BA05F4"/>
    <w:rsid w:val="00BA13A5"/>
    <w:rsid w:val="00BA1CC0"/>
    <w:rsid w:val="00BA5F96"/>
    <w:rsid w:val="00BA7A2C"/>
    <w:rsid w:val="00BB096A"/>
    <w:rsid w:val="00BB142E"/>
    <w:rsid w:val="00BB226D"/>
    <w:rsid w:val="00BB24FD"/>
    <w:rsid w:val="00BB34CA"/>
    <w:rsid w:val="00BB3B00"/>
    <w:rsid w:val="00BB3B04"/>
    <w:rsid w:val="00BB5FF4"/>
    <w:rsid w:val="00BC00A7"/>
    <w:rsid w:val="00BC04D5"/>
    <w:rsid w:val="00BC13CC"/>
    <w:rsid w:val="00BC32F2"/>
    <w:rsid w:val="00BC4BE2"/>
    <w:rsid w:val="00BC6211"/>
    <w:rsid w:val="00BC7E45"/>
    <w:rsid w:val="00BD0BA8"/>
    <w:rsid w:val="00BD1AF4"/>
    <w:rsid w:val="00BD32FB"/>
    <w:rsid w:val="00BD3693"/>
    <w:rsid w:val="00BD3FA1"/>
    <w:rsid w:val="00BD7409"/>
    <w:rsid w:val="00BD7CA7"/>
    <w:rsid w:val="00BE1260"/>
    <w:rsid w:val="00BE3AB7"/>
    <w:rsid w:val="00BE41AA"/>
    <w:rsid w:val="00BE4FA9"/>
    <w:rsid w:val="00BE7F85"/>
    <w:rsid w:val="00BF0B27"/>
    <w:rsid w:val="00BF33EF"/>
    <w:rsid w:val="00BF363C"/>
    <w:rsid w:val="00BF5CE2"/>
    <w:rsid w:val="00BF6CA6"/>
    <w:rsid w:val="00BF72BA"/>
    <w:rsid w:val="00C01B26"/>
    <w:rsid w:val="00C01B39"/>
    <w:rsid w:val="00C01ECD"/>
    <w:rsid w:val="00C02783"/>
    <w:rsid w:val="00C04D0B"/>
    <w:rsid w:val="00C05052"/>
    <w:rsid w:val="00C07579"/>
    <w:rsid w:val="00C10F0A"/>
    <w:rsid w:val="00C12EFE"/>
    <w:rsid w:val="00C14310"/>
    <w:rsid w:val="00C1528C"/>
    <w:rsid w:val="00C17C3A"/>
    <w:rsid w:val="00C21AE0"/>
    <w:rsid w:val="00C228CA"/>
    <w:rsid w:val="00C22EE7"/>
    <w:rsid w:val="00C253A1"/>
    <w:rsid w:val="00C27776"/>
    <w:rsid w:val="00C27961"/>
    <w:rsid w:val="00C27E06"/>
    <w:rsid w:val="00C328EF"/>
    <w:rsid w:val="00C35B2B"/>
    <w:rsid w:val="00C36857"/>
    <w:rsid w:val="00C40E95"/>
    <w:rsid w:val="00C41006"/>
    <w:rsid w:val="00C427E3"/>
    <w:rsid w:val="00C44C76"/>
    <w:rsid w:val="00C45B53"/>
    <w:rsid w:val="00C4790A"/>
    <w:rsid w:val="00C47DFF"/>
    <w:rsid w:val="00C50538"/>
    <w:rsid w:val="00C50E71"/>
    <w:rsid w:val="00C54129"/>
    <w:rsid w:val="00C56AE3"/>
    <w:rsid w:val="00C610B0"/>
    <w:rsid w:val="00C6227C"/>
    <w:rsid w:val="00C64C77"/>
    <w:rsid w:val="00C66CC9"/>
    <w:rsid w:val="00C675E2"/>
    <w:rsid w:val="00C70B5F"/>
    <w:rsid w:val="00C70F5B"/>
    <w:rsid w:val="00C737DC"/>
    <w:rsid w:val="00C742C8"/>
    <w:rsid w:val="00C7535D"/>
    <w:rsid w:val="00C77196"/>
    <w:rsid w:val="00C82545"/>
    <w:rsid w:val="00C825EE"/>
    <w:rsid w:val="00C828B0"/>
    <w:rsid w:val="00C83561"/>
    <w:rsid w:val="00C84709"/>
    <w:rsid w:val="00C86473"/>
    <w:rsid w:val="00C879D3"/>
    <w:rsid w:val="00C90043"/>
    <w:rsid w:val="00C90C6F"/>
    <w:rsid w:val="00C91D90"/>
    <w:rsid w:val="00C91F35"/>
    <w:rsid w:val="00C9379B"/>
    <w:rsid w:val="00C937ED"/>
    <w:rsid w:val="00C94CE9"/>
    <w:rsid w:val="00C9694F"/>
    <w:rsid w:val="00C978AB"/>
    <w:rsid w:val="00CA07E7"/>
    <w:rsid w:val="00CA112C"/>
    <w:rsid w:val="00CA2DA3"/>
    <w:rsid w:val="00CA2F0C"/>
    <w:rsid w:val="00CA4851"/>
    <w:rsid w:val="00CA74AC"/>
    <w:rsid w:val="00CB0612"/>
    <w:rsid w:val="00CB0C8A"/>
    <w:rsid w:val="00CB10F1"/>
    <w:rsid w:val="00CB1375"/>
    <w:rsid w:val="00CB2772"/>
    <w:rsid w:val="00CB3DAF"/>
    <w:rsid w:val="00CB60B6"/>
    <w:rsid w:val="00CB629F"/>
    <w:rsid w:val="00CB6A6E"/>
    <w:rsid w:val="00CB6EF4"/>
    <w:rsid w:val="00CC118C"/>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6CB2"/>
    <w:rsid w:val="00CF06AE"/>
    <w:rsid w:val="00CF10AF"/>
    <w:rsid w:val="00CF2402"/>
    <w:rsid w:val="00CF3496"/>
    <w:rsid w:val="00CF4274"/>
    <w:rsid w:val="00CF5A27"/>
    <w:rsid w:val="00CF5CE8"/>
    <w:rsid w:val="00CF666C"/>
    <w:rsid w:val="00CF6B8A"/>
    <w:rsid w:val="00D01E9D"/>
    <w:rsid w:val="00D02679"/>
    <w:rsid w:val="00D0278F"/>
    <w:rsid w:val="00D03164"/>
    <w:rsid w:val="00D038EC"/>
    <w:rsid w:val="00D03F0F"/>
    <w:rsid w:val="00D148FE"/>
    <w:rsid w:val="00D20BA9"/>
    <w:rsid w:val="00D22BFC"/>
    <w:rsid w:val="00D22D6A"/>
    <w:rsid w:val="00D24C85"/>
    <w:rsid w:val="00D25461"/>
    <w:rsid w:val="00D30343"/>
    <w:rsid w:val="00D31166"/>
    <w:rsid w:val="00D325EC"/>
    <w:rsid w:val="00D36137"/>
    <w:rsid w:val="00D3650D"/>
    <w:rsid w:val="00D36CBD"/>
    <w:rsid w:val="00D377A4"/>
    <w:rsid w:val="00D42A9D"/>
    <w:rsid w:val="00D44649"/>
    <w:rsid w:val="00D44971"/>
    <w:rsid w:val="00D465D5"/>
    <w:rsid w:val="00D501BC"/>
    <w:rsid w:val="00D5040E"/>
    <w:rsid w:val="00D50A07"/>
    <w:rsid w:val="00D5240C"/>
    <w:rsid w:val="00D54945"/>
    <w:rsid w:val="00D55969"/>
    <w:rsid w:val="00D567AB"/>
    <w:rsid w:val="00D571C6"/>
    <w:rsid w:val="00D5786C"/>
    <w:rsid w:val="00D57C94"/>
    <w:rsid w:val="00D57F60"/>
    <w:rsid w:val="00D6175A"/>
    <w:rsid w:val="00D62169"/>
    <w:rsid w:val="00D62DD0"/>
    <w:rsid w:val="00D644B7"/>
    <w:rsid w:val="00D647F2"/>
    <w:rsid w:val="00D651FB"/>
    <w:rsid w:val="00D66022"/>
    <w:rsid w:val="00D67485"/>
    <w:rsid w:val="00D7058E"/>
    <w:rsid w:val="00D708F8"/>
    <w:rsid w:val="00D70F48"/>
    <w:rsid w:val="00D74F6D"/>
    <w:rsid w:val="00D75AA6"/>
    <w:rsid w:val="00D76538"/>
    <w:rsid w:val="00D76D32"/>
    <w:rsid w:val="00D80300"/>
    <w:rsid w:val="00D822BB"/>
    <w:rsid w:val="00D839AA"/>
    <w:rsid w:val="00D848EE"/>
    <w:rsid w:val="00D851AB"/>
    <w:rsid w:val="00D8538D"/>
    <w:rsid w:val="00D92313"/>
    <w:rsid w:val="00D928C8"/>
    <w:rsid w:val="00D93550"/>
    <w:rsid w:val="00D93A8B"/>
    <w:rsid w:val="00D9587F"/>
    <w:rsid w:val="00D961EB"/>
    <w:rsid w:val="00DA23B0"/>
    <w:rsid w:val="00DA394E"/>
    <w:rsid w:val="00DA3959"/>
    <w:rsid w:val="00DA5A96"/>
    <w:rsid w:val="00DB12EF"/>
    <w:rsid w:val="00DB45D8"/>
    <w:rsid w:val="00DB663A"/>
    <w:rsid w:val="00DC072B"/>
    <w:rsid w:val="00DC1920"/>
    <w:rsid w:val="00DC79F9"/>
    <w:rsid w:val="00DD1D52"/>
    <w:rsid w:val="00DD257B"/>
    <w:rsid w:val="00DE2554"/>
    <w:rsid w:val="00DE61F3"/>
    <w:rsid w:val="00DE7623"/>
    <w:rsid w:val="00DF482B"/>
    <w:rsid w:val="00DF67C7"/>
    <w:rsid w:val="00DF6838"/>
    <w:rsid w:val="00DF7314"/>
    <w:rsid w:val="00E04D6B"/>
    <w:rsid w:val="00E13679"/>
    <w:rsid w:val="00E14E12"/>
    <w:rsid w:val="00E171BC"/>
    <w:rsid w:val="00E2212C"/>
    <w:rsid w:val="00E2217E"/>
    <w:rsid w:val="00E2306A"/>
    <w:rsid w:val="00E23394"/>
    <w:rsid w:val="00E23CA2"/>
    <w:rsid w:val="00E24F81"/>
    <w:rsid w:val="00E2557A"/>
    <w:rsid w:val="00E2559D"/>
    <w:rsid w:val="00E26E3C"/>
    <w:rsid w:val="00E27261"/>
    <w:rsid w:val="00E274D8"/>
    <w:rsid w:val="00E342CC"/>
    <w:rsid w:val="00E36C66"/>
    <w:rsid w:val="00E37950"/>
    <w:rsid w:val="00E37A8F"/>
    <w:rsid w:val="00E40C93"/>
    <w:rsid w:val="00E4247E"/>
    <w:rsid w:val="00E42B68"/>
    <w:rsid w:val="00E43703"/>
    <w:rsid w:val="00E43C26"/>
    <w:rsid w:val="00E43FA8"/>
    <w:rsid w:val="00E44639"/>
    <w:rsid w:val="00E46AEC"/>
    <w:rsid w:val="00E46CEA"/>
    <w:rsid w:val="00E4702E"/>
    <w:rsid w:val="00E474F0"/>
    <w:rsid w:val="00E47A9A"/>
    <w:rsid w:val="00E50993"/>
    <w:rsid w:val="00E516F3"/>
    <w:rsid w:val="00E528F7"/>
    <w:rsid w:val="00E528F9"/>
    <w:rsid w:val="00E536DC"/>
    <w:rsid w:val="00E55684"/>
    <w:rsid w:val="00E602D0"/>
    <w:rsid w:val="00E603C8"/>
    <w:rsid w:val="00E64DB8"/>
    <w:rsid w:val="00E64EB9"/>
    <w:rsid w:val="00E64F4D"/>
    <w:rsid w:val="00E6613F"/>
    <w:rsid w:val="00E6770F"/>
    <w:rsid w:val="00E71440"/>
    <w:rsid w:val="00E72196"/>
    <w:rsid w:val="00E72615"/>
    <w:rsid w:val="00E73654"/>
    <w:rsid w:val="00E736EF"/>
    <w:rsid w:val="00E742A9"/>
    <w:rsid w:val="00E742C0"/>
    <w:rsid w:val="00E753C8"/>
    <w:rsid w:val="00E75858"/>
    <w:rsid w:val="00E75ECD"/>
    <w:rsid w:val="00E76F05"/>
    <w:rsid w:val="00E848E3"/>
    <w:rsid w:val="00E86A90"/>
    <w:rsid w:val="00E87E60"/>
    <w:rsid w:val="00E9112A"/>
    <w:rsid w:val="00E933EB"/>
    <w:rsid w:val="00E94C91"/>
    <w:rsid w:val="00E95F9A"/>
    <w:rsid w:val="00E97314"/>
    <w:rsid w:val="00E976A2"/>
    <w:rsid w:val="00E97CBF"/>
    <w:rsid w:val="00EA58FE"/>
    <w:rsid w:val="00EA6897"/>
    <w:rsid w:val="00EA6EF0"/>
    <w:rsid w:val="00EB0855"/>
    <w:rsid w:val="00EB0FF8"/>
    <w:rsid w:val="00EB1C37"/>
    <w:rsid w:val="00EB3490"/>
    <w:rsid w:val="00EB4F0F"/>
    <w:rsid w:val="00EC2B2F"/>
    <w:rsid w:val="00EC41C3"/>
    <w:rsid w:val="00EC7CB1"/>
    <w:rsid w:val="00EC7DBC"/>
    <w:rsid w:val="00EC7F7D"/>
    <w:rsid w:val="00ED2780"/>
    <w:rsid w:val="00ED3258"/>
    <w:rsid w:val="00ED3491"/>
    <w:rsid w:val="00ED61FF"/>
    <w:rsid w:val="00ED6446"/>
    <w:rsid w:val="00ED688E"/>
    <w:rsid w:val="00EE17DC"/>
    <w:rsid w:val="00EE18B8"/>
    <w:rsid w:val="00EE2870"/>
    <w:rsid w:val="00EE48CC"/>
    <w:rsid w:val="00EE617F"/>
    <w:rsid w:val="00EF008E"/>
    <w:rsid w:val="00EF1834"/>
    <w:rsid w:val="00EF1A73"/>
    <w:rsid w:val="00EF589B"/>
    <w:rsid w:val="00EF62C0"/>
    <w:rsid w:val="00EF66C8"/>
    <w:rsid w:val="00EF6CF6"/>
    <w:rsid w:val="00EF7D2D"/>
    <w:rsid w:val="00F02B3A"/>
    <w:rsid w:val="00F03302"/>
    <w:rsid w:val="00F03716"/>
    <w:rsid w:val="00F048C4"/>
    <w:rsid w:val="00F04A88"/>
    <w:rsid w:val="00F04BC9"/>
    <w:rsid w:val="00F11B2B"/>
    <w:rsid w:val="00F14BBD"/>
    <w:rsid w:val="00F205E9"/>
    <w:rsid w:val="00F20F1B"/>
    <w:rsid w:val="00F24605"/>
    <w:rsid w:val="00F253B2"/>
    <w:rsid w:val="00F25470"/>
    <w:rsid w:val="00F27237"/>
    <w:rsid w:val="00F277D7"/>
    <w:rsid w:val="00F2792C"/>
    <w:rsid w:val="00F27E28"/>
    <w:rsid w:val="00F307A2"/>
    <w:rsid w:val="00F3248D"/>
    <w:rsid w:val="00F32C8E"/>
    <w:rsid w:val="00F333DD"/>
    <w:rsid w:val="00F34226"/>
    <w:rsid w:val="00F3628D"/>
    <w:rsid w:val="00F363E0"/>
    <w:rsid w:val="00F36E63"/>
    <w:rsid w:val="00F36E82"/>
    <w:rsid w:val="00F404DF"/>
    <w:rsid w:val="00F417FC"/>
    <w:rsid w:val="00F424B0"/>
    <w:rsid w:val="00F436D8"/>
    <w:rsid w:val="00F43F3B"/>
    <w:rsid w:val="00F44A8F"/>
    <w:rsid w:val="00F546BC"/>
    <w:rsid w:val="00F60507"/>
    <w:rsid w:val="00F60736"/>
    <w:rsid w:val="00F61C69"/>
    <w:rsid w:val="00F63839"/>
    <w:rsid w:val="00F6459B"/>
    <w:rsid w:val="00F66FF2"/>
    <w:rsid w:val="00F67FB8"/>
    <w:rsid w:val="00F70A8F"/>
    <w:rsid w:val="00F7139A"/>
    <w:rsid w:val="00F71D53"/>
    <w:rsid w:val="00F72052"/>
    <w:rsid w:val="00F72263"/>
    <w:rsid w:val="00F74174"/>
    <w:rsid w:val="00F75079"/>
    <w:rsid w:val="00F76A99"/>
    <w:rsid w:val="00F77FAF"/>
    <w:rsid w:val="00F80395"/>
    <w:rsid w:val="00F81F49"/>
    <w:rsid w:val="00F8456D"/>
    <w:rsid w:val="00F8763E"/>
    <w:rsid w:val="00F90D02"/>
    <w:rsid w:val="00F92FD1"/>
    <w:rsid w:val="00F93467"/>
    <w:rsid w:val="00F94484"/>
    <w:rsid w:val="00F953DC"/>
    <w:rsid w:val="00F96716"/>
    <w:rsid w:val="00F97AF0"/>
    <w:rsid w:val="00F97E01"/>
    <w:rsid w:val="00FA1D86"/>
    <w:rsid w:val="00FA283E"/>
    <w:rsid w:val="00FA3F38"/>
    <w:rsid w:val="00FA62A0"/>
    <w:rsid w:val="00FA71AC"/>
    <w:rsid w:val="00FB02AC"/>
    <w:rsid w:val="00FB0F9F"/>
    <w:rsid w:val="00FB4C93"/>
    <w:rsid w:val="00FB745B"/>
    <w:rsid w:val="00FB7EF9"/>
    <w:rsid w:val="00FC013E"/>
    <w:rsid w:val="00FC2844"/>
    <w:rsid w:val="00FC293A"/>
    <w:rsid w:val="00FC3BE2"/>
    <w:rsid w:val="00FC4EEE"/>
    <w:rsid w:val="00FC7974"/>
    <w:rsid w:val="00FD0160"/>
    <w:rsid w:val="00FD0B0D"/>
    <w:rsid w:val="00FD23DE"/>
    <w:rsid w:val="00FD2C77"/>
    <w:rsid w:val="00FD35EB"/>
    <w:rsid w:val="00FD3700"/>
    <w:rsid w:val="00FD4516"/>
    <w:rsid w:val="00FD4C3E"/>
    <w:rsid w:val="00FD6064"/>
    <w:rsid w:val="00FD6E1A"/>
    <w:rsid w:val="00FE0A5A"/>
    <w:rsid w:val="00FE184D"/>
    <w:rsid w:val="00FE3845"/>
    <w:rsid w:val="00FE3C8B"/>
    <w:rsid w:val="00FE4D42"/>
    <w:rsid w:val="00FE5113"/>
    <w:rsid w:val="00FE5B60"/>
    <w:rsid w:val="00FE67AA"/>
    <w:rsid w:val="00FF3086"/>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aliases w:val="Footnote_mpi"/>
    <w:basedOn w:val="Normal"/>
    <w:link w:val="FootnoteTextChar"/>
    <w:uiPriority w:val="99"/>
    <w:unhideWhenUsed/>
    <w:qFormat/>
    <w:rsid w:val="00D644B7"/>
    <w:pPr>
      <w:spacing w:after="0" w:line="240" w:lineRule="auto"/>
    </w:pPr>
    <w:rPr>
      <w:sz w:val="20"/>
      <w:szCs w:val="20"/>
    </w:rPr>
  </w:style>
  <w:style w:type="character" w:customStyle="1" w:styleId="FootnoteTextChar">
    <w:name w:val="Footnote Text Char"/>
    <w:aliases w:val="Footnote_mpi Char1"/>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rsid w:val="00111911"/>
    <w:rPr>
      <w:rFonts w:asciiTheme="majorHAnsi" w:eastAsiaTheme="majorEastAsia" w:hAnsiTheme="majorHAnsi" w:cstheme="majorBidi"/>
      <w:color w:val="2E74B5" w:themeColor="accent1" w:themeShade="BF"/>
      <w:sz w:val="26"/>
      <w:szCs w:val="26"/>
    </w:rPr>
  </w:style>
  <w:style w:type="paragraph" w:customStyle="1" w:styleId="H2-NoTOCmpi">
    <w:name w:val="H2 - No TOC_mpi"/>
    <w:link w:val="H2-NoTOCmpiChar"/>
    <w:qFormat/>
    <w:rsid w:val="004D1BCA"/>
    <w:pPr>
      <w:pBdr>
        <w:bottom w:val="single" w:sz="4" w:space="1" w:color="auto"/>
      </w:pBdr>
    </w:pPr>
    <w:rPr>
      <w:rFonts w:ascii="Times New Roman" w:eastAsia="Times New Roman" w:hAnsi="Times New Roman" w:cs="Times New Roman"/>
      <w:snapToGrid w:val="0"/>
      <w:spacing w:val="15"/>
      <w:sz w:val="24"/>
      <w:szCs w:val="24"/>
    </w:rPr>
  </w:style>
  <w:style w:type="character" w:customStyle="1" w:styleId="H2-NoTOCmpiChar">
    <w:name w:val="H2 - No TOC_mpi Char"/>
    <w:basedOn w:val="DefaultParagraphFont"/>
    <w:link w:val="H2-NoTOCmpi"/>
    <w:rsid w:val="004D1BCA"/>
    <w:rPr>
      <w:rFonts w:ascii="Times New Roman" w:eastAsia="Times New Roman" w:hAnsi="Times New Roman" w:cs="Times New Roman"/>
      <w:snapToGrid w:val="0"/>
      <w:spacing w:val="15"/>
      <w:sz w:val="24"/>
      <w:szCs w:val="24"/>
    </w:rPr>
  </w:style>
  <w:style w:type="character" w:styleId="UnresolvedMention">
    <w:name w:val="Unresolved Mention"/>
    <w:basedOn w:val="DefaultParagraphFont"/>
    <w:uiPriority w:val="99"/>
    <w:semiHidden/>
    <w:unhideWhenUsed/>
    <w:rsid w:val="00611626"/>
    <w:rPr>
      <w:color w:val="605E5C"/>
      <w:shd w:val="clear" w:color="auto" w:fill="E1DFDD"/>
    </w:rPr>
  </w:style>
  <w:style w:type="character" w:customStyle="1" w:styleId="FootnoteTextChar1">
    <w:name w:val="Footnote Text Char1"/>
    <w:aliases w:val="Footnote_mpi Char"/>
    <w:uiPriority w:val="99"/>
    <w:rsid w:val="006859BA"/>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39547230">
      <w:bodyDiv w:val="1"/>
      <w:marLeft w:val="0"/>
      <w:marRight w:val="0"/>
      <w:marTop w:val="0"/>
      <w:marBottom w:val="0"/>
      <w:divBdr>
        <w:top w:val="none" w:sz="0" w:space="0" w:color="auto"/>
        <w:left w:val="none" w:sz="0" w:space="0" w:color="auto"/>
        <w:bottom w:val="none" w:sz="0" w:space="0" w:color="auto"/>
        <w:right w:val="none" w:sz="0" w:space="0" w:color="auto"/>
      </w:divBdr>
    </w:div>
    <w:div w:id="356741846">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591545703">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59964185">
      <w:bodyDiv w:val="1"/>
      <w:marLeft w:val="0"/>
      <w:marRight w:val="0"/>
      <w:marTop w:val="0"/>
      <w:marBottom w:val="0"/>
      <w:divBdr>
        <w:top w:val="none" w:sz="0" w:space="0" w:color="auto"/>
        <w:left w:val="none" w:sz="0" w:space="0" w:color="auto"/>
        <w:bottom w:val="none" w:sz="0" w:space="0" w:color="auto"/>
        <w:right w:val="none" w:sz="0" w:space="0" w:color="auto"/>
      </w:divBdr>
      <w:divsChild>
        <w:div w:id="1251282028">
          <w:marLeft w:val="0"/>
          <w:marRight w:val="0"/>
          <w:marTop w:val="0"/>
          <w:marBottom w:val="0"/>
          <w:divBdr>
            <w:top w:val="none" w:sz="0" w:space="0" w:color="auto"/>
            <w:left w:val="none" w:sz="0" w:space="0" w:color="auto"/>
            <w:bottom w:val="none" w:sz="0" w:space="0" w:color="auto"/>
            <w:right w:val="none" w:sz="0" w:space="0" w:color="auto"/>
          </w:divBdr>
          <w:divsChild>
            <w:div w:id="946699561">
              <w:marLeft w:val="0"/>
              <w:marRight w:val="0"/>
              <w:marTop w:val="0"/>
              <w:marBottom w:val="0"/>
              <w:divBdr>
                <w:top w:val="none" w:sz="0" w:space="0" w:color="auto"/>
                <w:left w:val="none" w:sz="0" w:space="0" w:color="auto"/>
                <w:bottom w:val="none" w:sz="0" w:space="0" w:color="auto"/>
                <w:right w:val="none" w:sz="0" w:space="0" w:color="auto"/>
              </w:divBdr>
              <w:divsChild>
                <w:div w:id="1631281293">
                  <w:marLeft w:val="0"/>
                  <w:marRight w:val="0"/>
                  <w:marTop w:val="0"/>
                  <w:marBottom w:val="0"/>
                  <w:divBdr>
                    <w:top w:val="none" w:sz="0" w:space="0" w:color="auto"/>
                    <w:left w:val="none" w:sz="0" w:space="0" w:color="auto"/>
                    <w:bottom w:val="none" w:sz="0" w:space="0" w:color="auto"/>
                    <w:right w:val="none" w:sz="0" w:space="0" w:color="auto"/>
                  </w:divBdr>
                  <w:divsChild>
                    <w:div w:id="13703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5318178">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64964673">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0647406">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3365280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093478532">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0680990">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4437181">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11599098">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0457262">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07637743">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73493289">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3905874">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23651639">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tagnifi.com" TargetMode="Externa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3.jpe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fred.stlouisfed.org/series/DGS10" TargetMode="External"/><Relationship Id="rId18" Type="http://schemas.openxmlformats.org/officeDocument/2006/relationships/hyperlink" Target="https://fred.stlouisfed.org/series/CIVPART" TargetMode="External"/><Relationship Id="rId26" Type="http://schemas.openxmlformats.org/officeDocument/2006/relationships/hyperlink" Target="https://fred.stlouisfed.org/series/DCOILWTICO" TargetMode="External"/><Relationship Id="rId21" Type="http://schemas.openxmlformats.org/officeDocument/2006/relationships/hyperlink" Target="https://fred.stlouisfed.org/series/PAYEMS" TargetMode="External"/><Relationship Id="rId34" Type="http://schemas.openxmlformats.org/officeDocument/2006/relationships/hyperlink" Target="https://fred.stlouisfed.org/series/VIXCLS" TargetMode="External"/><Relationship Id="rId7" Type="http://schemas.openxmlformats.org/officeDocument/2006/relationships/hyperlink" Target="https://fred.stlouisfed.org/series/DPCERY2Q224SBEA" TargetMode="External"/><Relationship Id="rId12" Type="http://schemas.openxmlformats.org/officeDocument/2006/relationships/hyperlink" Target="https://fred.stlouisfed.org/series/FEDFUNDS" TargetMode="External"/><Relationship Id="rId17" Type="http://schemas.openxmlformats.org/officeDocument/2006/relationships/hyperlink" Target="https://fred.stlouisfed.org/series/CLF16OV" TargetMode="External"/><Relationship Id="rId25" Type="http://schemas.openxmlformats.org/officeDocument/2006/relationships/hyperlink" Target="https://fred.stlouisfed.org/series/T5YIE" TargetMode="External"/><Relationship Id="rId33" Type="http://schemas.openxmlformats.org/officeDocument/2006/relationships/hyperlink" Target="https://fred.stlouisfed.org/series/UMCSENT" TargetMode="External"/><Relationship Id="rId2" Type="http://schemas.openxmlformats.org/officeDocument/2006/relationships/hyperlink" Target="https://fred.stlouisfed.org/series/DTWEXBGS" TargetMode="External"/><Relationship Id="rId16" Type="http://schemas.openxmlformats.org/officeDocument/2006/relationships/hyperlink" Target="https://fred.stlouisfed.org/series/UNRATE" TargetMode="External"/><Relationship Id="rId20" Type="http://schemas.openxmlformats.org/officeDocument/2006/relationships/hyperlink" Target="https://fred.stlouisfed.org/series/U6RATE" TargetMode="External"/><Relationship Id="rId29" Type="http://schemas.openxmlformats.org/officeDocument/2006/relationships/hyperlink" Target="https://fred.stlouisfed.org/series/SPCS20RSA" TargetMode="External"/><Relationship Id="rId1" Type="http://schemas.openxmlformats.org/officeDocument/2006/relationships/hyperlink" Target="https://fred.stlouisfed.org/series/USPHCI" TargetMode="External"/><Relationship Id="rId6" Type="http://schemas.openxmlformats.org/officeDocument/2006/relationships/hyperlink" Target="https://fred.stlouisfed.org/series/A822RY2Q224SBEA" TargetMode="External"/><Relationship Id="rId11" Type="http://schemas.openxmlformats.org/officeDocument/2006/relationships/hyperlink" Target="https://fred.stlouisfed.org/release/tables?rid=18&amp;eid=289&amp;od=2021-09-30" TargetMode="External"/><Relationship Id="rId24" Type="http://schemas.openxmlformats.org/officeDocument/2006/relationships/hyperlink" Target="https://fred.stlouisfed.org/series/PPIACO" TargetMode="External"/><Relationship Id="rId32" Type="http://schemas.openxmlformats.org/officeDocument/2006/relationships/hyperlink" Target="https://fred.stlouisfed.org/series/CUSR0000SETA02" TargetMode="External"/><Relationship Id="rId37" Type="http://schemas.openxmlformats.org/officeDocument/2006/relationships/hyperlink" Target="https://fred.stlouisfed.org/series/UNRATECTM" TargetMode="External"/><Relationship Id="rId5" Type="http://schemas.openxmlformats.org/officeDocument/2006/relationships/hyperlink" Target="https://fred.stlouisfed.org/series/DPCERY2Q224SBEA" TargetMode="External"/><Relationship Id="rId15" Type="http://schemas.openxmlformats.org/officeDocument/2006/relationships/hyperlink" Target="https://fred.stlouisfed.org/series/DAAA" TargetMode="External"/><Relationship Id="rId23" Type="http://schemas.openxmlformats.org/officeDocument/2006/relationships/hyperlink" Target="https://fred.stlouisfed.org/series/APU000074714" TargetMode="External"/><Relationship Id="rId28" Type="http://schemas.openxmlformats.org/officeDocument/2006/relationships/hyperlink" Target="https://fred.stlouisfed.org/series/MORTGAGE30US" TargetMode="External"/><Relationship Id="rId36" Type="http://schemas.openxmlformats.org/officeDocument/2006/relationships/hyperlink" Target="https://fred.stlouisfed.org/series/PCECTPICTM" TargetMode="External"/><Relationship Id="rId10" Type="http://schemas.openxmlformats.org/officeDocument/2006/relationships/hyperlink" Target="https://fred.stlouisfed.org/series/FEDFUNDS" TargetMode="External"/><Relationship Id="rId19" Type="http://schemas.openxmlformats.org/officeDocument/2006/relationships/hyperlink" Target="https://www.philadelphiafed.org/surveys-and-data/real-time-data-research/livingston-survey" TargetMode="External"/><Relationship Id="rId31" Type="http://schemas.openxmlformats.org/officeDocument/2006/relationships/hyperlink" Target="https://fred.stlouisfed.org/series/CUUR0000SETA01" TargetMode="External"/><Relationship Id="rId4" Type="http://schemas.openxmlformats.org/officeDocument/2006/relationships/hyperlink" Target="https://fred.stlouisfed.org/series/A006RY2Q224SBEA" TargetMode="External"/><Relationship Id="rId9" Type="http://schemas.openxmlformats.org/officeDocument/2006/relationships/hyperlink" Target="https://fred.stlouisfed.org/series/MCUMFN" TargetMode="External"/><Relationship Id="rId14" Type="http://schemas.openxmlformats.org/officeDocument/2006/relationships/hyperlink" Target="https://fred.stlouisfed.org/series/DBAA" TargetMode="External"/><Relationship Id="rId22" Type="http://schemas.openxmlformats.org/officeDocument/2006/relationships/hyperlink" Target="https://fred.stlouisfed.org/series/CPIAUCSL" TargetMode="External"/><Relationship Id="rId27" Type="http://schemas.openxmlformats.org/officeDocument/2006/relationships/hyperlink" Target="https://fred.stlouisfed.org/series/HOUST" TargetMode="External"/><Relationship Id="rId30" Type="http://schemas.openxmlformats.org/officeDocument/2006/relationships/hyperlink" Target="https://fred.stlouisfed.org/series/PCE" TargetMode="External"/><Relationship Id="rId35" Type="http://schemas.openxmlformats.org/officeDocument/2006/relationships/hyperlink" Target="https://fred.stlouisfed.org/series/GDPC1CTM" TargetMode="External"/><Relationship Id="rId8" Type="http://schemas.openxmlformats.org/officeDocument/2006/relationships/hyperlink" Target="https://fred.stlouisfed.org/series/INDPRO" TargetMode="External"/><Relationship Id="rId3" Type="http://schemas.openxmlformats.org/officeDocument/2006/relationships/hyperlink" Target="https://fred.stlouisfed.org/series/GDP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A666-4F3A-4F08-99D0-E705A40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3340</Words>
  <Characters>19039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22335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3</cp:revision>
  <cp:lastPrinted>2021-08-07T16:35:00Z</cp:lastPrinted>
  <dcterms:created xsi:type="dcterms:W3CDTF">2021-11-04T00:22:00Z</dcterms:created>
  <dcterms:modified xsi:type="dcterms:W3CDTF">2021-12-20T17:49:00Z</dcterms:modified>
</cp:coreProperties>
</file>