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5127297"/>
        <w:docPartObj>
          <w:docPartGallery w:val="Cover Pages"/>
          <w:docPartUnique/>
        </w:docPartObj>
      </w:sdtPr>
      <w:sdtEndPr/>
      <w:sdtContent>
        <w:p w14:paraId="2ABEC867" w14:textId="1B3017D2" w:rsidR="000F1648" w:rsidRDefault="008B2769" w:rsidP="002E6FDE">
          <w:pPr>
            <w:jc w:val="right"/>
          </w:pPr>
          <w:r>
            <w:rPr>
              <w:noProof/>
            </w:rPr>
            <w:drawing>
              <wp:inline distT="0" distB="0" distL="0" distR="0" wp14:anchorId="44435E8E" wp14:editId="4A515C24">
                <wp:extent cx="1743075" cy="275242"/>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gniFi Large Logo BlackFl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0997" cy="289125"/>
                        </a:xfrm>
                        <a:prstGeom prst="rect">
                          <a:avLst/>
                        </a:prstGeom>
                      </pic:spPr>
                    </pic:pic>
                  </a:graphicData>
                </a:graphic>
              </wp:inline>
            </w:drawing>
          </w:r>
        </w:p>
        <w:p w14:paraId="1F0E9DD8" w14:textId="77777777" w:rsidR="006663D0" w:rsidRDefault="006663D0" w:rsidP="002E6FDE">
          <w:pPr>
            <w:jc w:val="right"/>
          </w:pPr>
        </w:p>
        <w:p w14:paraId="61E7189B" w14:textId="51BE3B1B" w:rsidR="006663D0" w:rsidRDefault="00474E3C" w:rsidP="002E6FDE">
          <w:pPr>
            <w:jc w:val="right"/>
          </w:pPr>
          <w:r>
            <w:rPr>
              <w:noProof/>
            </w:rPr>
            <w:drawing>
              <wp:inline distT="0" distB="0" distL="0" distR="0" wp14:anchorId="5C128B0F" wp14:editId="1E43108B">
                <wp:extent cx="5959775" cy="40386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0" t="28167" r="2834" b="6666"/>
                        <a:stretch/>
                      </pic:blipFill>
                      <pic:spPr bwMode="auto">
                        <a:xfrm>
                          <a:off x="0" y="0"/>
                          <a:ext cx="5965854" cy="4042720"/>
                        </a:xfrm>
                        <a:prstGeom prst="rect">
                          <a:avLst/>
                        </a:prstGeom>
                        <a:noFill/>
                        <a:ln>
                          <a:noFill/>
                        </a:ln>
                        <a:extLst>
                          <a:ext uri="{53640926-AAD7-44D8-BBD7-CCE9431645EC}">
                            <a14:shadowObscured xmlns:a14="http://schemas.microsoft.com/office/drawing/2010/main"/>
                          </a:ext>
                        </a:extLst>
                      </pic:spPr>
                    </pic:pic>
                  </a:graphicData>
                </a:graphic>
              </wp:inline>
            </w:drawing>
          </w:r>
          <w:r w:rsidR="00987AB7">
            <w:br/>
          </w:r>
        </w:p>
        <w:p w14:paraId="149D5EEE" w14:textId="3FD73BB4" w:rsidR="00005111" w:rsidRDefault="006663D0" w:rsidP="002E6FDE">
          <w:pPr>
            <w:jc w:val="right"/>
            <w:rPr>
              <w:color w:val="008FD5"/>
              <w:sz w:val="64"/>
              <w:szCs w:val="64"/>
            </w:rPr>
          </w:pPr>
          <w:r w:rsidRPr="006663D0">
            <w:rPr>
              <w:color w:val="008FD5"/>
              <w:sz w:val="64"/>
              <w:szCs w:val="64"/>
            </w:rPr>
            <w:t xml:space="preserve">QUARTERLY </w:t>
          </w:r>
          <w:r w:rsidR="00FB73B6">
            <w:rPr>
              <w:color w:val="008FD5"/>
              <w:sz w:val="64"/>
              <w:szCs w:val="64"/>
            </w:rPr>
            <w:t>M&amp;A</w:t>
          </w:r>
          <w:r w:rsidRPr="006663D0">
            <w:rPr>
              <w:color w:val="008FD5"/>
              <w:sz w:val="64"/>
              <w:szCs w:val="64"/>
            </w:rPr>
            <w:t xml:space="preserve"> UPDATE</w:t>
          </w:r>
        </w:p>
        <w:p w14:paraId="7ADB2944" w14:textId="1803FE03" w:rsidR="006663D0" w:rsidRDefault="006663D0" w:rsidP="002E6FDE">
          <w:pPr>
            <w:jc w:val="right"/>
            <w:rPr>
              <w:sz w:val="36"/>
              <w:szCs w:val="36"/>
            </w:rPr>
          </w:pPr>
          <w:r w:rsidRPr="006663D0">
            <w:rPr>
              <w:sz w:val="36"/>
              <w:szCs w:val="36"/>
            </w:rPr>
            <w:t xml:space="preserve">For the </w:t>
          </w:r>
          <w:r w:rsidR="00FB73B6">
            <w:rPr>
              <w:sz w:val="36"/>
              <w:szCs w:val="36"/>
            </w:rPr>
            <w:t>4</w:t>
          </w:r>
          <w:r w:rsidR="00FB73B6">
            <w:rPr>
              <w:sz w:val="36"/>
              <w:szCs w:val="36"/>
              <w:vertAlign w:val="superscript"/>
            </w:rPr>
            <w:t>th</w:t>
          </w:r>
          <w:r w:rsidR="00C10F0A">
            <w:rPr>
              <w:sz w:val="36"/>
              <w:szCs w:val="36"/>
            </w:rPr>
            <w:t xml:space="preserve"> </w:t>
          </w:r>
          <w:r w:rsidRPr="006663D0">
            <w:rPr>
              <w:sz w:val="36"/>
              <w:szCs w:val="36"/>
            </w:rPr>
            <w:t>Quarter of 202</w:t>
          </w:r>
          <w:r w:rsidR="00341AFD">
            <w:rPr>
              <w:sz w:val="36"/>
              <w:szCs w:val="36"/>
            </w:rPr>
            <w:t>1</w:t>
          </w:r>
        </w:p>
        <w:p w14:paraId="45CA5FB6" w14:textId="7FC6A9D9" w:rsidR="006663D0" w:rsidRDefault="006663D0" w:rsidP="002E6FDE">
          <w:pPr>
            <w:jc w:val="right"/>
            <w:rPr>
              <w:sz w:val="36"/>
              <w:szCs w:val="36"/>
            </w:rPr>
          </w:pPr>
        </w:p>
        <w:p w14:paraId="036ED6C8" w14:textId="5EC9A59D" w:rsidR="006663D0" w:rsidRDefault="006663D0" w:rsidP="002E6FDE">
          <w:pPr>
            <w:jc w:val="right"/>
            <w:rPr>
              <w:color w:val="008FD5"/>
              <w:sz w:val="28"/>
              <w:szCs w:val="28"/>
            </w:rPr>
          </w:pPr>
          <w:r w:rsidRPr="006663D0">
            <w:rPr>
              <w:color w:val="008FD5"/>
              <w:sz w:val="28"/>
              <w:szCs w:val="28"/>
            </w:rPr>
            <w:t>Abstract</w:t>
          </w:r>
        </w:p>
        <w:p w14:paraId="78E365CD" w14:textId="3F1A3D36" w:rsidR="006663D0" w:rsidRPr="006663D0" w:rsidRDefault="006663D0" w:rsidP="006663D0">
          <w:pPr>
            <w:jc w:val="right"/>
            <w:rPr>
              <w:sz w:val="20"/>
              <w:szCs w:val="20"/>
            </w:rPr>
          </w:pPr>
          <w:r w:rsidRPr="006663D0">
            <w:rPr>
              <w:sz w:val="20"/>
              <w:szCs w:val="20"/>
            </w:rPr>
            <w:t xml:space="preserve">Designed for </w:t>
          </w:r>
          <w:r w:rsidR="00FB73B6">
            <w:rPr>
              <w:sz w:val="20"/>
              <w:szCs w:val="20"/>
            </w:rPr>
            <w:t>M&amp;A and private equity professionals</w:t>
          </w:r>
          <w:r w:rsidRPr="006663D0">
            <w:rPr>
              <w:sz w:val="20"/>
              <w:szCs w:val="20"/>
            </w:rPr>
            <w:t xml:space="preserve">, TagniFi’s Quarterly </w:t>
          </w:r>
          <w:r>
            <w:rPr>
              <w:sz w:val="20"/>
              <w:szCs w:val="20"/>
            </w:rPr>
            <w:br/>
          </w:r>
          <w:r w:rsidR="00BF65D2">
            <w:rPr>
              <w:sz w:val="20"/>
              <w:szCs w:val="20"/>
            </w:rPr>
            <w:t xml:space="preserve">M&amp;A </w:t>
          </w:r>
          <w:r w:rsidR="006756DF">
            <w:rPr>
              <w:sz w:val="20"/>
              <w:szCs w:val="20"/>
            </w:rPr>
            <w:t>U</w:t>
          </w:r>
          <w:r w:rsidRPr="006663D0">
            <w:rPr>
              <w:sz w:val="20"/>
              <w:szCs w:val="20"/>
            </w:rPr>
            <w:t xml:space="preserve">pdate provides </w:t>
          </w:r>
          <w:r w:rsidR="00FB73B6">
            <w:rPr>
              <w:sz w:val="20"/>
              <w:szCs w:val="20"/>
            </w:rPr>
            <w:t>an overview of deal activity with key trends and activity levels</w:t>
          </w:r>
          <w:r w:rsidRPr="006663D0">
            <w:rPr>
              <w:sz w:val="20"/>
              <w:szCs w:val="20"/>
            </w:rPr>
            <w:t>.</w:t>
          </w:r>
        </w:p>
        <w:p w14:paraId="149D5EEF" w14:textId="0F932CBB" w:rsidR="00005111" w:rsidRDefault="00005111" w:rsidP="000F1648">
          <w:pPr>
            <w:ind w:hanging="900"/>
          </w:pPr>
          <w:r>
            <w:br w:type="page"/>
          </w:r>
        </w:p>
      </w:sdtContent>
    </w:sdt>
    <w:p w14:paraId="2920D7EC" w14:textId="4098D9E2" w:rsidR="002D2BFA" w:rsidRDefault="001D0E51" w:rsidP="002D2BFA">
      <w:pPr>
        <w:pStyle w:val="Heading1"/>
      </w:pPr>
      <w:r>
        <w:lastRenderedPageBreak/>
        <w:t>Q4</w:t>
      </w:r>
      <w:r w:rsidR="002D2BFA">
        <w:t xml:space="preserve"> Highlights</w:t>
      </w:r>
    </w:p>
    <w:p w14:paraId="3C95D6FD" w14:textId="778E6E74" w:rsidR="00377D29" w:rsidRDefault="00377D29" w:rsidP="00377D29">
      <w:r>
        <w:t>By all measures, the 4</w:t>
      </w:r>
      <w:r w:rsidRPr="00377D29">
        <w:rPr>
          <w:vertAlign w:val="superscript"/>
        </w:rPr>
        <w:t>th</w:t>
      </w:r>
      <w:r>
        <w:t xml:space="preserve"> quarter was a </w:t>
      </w:r>
      <w:r w:rsidR="00373BA6">
        <w:t>spectacular</w:t>
      </w:r>
      <w:r>
        <w:t xml:space="preserve"> quarter for M&amp;A activity </w:t>
      </w:r>
      <w:r w:rsidR="000A2FC1">
        <w:t>across</w:t>
      </w:r>
      <w:r>
        <w:t xml:space="preserve"> the U</w:t>
      </w:r>
      <w:r w:rsidR="000A2FC1">
        <w:t>nited States.</w:t>
      </w:r>
      <w:r>
        <w:t xml:space="preserve"> There were </w:t>
      </w:r>
      <w:r w:rsidR="000A2FC1">
        <w:t xml:space="preserve">a record </w:t>
      </w:r>
      <w:r>
        <w:t>3,40</w:t>
      </w:r>
      <w:r w:rsidR="00BE76FD">
        <w:t>1</w:t>
      </w:r>
      <w:r>
        <w:t xml:space="preserve"> deals announced in Q4, an increase of </w:t>
      </w:r>
      <w:r w:rsidR="00BE76FD">
        <w:t>10% over Q3 and 72% over the same quarter last year.</w:t>
      </w:r>
    </w:p>
    <w:p w14:paraId="7295E065" w14:textId="2997B8B6" w:rsidR="00377D29" w:rsidRDefault="00377D29" w:rsidP="00377D29">
      <w:pPr>
        <w:jc w:val="center"/>
      </w:pPr>
      <w:r>
        <w:rPr>
          <w:noProof/>
        </w:rPr>
        <w:drawing>
          <wp:inline distT="0" distB="0" distL="0" distR="0" wp14:anchorId="78E95618" wp14:editId="2A98BF2C">
            <wp:extent cx="4572635" cy="3048000"/>
            <wp:effectExtent l="0" t="0" r="0" b="0"/>
            <wp:docPr id="33" name="Picture 3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ba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048000"/>
                    </a:xfrm>
                    <a:prstGeom prst="rect">
                      <a:avLst/>
                    </a:prstGeom>
                    <a:noFill/>
                  </pic:spPr>
                </pic:pic>
              </a:graphicData>
            </a:graphic>
          </wp:inline>
        </w:drawing>
      </w:r>
    </w:p>
    <w:p w14:paraId="328D1F14" w14:textId="3B717740" w:rsidR="002D2BFA" w:rsidRDefault="001D0E51" w:rsidP="002D2BFA">
      <w:pPr>
        <w:pStyle w:val="ListParagraph"/>
        <w:numPr>
          <w:ilvl w:val="0"/>
          <w:numId w:val="5"/>
        </w:numPr>
      </w:pPr>
      <w:r>
        <w:t>There were 3,401 M&amp;A deals announced in Q4-2021.</w:t>
      </w:r>
    </w:p>
    <w:p w14:paraId="0AF89EFB" w14:textId="45DE62BA" w:rsidR="00561141" w:rsidRDefault="00561141" w:rsidP="002D2BFA">
      <w:pPr>
        <w:pStyle w:val="ListParagraph"/>
        <w:numPr>
          <w:ilvl w:val="0"/>
          <w:numId w:val="5"/>
        </w:numPr>
      </w:pPr>
      <w:r>
        <w:t>The total disclosed transaction value was $545 billion.</w:t>
      </w:r>
    </w:p>
    <w:p w14:paraId="62559475" w14:textId="6B2E1139" w:rsidR="001D0E51" w:rsidRDefault="001D0E51" w:rsidP="002D2BFA">
      <w:pPr>
        <w:pStyle w:val="ListParagraph"/>
        <w:numPr>
          <w:ilvl w:val="0"/>
          <w:numId w:val="5"/>
        </w:numPr>
      </w:pPr>
      <w:r>
        <w:t>California led the nation with 419 announced deals.</w:t>
      </w:r>
    </w:p>
    <w:p w14:paraId="6157AE77" w14:textId="0EF996C6" w:rsidR="001D0E51" w:rsidRDefault="001D0E51" w:rsidP="002D2BFA">
      <w:pPr>
        <w:pStyle w:val="ListParagraph"/>
        <w:numPr>
          <w:ilvl w:val="0"/>
          <w:numId w:val="5"/>
        </w:numPr>
      </w:pPr>
      <w:r>
        <w:t>The most popular deal type was the 100% Buyout which represented 46% of the announced deals.</w:t>
      </w:r>
    </w:p>
    <w:p w14:paraId="79F2CC27" w14:textId="7972FDCA" w:rsidR="001D0E51" w:rsidRDefault="001D0E51" w:rsidP="002D2BFA">
      <w:pPr>
        <w:pStyle w:val="ListParagraph"/>
        <w:numPr>
          <w:ilvl w:val="0"/>
          <w:numId w:val="5"/>
        </w:numPr>
      </w:pPr>
      <w:r>
        <w:t xml:space="preserve">Private companies were the most popular acquirer type with 47% of the deals </w:t>
      </w:r>
      <w:r w:rsidR="00354B05">
        <w:t>announced</w:t>
      </w:r>
      <w:r>
        <w:t>.</w:t>
      </w:r>
    </w:p>
    <w:p w14:paraId="531A2062" w14:textId="2D4FCB59" w:rsidR="001D0E51" w:rsidRDefault="00354B05" w:rsidP="002D2BFA">
      <w:pPr>
        <w:pStyle w:val="ListParagraph"/>
        <w:numPr>
          <w:ilvl w:val="0"/>
          <w:numId w:val="5"/>
        </w:numPr>
      </w:pPr>
      <w:r>
        <w:t>The most active sector was Services with 60% of the deals announced.</w:t>
      </w:r>
    </w:p>
    <w:p w14:paraId="7BBB0DED" w14:textId="599654E1" w:rsidR="00354B05" w:rsidRDefault="00354B05" w:rsidP="002D2BFA">
      <w:pPr>
        <w:pStyle w:val="ListParagraph"/>
        <w:numPr>
          <w:ilvl w:val="0"/>
          <w:numId w:val="5"/>
        </w:numPr>
      </w:pPr>
      <w:r>
        <w:t>Maxon Computer was the most acquisitive strategic buyer.</w:t>
      </w:r>
    </w:p>
    <w:p w14:paraId="1C0647CA" w14:textId="731E3DB6" w:rsidR="00354B05" w:rsidRDefault="00354B05" w:rsidP="002D2BFA">
      <w:pPr>
        <w:pStyle w:val="ListParagraph"/>
        <w:numPr>
          <w:ilvl w:val="0"/>
          <w:numId w:val="5"/>
        </w:numPr>
      </w:pPr>
      <w:r>
        <w:t>KKR was the most acquisitive financial buyer.</w:t>
      </w:r>
    </w:p>
    <w:p w14:paraId="6A3271DD" w14:textId="2FA72CE1" w:rsidR="00561141" w:rsidRDefault="00561141" w:rsidP="002D2BFA">
      <w:pPr>
        <w:pStyle w:val="ListParagraph"/>
        <w:numPr>
          <w:ilvl w:val="0"/>
          <w:numId w:val="5"/>
        </w:numPr>
      </w:pPr>
      <w:r>
        <w:t>J.P. Morgan Securities LLC was the most active financial advisor.</w:t>
      </w:r>
    </w:p>
    <w:p w14:paraId="5ADF281E" w14:textId="12C3513B" w:rsidR="00561141" w:rsidRDefault="00561141" w:rsidP="002D2BFA">
      <w:pPr>
        <w:pStyle w:val="ListParagraph"/>
        <w:numPr>
          <w:ilvl w:val="0"/>
          <w:numId w:val="5"/>
        </w:numPr>
      </w:pPr>
      <w:r>
        <w:t>Kirkland &amp; Ellis LLP was the most active legal advisor.</w:t>
      </w:r>
    </w:p>
    <w:p w14:paraId="29745350" w14:textId="77777777" w:rsidR="00354B05" w:rsidRDefault="00354B05" w:rsidP="00354B05">
      <w:pPr>
        <w:pStyle w:val="ListParagraph"/>
      </w:pPr>
    </w:p>
    <w:p w14:paraId="46988F8A" w14:textId="77777777" w:rsidR="00354B05" w:rsidRDefault="00354B05">
      <w:pPr>
        <w:rPr>
          <w:rFonts w:asciiTheme="majorHAnsi" w:eastAsiaTheme="majorEastAsia" w:hAnsiTheme="majorHAnsi" w:cstheme="majorBidi"/>
          <w:color w:val="008FD5"/>
          <w:sz w:val="36"/>
          <w:szCs w:val="32"/>
        </w:rPr>
      </w:pPr>
      <w:r>
        <w:br w:type="page"/>
      </w:r>
    </w:p>
    <w:p w14:paraId="149D5EF0" w14:textId="2A1FDFE0" w:rsidR="00217AD5" w:rsidRDefault="002C5700" w:rsidP="00005111">
      <w:pPr>
        <w:pStyle w:val="Heading1"/>
      </w:pPr>
      <w:r>
        <w:lastRenderedPageBreak/>
        <w:t xml:space="preserve">M&amp;A Activity </w:t>
      </w:r>
      <w:r w:rsidR="00B83B6F">
        <w:t>by</w:t>
      </w:r>
      <w:r>
        <w:t xml:space="preserve"> State</w:t>
      </w:r>
    </w:p>
    <w:p w14:paraId="329EC1A7" w14:textId="4AA9A0EF" w:rsidR="001E26E8" w:rsidRDefault="00BE76FD" w:rsidP="001E26E8">
      <w:r>
        <w:t>The M&amp;A boom in Q4 was felt across the nation</w:t>
      </w:r>
      <w:r w:rsidR="005929AF">
        <w:t xml:space="preserve"> where every state in the union had M&amp;A activity. </w:t>
      </w:r>
      <w:r>
        <w:t>California, Texas, and New York lead</w:t>
      </w:r>
      <w:r w:rsidR="005929AF">
        <w:t xml:space="preserve"> </w:t>
      </w:r>
      <w:r>
        <w:t xml:space="preserve">the </w:t>
      </w:r>
      <w:r w:rsidR="005929AF">
        <w:t>pack</w:t>
      </w:r>
      <w:r>
        <w:t xml:space="preserve"> with </w:t>
      </w:r>
      <w:r w:rsidR="00D849E4">
        <w:t>419, 212, and 211 deals announced, respectively.</w:t>
      </w:r>
      <w:r w:rsidR="005929AF">
        <w:t xml:space="preserve"> </w:t>
      </w:r>
      <w:r w:rsidR="00900CFD">
        <w:t xml:space="preserve">The next tier of activity was in </w:t>
      </w:r>
      <w:r w:rsidR="005929AF">
        <w:t>Florida, Illinois, and Massachusetts</w:t>
      </w:r>
      <w:r w:rsidR="00900CFD">
        <w:t>, which</w:t>
      </w:r>
      <w:r w:rsidR="005929AF">
        <w:t xml:space="preserve"> ended the quarter with 134, 111, and </w:t>
      </w:r>
      <w:r w:rsidR="00900CFD">
        <w:t>106 deals announced, respectively.</w:t>
      </w:r>
    </w:p>
    <w:p w14:paraId="7A46FA16" w14:textId="7D28DD62" w:rsidR="00923769" w:rsidRDefault="00900CFD" w:rsidP="001E26E8">
      <w:r>
        <w:t xml:space="preserve">Regionally, the </w:t>
      </w:r>
      <w:r w:rsidR="00D3247C">
        <w:t>W</w:t>
      </w:r>
      <w:r>
        <w:t xml:space="preserve">est, Midwest, </w:t>
      </w:r>
      <w:r w:rsidR="00D3247C">
        <w:t>M</w:t>
      </w:r>
      <w:r>
        <w:t xml:space="preserve">id-Atlantic, and </w:t>
      </w:r>
      <w:r w:rsidR="00D3247C">
        <w:t>S</w:t>
      </w:r>
      <w:r>
        <w:t>outhern regions experienced robust M&amp;A activity with the plains and mid-south lagging</w:t>
      </w:r>
      <w:r w:rsidR="00147561">
        <w:t xml:space="preserve"> on a relative basis. </w:t>
      </w:r>
    </w:p>
    <w:p w14:paraId="0EF994D7" w14:textId="77777777" w:rsidR="00662A45" w:rsidRDefault="00662A45" w:rsidP="001E26E8"/>
    <w:p w14:paraId="5FD9C9E3" w14:textId="0A4CC20F" w:rsidR="004D1C9D" w:rsidRDefault="00F33792" w:rsidP="006D4E8F">
      <w:pPr>
        <w:jc w:val="center"/>
      </w:pPr>
      <w:r w:rsidRPr="00F33792">
        <w:rPr>
          <w:noProof/>
        </w:rPr>
        <w:drawing>
          <wp:inline distT="0" distB="0" distL="0" distR="0" wp14:anchorId="428D1683" wp14:editId="1A17473C">
            <wp:extent cx="5943600" cy="34493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49320"/>
                    </a:xfrm>
                    <a:prstGeom prst="rect">
                      <a:avLst/>
                    </a:prstGeom>
                    <a:noFill/>
                    <a:ln>
                      <a:noFill/>
                    </a:ln>
                  </pic:spPr>
                </pic:pic>
              </a:graphicData>
            </a:graphic>
          </wp:inline>
        </w:drawing>
      </w:r>
    </w:p>
    <w:p w14:paraId="5CE515E4" w14:textId="77777777" w:rsidR="00341AFD" w:rsidRDefault="00341AFD" w:rsidP="006D4E8F">
      <w:pPr>
        <w:jc w:val="center"/>
      </w:pPr>
    </w:p>
    <w:p w14:paraId="149D5F03" w14:textId="6EC3AE93" w:rsidR="0076717F" w:rsidRPr="00F94484" w:rsidRDefault="0076717F" w:rsidP="002D2BFA">
      <w:pPr>
        <w:pStyle w:val="ListParagraph"/>
      </w:pPr>
      <w:r>
        <w:br w:type="page"/>
      </w:r>
    </w:p>
    <w:p w14:paraId="149D5F04" w14:textId="59383444" w:rsidR="00057711" w:rsidRDefault="00B83B6F" w:rsidP="00057711">
      <w:pPr>
        <w:pStyle w:val="Heading1"/>
      </w:pPr>
      <w:bookmarkStart w:id="0" w:name="_Hlk93571760"/>
      <w:r>
        <w:lastRenderedPageBreak/>
        <w:t>M&amp;A Activity by Deal Type</w:t>
      </w:r>
    </w:p>
    <w:p w14:paraId="4BD4D7F0" w14:textId="6212A8AF" w:rsidR="00662A45" w:rsidRDefault="00493C94" w:rsidP="00057711">
      <w:r>
        <w:t>Q4 saw more 100% buyouts than any other deal type with 1,539 deals. These deals</w:t>
      </w:r>
      <w:r w:rsidR="002069B8">
        <w:t xml:space="preserve"> are</w:t>
      </w:r>
      <w:r>
        <w:t xml:space="preserve"> primarily acquisitions made by companies that are not affiliated with an investor. The next most popular deal type </w:t>
      </w:r>
      <w:r w:rsidR="002069B8">
        <w:t xml:space="preserve">during the quarter </w:t>
      </w:r>
      <w:r>
        <w:t>with 880 transaction</w:t>
      </w:r>
      <w:r w:rsidR="002069B8">
        <w:t>s</w:t>
      </w:r>
      <w:r>
        <w:t xml:space="preserve"> was add-on acquisitions by companies that are affiliated with an investor. Minority stakes and private equity acquisitions followed </w:t>
      </w:r>
      <w:r w:rsidR="00674DFD">
        <w:t xml:space="preserve">next with 309 and 185 deals during the quarter, respectively. </w:t>
      </w:r>
    </w:p>
    <w:p w14:paraId="184199C4" w14:textId="77777777" w:rsidR="00662A45" w:rsidRDefault="00662A45" w:rsidP="00057711"/>
    <w:bookmarkEnd w:id="0"/>
    <w:p w14:paraId="743DB34C" w14:textId="0DB2D26D" w:rsidR="00DF1706" w:rsidRDefault="00662A45" w:rsidP="002069B8">
      <w:pPr>
        <w:jc w:val="center"/>
      </w:pPr>
      <w:r>
        <w:rPr>
          <w:noProof/>
        </w:rPr>
        <w:drawing>
          <wp:inline distT="0" distB="0" distL="0" distR="0" wp14:anchorId="17CD6A0A" wp14:editId="1546D38E">
            <wp:extent cx="4572635" cy="3078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078480"/>
                    </a:xfrm>
                    <a:prstGeom prst="rect">
                      <a:avLst/>
                    </a:prstGeom>
                    <a:noFill/>
                  </pic:spPr>
                </pic:pic>
              </a:graphicData>
            </a:graphic>
          </wp:inline>
        </w:drawing>
      </w:r>
    </w:p>
    <w:p w14:paraId="203F5626" w14:textId="77777777" w:rsidR="002069B8" w:rsidRDefault="002069B8" w:rsidP="002069B8">
      <w:pPr>
        <w:jc w:val="center"/>
      </w:pPr>
    </w:p>
    <w:p w14:paraId="1C774D89" w14:textId="77777777" w:rsidR="008273B1" w:rsidRDefault="008273B1">
      <w:pPr>
        <w:rPr>
          <w:rFonts w:asciiTheme="majorHAnsi" w:eastAsiaTheme="majorEastAsia" w:hAnsiTheme="majorHAnsi" w:cstheme="majorBidi"/>
          <w:color w:val="008FD5"/>
          <w:sz w:val="36"/>
          <w:szCs w:val="32"/>
        </w:rPr>
      </w:pPr>
      <w:r>
        <w:br w:type="page"/>
      </w:r>
    </w:p>
    <w:p w14:paraId="263ABD5E" w14:textId="04D93949" w:rsidR="00674DFD" w:rsidRDefault="00674DFD" w:rsidP="00674DFD">
      <w:pPr>
        <w:pStyle w:val="Heading1"/>
      </w:pPr>
      <w:r>
        <w:lastRenderedPageBreak/>
        <w:t>M&amp;A Activity by Acquirer Type</w:t>
      </w:r>
    </w:p>
    <w:p w14:paraId="367F9697" w14:textId="2175F93F" w:rsidR="00674DFD" w:rsidRDefault="002069B8" w:rsidP="00674DFD">
      <w:r>
        <w:t>Private companies went on a buying spree in Q4 with 47% of the deals announced. Public companies were involved in 31% of the deals while investors were involved in 22% of the deals.</w:t>
      </w:r>
    </w:p>
    <w:p w14:paraId="229AC315" w14:textId="77777777" w:rsidR="00674DFD" w:rsidRDefault="00674DFD" w:rsidP="00674DFD"/>
    <w:p w14:paraId="0D5F2537" w14:textId="38D8AC46" w:rsidR="009E2CF4" w:rsidRDefault="00970616" w:rsidP="0016004E">
      <w:pPr>
        <w:jc w:val="center"/>
      </w:pPr>
      <w:r>
        <w:rPr>
          <w:noProof/>
        </w:rPr>
        <w:drawing>
          <wp:inline distT="0" distB="0" distL="0" distR="0" wp14:anchorId="75E37829" wp14:editId="067CBB1B">
            <wp:extent cx="4572635" cy="30607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060700"/>
                    </a:xfrm>
                    <a:prstGeom prst="rect">
                      <a:avLst/>
                    </a:prstGeom>
                    <a:noFill/>
                  </pic:spPr>
                </pic:pic>
              </a:graphicData>
            </a:graphic>
          </wp:inline>
        </w:drawing>
      </w:r>
    </w:p>
    <w:p w14:paraId="6B55C34F" w14:textId="77777777" w:rsidR="002069B8" w:rsidRDefault="002069B8" w:rsidP="0016004E">
      <w:pPr>
        <w:jc w:val="center"/>
      </w:pPr>
    </w:p>
    <w:p w14:paraId="456966D1" w14:textId="77777777" w:rsidR="008273B1" w:rsidRDefault="008273B1">
      <w:pPr>
        <w:rPr>
          <w:rFonts w:asciiTheme="majorHAnsi" w:eastAsiaTheme="majorEastAsia" w:hAnsiTheme="majorHAnsi" w:cstheme="majorBidi"/>
          <w:color w:val="008FD5"/>
          <w:sz w:val="36"/>
          <w:szCs w:val="32"/>
        </w:rPr>
      </w:pPr>
      <w:r>
        <w:br w:type="page"/>
      </w:r>
    </w:p>
    <w:p w14:paraId="09A04420" w14:textId="27E63419" w:rsidR="002069B8" w:rsidRDefault="002069B8" w:rsidP="002069B8">
      <w:pPr>
        <w:pStyle w:val="Heading1"/>
      </w:pPr>
      <w:r>
        <w:lastRenderedPageBreak/>
        <w:t>Deal Activity by Sector</w:t>
      </w:r>
    </w:p>
    <w:p w14:paraId="6462363F" w14:textId="79138D97" w:rsidR="002069B8" w:rsidRDefault="0028428F" w:rsidP="002069B8">
      <w:r>
        <w:t>Transactions in the</w:t>
      </w:r>
      <w:r w:rsidR="002069B8">
        <w:t xml:space="preserve"> Services sector </w:t>
      </w:r>
      <w:r>
        <w:t>were more than the all other sectors combined in Q4 with 1,882 total deals. Manufacturing had 463 deals with Financial and Trade (retail and wholesale) following with 310 and 301 transactions, respectively.</w:t>
      </w:r>
    </w:p>
    <w:p w14:paraId="71B00AEE" w14:textId="77777777" w:rsidR="002069B8" w:rsidRDefault="002069B8" w:rsidP="002069B8"/>
    <w:p w14:paraId="5D521194" w14:textId="29177B12" w:rsidR="008273B1" w:rsidRPr="008273B1" w:rsidRDefault="0028428F" w:rsidP="008273B1">
      <w:pPr>
        <w:jc w:val="center"/>
      </w:pPr>
      <w:r>
        <w:rPr>
          <w:noProof/>
        </w:rPr>
        <w:drawing>
          <wp:inline distT="0" distB="0" distL="0" distR="0" wp14:anchorId="53D18EC5" wp14:editId="3540EECF">
            <wp:extent cx="4572635" cy="30848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084830"/>
                    </a:xfrm>
                    <a:prstGeom prst="rect">
                      <a:avLst/>
                    </a:prstGeom>
                    <a:noFill/>
                  </pic:spPr>
                </pic:pic>
              </a:graphicData>
            </a:graphic>
          </wp:inline>
        </w:drawing>
      </w:r>
    </w:p>
    <w:p w14:paraId="3F319806" w14:textId="77777777" w:rsidR="00674CE3" w:rsidRDefault="00674CE3">
      <w:pPr>
        <w:rPr>
          <w:rFonts w:asciiTheme="majorHAnsi" w:eastAsiaTheme="majorEastAsia" w:hAnsiTheme="majorHAnsi" w:cstheme="majorBidi"/>
          <w:color w:val="008FD5"/>
          <w:sz w:val="36"/>
          <w:szCs w:val="32"/>
        </w:rPr>
      </w:pPr>
      <w:r>
        <w:br w:type="page"/>
      </w:r>
    </w:p>
    <w:p w14:paraId="27D563D2" w14:textId="371ED7D8" w:rsidR="005A66B1" w:rsidRDefault="005A66B1" w:rsidP="005A66B1">
      <w:pPr>
        <w:pStyle w:val="Heading1"/>
      </w:pPr>
      <w:r>
        <w:lastRenderedPageBreak/>
        <w:t xml:space="preserve">Strategic Buyer </w:t>
      </w:r>
      <w:r w:rsidR="00A11E1C">
        <w:t>Activity</w:t>
      </w:r>
    </w:p>
    <w:p w14:paraId="4063326D" w14:textId="0AF96928" w:rsidR="005A66B1" w:rsidRDefault="005A66B1" w:rsidP="005A66B1">
      <w:r>
        <w:t>During Q4 there were 2,181 strategic buyers with acquisition activity</w:t>
      </w:r>
      <w:r w:rsidR="005E5D16">
        <w:t xml:space="preserve">. Below is a chart of the 25 most acquisitive strategic buyers during the quarter. </w:t>
      </w:r>
    </w:p>
    <w:p w14:paraId="57449B9A" w14:textId="77777777" w:rsidR="00A325EC" w:rsidRDefault="00A325EC" w:rsidP="005A66B1"/>
    <w:p w14:paraId="149D5F1F" w14:textId="700E816B" w:rsidR="00172307" w:rsidRDefault="00651DAB" w:rsidP="00BA7A2C">
      <w:pPr>
        <w:jc w:val="center"/>
      </w:pPr>
      <w:r>
        <w:rPr>
          <w:noProof/>
        </w:rPr>
        <w:drawing>
          <wp:inline distT="0" distB="0" distL="0" distR="0" wp14:anchorId="5157C42C" wp14:editId="6F216AE3">
            <wp:extent cx="4578350" cy="5572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5572125"/>
                    </a:xfrm>
                    <a:prstGeom prst="rect">
                      <a:avLst/>
                    </a:prstGeom>
                    <a:noFill/>
                  </pic:spPr>
                </pic:pic>
              </a:graphicData>
            </a:graphic>
          </wp:inline>
        </w:drawing>
      </w:r>
    </w:p>
    <w:p w14:paraId="43D0FA99" w14:textId="01B2E8E7" w:rsidR="0052327D" w:rsidRDefault="0052327D" w:rsidP="0052327D">
      <w:pPr>
        <w:rPr>
          <w:color w:val="000000" w:themeColor="text1"/>
        </w:rPr>
      </w:pPr>
    </w:p>
    <w:p w14:paraId="2970B991" w14:textId="77777777" w:rsidR="008273B1" w:rsidRDefault="008273B1">
      <w:pPr>
        <w:rPr>
          <w:rFonts w:asciiTheme="majorHAnsi" w:eastAsiaTheme="majorEastAsia" w:hAnsiTheme="majorHAnsi" w:cstheme="majorBidi"/>
          <w:color w:val="008FD5"/>
          <w:sz w:val="36"/>
          <w:szCs w:val="32"/>
        </w:rPr>
      </w:pPr>
      <w:r>
        <w:br w:type="page"/>
      </w:r>
    </w:p>
    <w:p w14:paraId="029CDA2F" w14:textId="72524934" w:rsidR="005E5D16" w:rsidRDefault="005E5D16" w:rsidP="005E5D16">
      <w:pPr>
        <w:pStyle w:val="Heading1"/>
      </w:pPr>
      <w:r>
        <w:lastRenderedPageBreak/>
        <w:t xml:space="preserve">Financial Buyer </w:t>
      </w:r>
      <w:r w:rsidR="00A11E1C">
        <w:t>Activity</w:t>
      </w:r>
    </w:p>
    <w:p w14:paraId="566ADF64" w14:textId="70B0039A" w:rsidR="005E5D16" w:rsidRDefault="005E5D16" w:rsidP="005E5D16">
      <w:r>
        <w:t xml:space="preserve">During Q4 there were 473 financial buyers with deal activity. Below is a chart of the 25 most active financial buyers during the quarter. </w:t>
      </w:r>
    </w:p>
    <w:p w14:paraId="479D8FA7" w14:textId="77777777" w:rsidR="005E5D16" w:rsidRPr="0052327D" w:rsidRDefault="005E5D16" w:rsidP="0052327D">
      <w:pPr>
        <w:rPr>
          <w:color w:val="000000" w:themeColor="text1"/>
        </w:rPr>
      </w:pPr>
    </w:p>
    <w:p w14:paraId="149D5F3C" w14:textId="202B05F2" w:rsidR="00B94E68" w:rsidRDefault="00651DAB" w:rsidP="0026599C">
      <w:pPr>
        <w:jc w:val="center"/>
      </w:pPr>
      <w:r>
        <w:rPr>
          <w:noProof/>
        </w:rPr>
        <w:drawing>
          <wp:inline distT="0" distB="0" distL="0" distR="0" wp14:anchorId="48D9C370" wp14:editId="226F3AAF">
            <wp:extent cx="4572635" cy="5578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5578475"/>
                    </a:xfrm>
                    <a:prstGeom prst="rect">
                      <a:avLst/>
                    </a:prstGeom>
                    <a:noFill/>
                  </pic:spPr>
                </pic:pic>
              </a:graphicData>
            </a:graphic>
          </wp:inline>
        </w:drawing>
      </w:r>
    </w:p>
    <w:p w14:paraId="0D544EB8" w14:textId="765CA5D5" w:rsidR="00651DAB" w:rsidRDefault="00651DAB" w:rsidP="0026599C">
      <w:pPr>
        <w:jc w:val="center"/>
      </w:pPr>
    </w:p>
    <w:p w14:paraId="01AA3144" w14:textId="77777777" w:rsidR="008273B1" w:rsidRDefault="008273B1">
      <w:pPr>
        <w:rPr>
          <w:rFonts w:asciiTheme="majorHAnsi" w:eastAsiaTheme="majorEastAsia" w:hAnsiTheme="majorHAnsi" w:cstheme="majorBidi"/>
          <w:color w:val="008FD5"/>
          <w:sz w:val="36"/>
          <w:szCs w:val="32"/>
        </w:rPr>
      </w:pPr>
      <w:r>
        <w:br w:type="page"/>
      </w:r>
    </w:p>
    <w:p w14:paraId="14105B73" w14:textId="314952E0" w:rsidR="00651DAB" w:rsidRDefault="00651DAB" w:rsidP="00651DAB">
      <w:pPr>
        <w:pStyle w:val="Heading1"/>
      </w:pPr>
      <w:r>
        <w:lastRenderedPageBreak/>
        <w:t xml:space="preserve">Financial Advisor </w:t>
      </w:r>
      <w:r w:rsidR="00A11E1C">
        <w:t>Activity</w:t>
      </w:r>
    </w:p>
    <w:p w14:paraId="529102D3" w14:textId="69C037B1" w:rsidR="00651DAB" w:rsidRDefault="00651DAB" w:rsidP="00651DAB">
      <w:r>
        <w:t xml:space="preserve">During Q4 there were </w:t>
      </w:r>
      <w:r w:rsidR="00146251">
        <w:t>539</w:t>
      </w:r>
      <w:r>
        <w:t xml:space="preserve"> financial </w:t>
      </w:r>
      <w:r w:rsidR="00146251">
        <w:t>advisors</w:t>
      </w:r>
      <w:r>
        <w:t xml:space="preserve"> </w:t>
      </w:r>
      <w:r w:rsidR="00146251">
        <w:t>tagged in deals</w:t>
      </w:r>
      <w:r>
        <w:t xml:space="preserve">. Below is a chart of the 25 most active financial </w:t>
      </w:r>
      <w:r w:rsidR="00146251">
        <w:t>advisors</w:t>
      </w:r>
      <w:r>
        <w:t xml:space="preserve"> during the quarter. </w:t>
      </w:r>
    </w:p>
    <w:p w14:paraId="5B52D709" w14:textId="77777777" w:rsidR="00651DAB" w:rsidRDefault="00651DAB" w:rsidP="00651DAB"/>
    <w:p w14:paraId="51050840" w14:textId="0DF840E6" w:rsidR="00F03302" w:rsidRDefault="006E79DA" w:rsidP="00166C08">
      <w:pPr>
        <w:jc w:val="center"/>
      </w:pPr>
      <w:r>
        <w:rPr>
          <w:noProof/>
        </w:rPr>
        <w:drawing>
          <wp:inline distT="0" distB="0" distL="0" distR="0" wp14:anchorId="799B8E6E" wp14:editId="1B0AF225">
            <wp:extent cx="4572635" cy="5572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5572125"/>
                    </a:xfrm>
                    <a:prstGeom prst="rect">
                      <a:avLst/>
                    </a:prstGeom>
                    <a:noFill/>
                  </pic:spPr>
                </pic:pic>
              </a:graphicData>
            </a:graphic>
          </wp:inline>
        </w:drawing>
      </w:r>
    </w:p>
    <w:p w14:paraId="0420E509" w14:textId="1D38D9F7" w:rsidR="00100DF8" w:rsidRDefault="00100DF8" w:rsidP="00FD0160">
      <w:pPr>
        <w:jc w:val="center"/>
      </w:pPr>
    </w:p>
    <w:p w14:paraId="5A0D3A46" w14:textId="77777777" w:rsidR="008273B1" w:rsidRDefault="008273B1">
      <w:pPr>
        <w:rPr>
          <w:rFonts w:asciiTheme="majorHAnsi" w:eastAsiaTheme="majorEastAsia" w:hAnsiTheme="majorHAnsi" w:cstheme="majorBidi"/>
          <w:color w:val="008FD5"/>
          <w:sz w:val="36"/>
          <w:szCs w:val="32"/>
        </w:rPr>
      </w:pPr>
      <w:r>
        <w:br w:type="page"/>
      </w:r>
    </w:p>
    <w:p w14:paraId="306764EF" w14:textId="50E66134" w:rsidR="00146251" w:rsidRDefault="00146251" w:rsidP="00146251">
      <w:pPr>
        <w:pStyle w:val="Heading1"/>
      </w:pPr>
      <w:r>
        <w:lastRenderedPageBreak/>
        <w:t xml:space="preserve">Legal Advisor </w:t>
      </w:r>
      <w:r w:rsidR="00A11E1C">
        <w:t>Activity</w:t>
      </w:r>
    </w:p>
    <w:p w14:paraId="0997E784" w14:textId="7EA9BC18" w:rsidR="00146251" w:rsidRDefault="00146251" w:rsidP="00146251">
      <w:r>
        <w:t xml:space="preserve">During Q4 there were 396 legal advisors tagged in deals. Below is a chart of the 25 most active legal advisors during the quarter. </w:t>
      </w:r>
    </w:p>
    <w:p w14:paraId="290E9B45" w14:textId="77777777" w:rsidR="00146251" w:rsidRPr="00354195" w:rsidRDefault="00146251" w:rsidP="00146251"/>
    <w:p w14:paraId="4D630423" w14:textId="3451D96A" w:rsidR="00FD0160" w:rsidRDefault="006E79DA" w:rsidP="002308A9">
      <w:pPr>
        <w:jc w:val="center"/>
      </w:pPr>
      <w:r>
        <w:rPr>
          <w:noProof/>
        </w:rPr>
        <w:drawing>
          <wp:inline distT="0" distB="0" distL="0" distR="0" wp14:anchorId="5912E113" wp14:editId="0FBBD7C8">
            <wp:extent cx="4572635" cy="5572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5572125"/>
                    </a:xfrm>
                    <a:prstGeom prst="rect">
                      <a:avLst/>
                    </a:prstGeom>
                    <a:noFill/>
                  </pic:spPr>
                </pic:pic>
              </a:graphicData>
            </a:graphic>
          </wp:inline>
        </w:drawing>
      </w:r>
    </w:p>
    <w:p w14:paraId="3DA5A3C9" w14:textId="77777777" w:rsidR="002308A9" w:rsidRDefault="002308A9">
      <w:pPr>
        <w:rPr>
          <w:rFonts w:asciiTheme="majorHAnsi" w:eastAsiaTheme="majorEastAsia" w:hAnsiTheme="majorHAnsi" w:cstheme="majorBidi"/>
          <w:color w:val="008FD5"/>
          <w:sz w:val="36"/>
          <w:szCs w:val="32"/>
        </w:rPr>
      </w:pPr>
      <w:r>
        <w:br w:type="page"/>
      </w:r>
    </w:p>
    <w:p w14:paraId="149D5FB3" w14:textId="386CB697" w:rsidR="00005111" w:rsidRPr="0017465F" w:rsidRDefault="00005111" w:rsidP="001475FF">
      <w:pPr>
        <w:pStyle w:val="Heading1"/>
      </w:pPr>
      <w:r w:rsidRPr="0017465F">
        <w:lastRenderedPageBreak/>
        <w:t>About This Report</w:t>
      </w:r>
    </w:p>
    <w:p w14:paraId="32A5BD6B" w14:textId="14C71AAB" w:rsidR="00A00EBD" w:rsidRDefault="00BB34CA" w:rsidP="004C20AB">
      <w:r w:rsidRPr="0017465F">
        <w:t xml:space="preserve">The </w:t>
      </w:r>
      <w:r w:rsidRPr="0017465F">
        <w:rPr>
          <w:i/>
        </w:rPr>
        <w:t xml:space="preserve">Quarterly </w:t>
      </w:r>
      <w:r w:rsidR="005D307F">
        <w:rPr>
          <w:i/>
        </w:rPr>
        <w:t xml:space="preserve">M&amp;A </w:t>
      </w:r>
      <w:r w:rsidRPr="0017465F">
        <w:rPr>
          <w:i/>
        </w:rPr>
        <w:t>Update</w:t>
      </w:r>
      <w:r w:rsidRPr="0017465F">
        <w:t xml:space="preserve"> is a free publication sponsored by TagniFi. You are free to share this report</w:t>
      </w:r>
      <w:r w:rsidR="005D307F">
        <w:t xml:space="preserve"> with your colleagues and clients</w:t>
      </w:r>
      <w:r w:rsidRPr="0017465F">
        <w:t xml:space="preserve">. </w:t>
      </w:r>
      <w:r w:rsidR="005D307F">
        <w:t xml:space="preserve">In fact, we would appreciate it if you </w:t>
      </w:r>
      <w:r w:rsidR="00A00EBD">
        <w:t>w</w:t>
      </w:r>
      <w:r w:rsidR="005D307F">
        <w:t>ould p</w:t>
      </w:r>
      <w:r w:rsidRPr="0017465F">
        <w:t xml:space="preserve">lease forward this </w:t>
      </w:r>
      <w:r w:rsidR="00DF67C7" w:rsidRPr="0017465F">
        <w:t xml:space="preserve">free </w:t>
      </w:r>
      <w:r w:rsidRPr="0017465F">
        <w:t xml:space="preserve">report </w:t>
      </w:r>
      <w:r w:rsidR="005D307F">
        <w:t xml:space="preserve">to a few friends </w:t>
      </w:r>
      <w:r w:rsidR="00DF67C7" w:rsidRPr="0017465F">
        <w:t>to help us spread the word about TagniFi</w:t>
      </w:r>
      <w:r w:rsidR="000A2FC1">
        <w:t xml:space="preserve"> as an alternative data platform</w:t>
      </w:r>
      <w:r w:rsidRPr="0017465F">
        <w:t>.</w:t>
      </w:r>
      <w:r w:rsidR="000A2FC1">
        <w:t xml:space="preserve"> We typically save our clients 85% when they make the switch from Capital IQ or PitchBook. Learn more or request a demo at </w:t>
      </w:r>
      <w:hyperlink r:id="rId20" w:history="1">
        <w:r w:rsidR="000A2FC1" w:rsidRPr="000A2FC1">
          <w:rPr>
            <w:rStyle w:val="Hyperlink"/>
          </w:rPr>
          <w:t>tagnifi.com</w:t>
        </w:r>
      </w:hyperlink>
      <w:r w:rsidR="000A2FC1">
        <w:t>.</w:t>
      </w:r>
    </w:p>
    <w:p w14:paraId="3556DF73" w14:textId="5389D548" w:rsidR="004E080A" w:rsidRDefault="004E080A" w:rsidP="004C20AB">
      <w:r>
        <w:t>As of the date of this report, the TagniFi platform includes data on the following:</w:t>
      </w:r>
    </w:p>
    <w:p w14:paraId="69C7FF86" w14:textId="0A1F8D94" w:rsidR="004E080A" w:rsidRDefault="004E080A" w:rsidP="004E080A">
      <w:pPr>
        <w:pStyle w:val="ListParagraph"/>
        <w:numPr>
          <w:ilvl w:val="0"/>
          <w:numId w:val="6"/>
        </w:numPr>
      </w:pPr>
      <w:r>
        <w:t>8,915 public companies</w:t>
      </w:r>
    </w:p>
    <w:p w14:paraId="7787270D" w14:textId="13671E64" w:rsidR="004E080A" w:rsidRDefault="00ED6E73" w:rsidP="004E080A">
      <w:pPr>
        <w:pStyle w:val="ListParagraph"/>
        <w:numPr>
          <w:ilvl w:val="0"/>
          <w:numId w:val="6"/>
        </w:numPr>
      </w:pPr>
      <w:r>
        <w:t>64,988 private companies</w:t>
      </w:r>
    </w:p>
    <w:p w14:paraId="20549A85" w14:textId="5B4F5F1A" w:rsidR="004E080A" w:rsidRDefault="004E080A" w:rsidP="004E080A">
      <w:pPr>
        <w:pStyle w:val="ListParagraph"/>
        <w:numPr>
          <w:ilvl w:val="0"/>
          <w:numId w:val="6"/>
        </w:numPr>
      </w:pPr>
      <w:r>
        <w:t>42,931 M&amp;A transactions</w:t>
      </w:r>
    </w:p>
    <w:p w14:paraId="0F005B50" w14:textId="42892264" w:rsidR="004E080A" w:rsidRDefault="004E080A" w:rsidP="004E080A">
      <w:pPr>
        <w:pStyle w:val="ListParagraph"/>
        <w:numPr>
          <w:ilvl w:val="0"/>
          <w:numId w:val="6"/>
        </w:numPr>
      </w:pPr>
      <w:r>
        <w:t>4,578 private equity investors</w:t>
      </w:r>
    </w:p>
    <w:p w14:paraId="21F924DB" w14:textId="58C7CB08" w:rsidR="004E080A" w:rsidRDefault="004E080A" w:rsidP="004E080A">
      <w:pPr>
        <w:pStyle w:val="ListParagraph"/>
        <w:numPr>
          <w:ilvl w:val="0"/>
          <w:numId w:val="6"/>
        </w:numPr>
      </w:pPr>
      <w:r>
        <w:t>1,786 financial (M&amp;A) advisors</w:t>
      </w:r>
    </w:p>
    <w:p w14:paraId="03C4E812" w14:textId="175A6FA9" w:rsidR="004E080A" w:rsidRDefault="004E080A" w:rsidP="004E080A">
      <w:pPr>
        <w:pStyle w:val="ListParagraph"/>
        <w:numPr>
          <w:ilvl w:val="0"/>
          <w:numId w:val="6"/>
        </w:numPr>
      </w:pPr>
      <w:r>
        <w:t>1,656 legal advisors</w:t>
      </w:r>
    </w:p>
    <w:p w14:paraId="037A5AA0" w14:textId="524C47C4" w:rsidR="004E080A" w:rsidRDefault="004E080A" w:rsidP="004E080A">
      <w:pPr>
        <w:pStyle w:val="ListParagraph"/>
        <w:numPr>
          <w:ilvl w:val="0"/>
          <w:numId w:val="6"/>
        </w:numPr>
      </w:pPr>
      <w:r>
        <w:t xml:space="preserve">25,009 private equity </w:t>
      </w:r>
      <w:r w:rsidR="00ED6E73">
        <w:t>professionals</w:t>
      </w:r>
    </w:p>
    <w:p w14:paraId="542AD44E" w14:textId="6673D9B6" w:rsidR="004E080A" w:rsidRDefault="004E080A" w:rsidP="004E080A">
      <w:pPr>
        <w:pStyle w:val="ListParagraph"/>
        <w:numPr>
          <w:ilvl w:val="0"/>
          <w:numId w:val="6"/>
        </w:numPr>
      </w:pPr>
      <w:r>
        <w:t xml:space="preserve">14,696 advisor </w:t>
      </w:r>
      <w:r w:rsidR="00ED6E73">
        <w:t>professionals</w:t>
      </w:r>
    </w:p>
    <w:p w14:paraId="0573FB2E" w14:textId="549398AC" w:rsidR="00ED6E73" w:rsidRDefault="00ED6E73" w:rsidP="004E080A">
      <w:pPr>
        <w:pStyle w:val="ListParagraph"/>
        <w:numPr>
          <w:ilvl w:val="0"/>
          <w:numId w:val="6"/>
        </w:numPr>
      </w:pPr>
      <w:r>
        <w:t>812,576 economic and industry time series</w:t>
      </w:r>
    </w:p>
    <w:p w14:paraId="3D54D806" w14:textId="77777777" w:rsidR="009C151B" w:rsidRDefault="009C151B" w:rsidP="009C151B">
      <w:pPr>
        <w:pStyle w:val="ListParagraph"/>
      </w:pPr>
    </w:p>
    <w:p w14:paraId="3CBBC851" w14:textId="75877E4B" w:rsidR="00A00EBD" w:rsidRPr="000A2FC1" w:rsidRDefault="00A00EBD" w:rsidP="004C20AB">
      <w:r>
        <w:rPr>
          <w:noProof/>
        </w:rPr>
        <w:drawing>
          <wp:inline distT="0" distB="0" distL="0" distR="0" wp14:anchorId="33A2C9EF" wp14:editId="511C66FC">
            <wp:extent cx="5800725" cy="4168257"/>
            <wp:effectExtent l="0" t="0" r="0" b="381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4546" t="5730" b="5902"/>
                    <a:stretch/>
                  </pic:blipFill>
                  <pic:spPr bwMode="auto">
                    <a:xfrm>
                      <a:off x="0" y="0"/>
                      <a:ext cx="5826798" cy="4186993"/>
                    </a:xfrm>
                    <a:prstGeom prst="rect">
                      <a:avLst/>
                    </a:prstGeom>
                    <a:noFill/>
                    <a:ln>
                      <a:noFill/>
                    </a:ln>
                    <a:extLst>
                      <a:ext uri="{53640926-AAD7-44D8-BBD7-CCE9431645EC}">
                        <a14:shadowObscured xmlns:a14="http://schemas.microsoft.com/office/drawing/2010/main"/>
                      </a:ext>
                    </a:extLst>
                  </pic:spPr>
                </pic:pic>
              </a:graphicData>
            </a:graphic>
          </wp:inline>
        </w:drawing>
      </w:r>
    </w:p>
    <w:sectPr w:rsidR="00A00EBD" w:rsidRPr="000A2FC1" w:rsidSect="00005111">
      <w:headerReference w:type="default" r:id="rId22"/>
      <w:footerReference w:type="defaul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F9FA" w14:textId="77777777" w:rsidR="00CD382C" w:rsidRDefault="00CD382C" w:rsidP="00171C8E">
      <w:pPr>
        <w:spacing w:after="0" w:line="240" w:lineRule="auto"/>
      </w:pPr>
      <w:r>
        <w:separator/>
      </w:r>
    </w:p>
  </w:endnote>
  <w:endnote w:type="continuationSeparator" w:id="0">
    <w:p w14:paraId="579ED93E" w14:textId="77777777" w:rsidR="00CD382C" w:rsidRDefault="00CD382C" w:rsidP="0017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5FE8" w14:textId="7F5A902A" w:rsidR="00111911" w:rsidRDefault="00111911">
    <w:pPr>
      <w:pStyle w:val="Footer"/>
    </w:pPr>
    <w:r>
      <w:t>© 202</w:t>
    </w:r>
    <w:r w:rsidR="00562D7D">
      <w:t>2</w:t>
    </w:r>
    <w:r>
      <w:t xml:space="preserve"> TagniFi, LLC. All rights reserved.</w:t>
    </w:r>
    <w:r>
      <w:tab/>
    </w:r>
    <w:r>
      <w:tab/>
      <w:t xml:space="preserve">Page </w:t>
    </w:r>
    <w:r>
      <w:fldChar w:fldCharType="begin"/>
    </w:r>
    <w:r>
      <w:instrText xml:space="preserve"> PAGE   \* MERGEFORMAT </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AF58" w14:textId="5EAC5F17" w:rsidR="00111911" w:rsidRDefault="00111911">
    <w:pPr>
      <w:pStyle w:val="Footer"/>
    </w:pPr>
    <w:r>
      <w:t>TagniFi.com</w:t>
    </w:r>
    <w:r>
      <w:tab/>
    </w:r>
    <w:r>
      <w:tab/>
      <w:t>800-TagniFi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2F4B" w14:textId="77777777" w:rsidR="00CD382C" w:rsidRDefault="00CD382C" w:rsidP="00171C8E">
      <w:pPr>
        <w:spacing w:after="0" w:line="240" w:lineRule="auto"/>
      </w:pPr>
      <w:r>
        <w:separator/>
      </w:r>
    </w:p>
  </w:footnote>
  <w:footnote w:type="continuationSeparator" w:id="0">
    <w:p w14:paraId="2BCEE241" w14:textId="77777777" w:rsidR="00CD382C" w:rsidRDefault="00CD382C" w:rsidP="0017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5FE7" w14:textId="1D7B8E6A" w:rsidR="00111911" w:rsidRPr="00460436" w:rsidRDefault="00111911" w:rsidP="00460436">
    <w:pPr>
      <w:pStyle w:val="Header"/>
      <w:jc w:val="right"/>
      <w:rPr>
        <w:rStyle w:val="IntenseEmphasis"/>
      </w:rPr>
    </w:pPr>
    <w:r w:rsidRPr="00460436">
      <w:rPr>
        <w:rStyle w:val="IntenseEmphasis"/>
      </w:rPr>
      <w:t xml:space="preserve">Quarterly </w:t>
    </w:r>
    <w:r w:rsidR="00854DE2">
      <w:rPr>
        <w:rStyle w:val="IntenseEmphasis"/>
      </w:rPr>
      <w:t>M&amp;A</w:t>
    </w:r>
    <w:r w:rsidRPr="00460436">
      <w:rPr>
        <w:rStyle w:val="IntenseEmphasis"/>
      </w:rPr>
      <w:t xml:space="preserve">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2D28"/>
    <w:multiLevelType w:val="hybridMultilevel"/>
    <w:tmpl w:val="3CC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252BC"/>
    <w:multiLevelType w:val="hybridMultilevel"/>
    <w:tmpl w:val="98CC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54B19"/>
    <w:multiLevelType w:val="hybridMultilevel"/>
    <w:tmpl w:val="82C2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907BB"/>
    <w:multiLevelType w:val="hybridMultilevel"/>
    <w:tmpl w:val="A0F6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E6018"/>
    <w:multiLevelType w:val="hybridMultilevel"/>
    <w:tmpl w:val="62A6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D49F8"/>
    <w:multiLevelType w:val="hybridMultilevel"/>
    <w:tmpl w:val="C388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11"/>
    <w:rsid w:val="0000055B"/>
    <w:rsid w:val="000017CB"/>
    <w:rsid w:val="00005111"/>
    <w:rsid w:val="00014CBA"/>
    <w:rsid w:val="00021EA4"/>
    <w:rsid w:val="00022BB4"/>
    <w:rsid w:val="000248D0"/>
    <w:rsid w:val="00024E64"/>
    <w:rsid w:val="0002602B"/>
    <w:rsid w:val="0002760A"/>
    <w:rsid w:val="00027E1E"/>
    <w:rsid w:val="00030ECA"/>
    <w:rsid w:val="0003136B"/>
    <w:rsid w:val="000322F4"/>
    <w:rsid w:val="00033B75"/>
    <w:rsid w:val="00035810"/>
    <w:rsid w:val="00035F0C"/>
    <w:rsid w:val="0003611B"/>
    <w:rsid w:val="0004306B"/>
    <w:rsid w:val="00046A04"/>
    <w:rsid w:val="00047034"/>
    <w:rsid w:val="00047E74"/>
    <w:rsid w:val="0005198D"/>
    <w:rsid w:val="00052F94"/>
    <w:rsid w:val="00053E46"/>
    <w:rsid w:val="0005726F"/>
    <w:rsid w:val="00057711"/>
    <w:rsid w:val="00060AA5"/>
    <w:rsid w:val="00061DAA"/>
    <w:rsid w:val="000644DB"/>
    <w:rsid w:val="000650B3"/>
    <w:rsid w:val="00065E14"/>
    <w:rsid w:val="00071875"/>
    <w:rsid w:val="00072C36"/>
    <w:rsid w:val="000738AD"/>
    <w:rsid w:val="00074123"/>
    <w:rsid w:val="000742F7"/>
    <w:rsid w:val="0007515A"/>
    <w:rsid w:val="00076850"/>
    <w:rsid w:val="000807FF"/>
    <w:rsid w:val="0008199A"/>
    <w:rsid w:val="00084604"/>
    <w:rsid w:val="00084608"/>
    <w:rsid w:val="00084C45"/>
    <w:rsid w:val="00086DBA"/>
    <w:rsid w:val="000874E3"/>
    <w:rsid w:val="00090DA6"/>
    <w:rsid w:val="00093D9A"/>
    <w:rsid w:val="00093EF4"/>
    <w:rsid w:val="0009699C"/>
    <w:rsid w:val="000A0001"/>
    <w:rsid w:val="000A0FCA"/>
    <w:rsid w:val="000A1224"/>
    <w:rsid w:val="000A239B"/>
    <w:rsid w:val="000A2C4B"/>
    <w:rsid w:val="000A2FC1"/>
    <w:rsid w:val="000A3240"/>
    <w:rsid w:val="000A79DC"/>
    <w:rsid w:val="000B0583"/>
    <w:rsid w:val="000B0B86"/>
    <w:rsid w:val="000B42F9"/>
    <w:rsid w:val="000B4F85"/>
    <w:rsid w:val="000B5DA2"/>
    <w:rsid w:val="000B6EBB"/>
    <w:rsid w:val="000C1495"/>
    <w:rsid w:val="000C19DD"/>
    <w:rsid w:val="000C2E7D"/>
    <w:rsid w:val="000C6EEB"/>
    <w:rsid w:val="000C6F08"/>
    <w:rsid w:val="000C71C7"/>
    <w:rsid w:val="000D47AB"/>
    <w:rsid w:val="000D4973"/>
    <w:rsid w:val="000D5719"/>
    <w:rsid w:val="000D646D"/>
    <w:rsid w:val="000D7BDC"/>
    <w:rsid w:val="000E1BAA"/>
    <w:rsid w:val="000E3192"/>
    <w:rsid w:val="000E5860"/>
    <w:rsid w:val="000E6060"/>
    <w:rsid w:val="000E6A61"/>
    <w:rsid w:val="000F1648"/>
    <w:rsid w:val="000F4AC6"/>
    <w:rsid w:val="000F59FF"/>
    <w:rsid w:val="000F6AA6"/>
    <w:rsid w:val="000F6E0B"/>
    <w:rsid w:val="001009B9"/>
    <w:rsid w:val="00100DF8"/>
    <w:rsid w:val="00102080"/>
    <w:rsid w:val="0010260B"/>
    <w:rsid w:val="00105413"/>
    <w:rsid w:val="00105A55"/>
    <w:rsid w:val="00107AB4"/>
    <w:rsid w:val="001116CA"/>
    <w:rsid w:val="00111911"/>
    <w:rsid w:val="00111974"/>
    <w:rsid w:val="00113C90"/>
    <w:rsid w:val="001149CD"/>
    <w:rsid w:val="00115717"/>
    <w:rsid w:val="00116B91"/>
    <w:rsid w:val="00117BB0"/>
    <w:rsid w:val="00121E2F"/>
    <w:rsid w:val="00122842"/>
    <w:rsid w:val="001235D8"/>
    <w:rsid w:val="001277B9"/>
    <w:rsid w:val="00130055"/>
    <w:rsid w:val="00131885"/>
    <w:rsid w:val="00134A21"/>
    <w:rsid w:val="00140712"/>
    <w:rsid w:val="00140763"/>
    <w:rsid w:val="00140FEE"/>
    <w:rsid w:val="001451F8"/>
    <w:rsid w:val="001460CC"/>
    <w:rsid w:val="00146251"/>
    <w:rsid w:val="00147561"/>
    <w:rsid w:val="001475FF"/>
    <w:rsid w:val="0015037B"/>
    <w:rsid w:val="001511FF"/>
    <w:rsid w:val="00153FBB"/>
    <w:rsid w:val="001545F2"/>
    <w:rsid w:val="00155E88"/>
    <w:rsid w:val="00156FE4"/>
    <w:rsid w:val="0016004E"/>
    <w:rsid w:val="0016088B"/>
    <w:rsid w:val="00162E77"/>
    <w:rsid w:val="00163F37"/>
    <w:rsid w:val="00164566"/>
    <w:rsid w:val="0016688A"/>
    <w:rsid w:val="00166C08"/>
    <w:rsid w:val="00166F90"/>
    <w:rsid w:val="00171C8E"/>
    <w:rsid w:val="00172307"/>
    <w:rsid w:val="001737B6"/>
    <w:rsid w:val="00173812"/>
    <w:rsid w:val="001744C6"/>
    <w:rsid w:val="0017465F"/>
    <w:rsid w:val="00174B44"/>
    <w:rsid w:val="00174BCD"/>
    <w:rsid w:val="00174CC3"/>
    <w:rsid w:val="001756EC"/>
    <w:rsid w:val="0017576B"/>
    <w:rsid w:val="00176C00"/>
    <w:rsid w:val="001773AA"/>
    <w:rsid w:val="0018096F"/>
    <w:rsid w:val="00180CA9"/>
    <w:rsid w:val="001819E6"/>
    <w:rsid w:val="00183B61"/>
    <w:rsid w:val="00186318"/>
    <w:rsid w:val="00186873"/>
    <w:rsid w:val="001868CB"/>
    <w:rsid w:val="00187669"/>
    <w:rsid w:val="00193436"/>
    <w:rsid w:val="00195B12"/>
    <w:rsid w:val="001A3FBA"/>
    <w:rsid w:val="001A4F9E"/>
    <w:rsid w:val="001A6C86"/>
    <w:rsid w:val="001B1490"/>
    <w:rsid w:val="001B4B76"/>
    <w:rsid w:val="001C0F2A"/>
    <w:rsid w:val="001C1070"/>
    <w:rsid w:val="001C14A1"/>
    <w:rsid w:val="001C2541"/>
    <w:rsid w:val="001C38B9"/>
    <w:rsid w:val="001C7617"/>
    <w:rsid w:val="001D0E51"/>
    <w:rsid w:val="001D7D8D"/>
    <w:rsid w:val="001E04F8"/>
    <w:rsid w:val="001E15B0"/>
    <w:rsid w:val="001E26E8"/>
    <w:rsid w:val="001E42A6"/>
    <w:rsid w:val="001E6FCC"/>
    <w:rsid w:val="001E7445"/>
    <w:rsid w:val="001F4E3D"/>
    <w:rsid w:val="001F7970"/>
    <w:rsid w:val="0020145F"/>
    <w:rsid w:val="00204D9D"/>
    <w:rsid w:val="002069B8"/>
    <w:rsid w:val="0021377C"/>
    <w:rsid w:val="00216195"/>
    <w:rsid w:val="00217AD5"/>
    <w:rsid w:val="00220B63"/>
    <w:rsid w:val="002219B5"/>
    <w:rsid w:val="0022226D"/>
    <w:rsid w:val="002308A9"/>
    <w:rsid w:val="00230D29"/>
    <w:rsid w:val="00231FA3"/>
    <w:rsid w:val="00232336"/>
    <w:rsid w:val="00234F94"/>
    <w:rsid w:val="002361FB"/>
    <w:rsid w:val="00236B68"/>
    <w:rsid w:val="00237893"/>
    <w:rsid w:val="00237901"/>
    <w:rsid w:val="00237E71"/>
    <w:rsid w:val="002406D9"/>
    <w:rsid w:val="002435D7"/>
    <w:rsid w:val="00244C4D"/>
    <w:rsid w:val="00245903"/>
    <w:rsid w:val="002502D5"/>
    <w:rsid w:val="00250313"/>
    <w:rsid w:val="002516C6"/>
    <w:rsid w:val="002521FF"/>
    <w:rsid w:val="0025222E"/>
    <w:rsid w:val="00252A9B"/>
    <w:rsid w:val="00254176"/>
    <w:rsid w:val="00255530"/>
    <w:rsid w:val="00255C32"/>
    <w:rsid w:val="0025666D"/>
    <w:rsid w:val="00257944"/>
    <w:rsid w:val="002608F3"/>
    <w:rsid w:val="0026329B"/>
    <w:rsid w:val="00265131"/>
    <w:rsid w:val="0026599C"/>
    <w:rsid w:val="002731EF"/>
    <w:rsid w:val="0027585A"/>
    <w:rsid w:val="002775DB"/>
    <w:rsid w:val="002817E1"/>
    <w:rsid w:val="0028237E"/>
    <w:rsid w:val="00283D6F"/>
    <w:rsid w:val="0028428F"/>
    <w:rsid w:val="00285F67"/>
    <w:rsid w:val="00291763"/>
    <w:rsid w:val="00291FFB"/>
    <w:rsid w:val="00292B24"/>
    <w:rsid w:val="00296BEB"/>
    <w:rsid w:val="002972D2"/>
    <w:rsid w:val="002978F9"/>
    <w:rsid w:val="002A0B80"/>
    <w:rsid w:val="002A14C5"/>
    <w:rsid w:val="002A375D"/>
    <w:rsid w:val="002A3CB2"/>
    <w:rsid w:val="002A45E8"/>
    <w:rsid w:val="002A764F"/>
    <w:rsid w:val="002B16D0"/>
    <w:rsid w:val="002B29C7"/>
    <w:rsid w:val="002B2BBA"/>
    <w:rsid w:val="002C0EC8"/>
    <w:rsid w:val="002C240B"/>
    <w:rsid w:val="002C3C67"/>
    <w:rsid w:val="002C429F"/>
    <w:rsid w:val="002C5700"/>
    <w:rsid w:val="002C5E52"/>
    <w:rsid w:val="002C601A"/>
    <w:rsid w:val="002C69A4"/>
    <w:rsid w:val="002D2BFA"/>
    <w:rsid w:val="002D4C10"/>
    <w:rsid w:val="002D5CC3"/>
    <w:rsid w:val="002D660A"/>
    <w:rsid w:val="002E0DC9"/>
    <w:rsid w:val="002E2644"/>
    <w:rsid w:val="002E3213"/>
    <w:rsid w:val="002E3647"/>
    <w:rsid w:val="002E4494"/>
    <w:rsid w:val="002E58CF"/>
    <w:rsid w:val="002E6FDE"/>
    <w:rsid w:val="002E7ACF"/>
    <w:rsid w:val="002F0CDA"/>
    <w:rsid w:val="002F1660"/>
    <w:rsid w:val="002F1B2A"/>
    <w:rsid w:val="002F1B4B"/>
    <w:rsid w:val="002F1C7B"/>
    <w:rsid w:val="002F3682"/>
    <w:rsid w:val="002F3ADD"/>
    <w:rsid w:val="002F3CE6"/>
    <w:rsid w:val="002F6282"/>
    <w:rsid w:val="002F63F8"/>
    <w:rsid w:val="003028B3"/>
    <w:rsid w:val="00304B4E"/>
    <w:rsid w:val="00306B1D"/>
    <w:rsid w:val="003071CD"/>
    <w:rsid w:val="00307A87"/>
    <w:rsid w:val="0031179D"/>
    <w:rsid w:val="00311E77"/>
    <w:rsid w:val="003137AC"/>
    <w:rsid w:val="00314985"/>
    <w:rsid w:val="003167AC"/>
    <w:rsid w:val="00316CBD"/>
    <w:rsid w:val="00316E8F"/>
    <w:rsid w:val="00317448"/>
    <w:rsid w:val="003175DC"/>
    <w:rsid w:val="00321AA2"/>
    <w:rsid w:val="00322C58"/>
    <w:rsid w:val="00323C75"/>
    <w:rsid w:val="00327700"/>
    <w:rsid w:val="0033052C"/>
    <w:rsid w:val="003316E9"/>
    <w:rsid w:val="00331CF3"/>
    <w:rsid w:val="00332197"/>
    <w:rsid w:val="00334DE4"/>
    <w:rsid w:val="00336F2C"/>
    <w:rsid w:val="003376CD"/>
    <w:rsid w:val="00337BD8"/>
    <w:rsid w:val="00340B8A"/>
    <w:rsid w:val="003414E7"/>
    <w:rsid w:val="00341AFD"/>
    <w:rsid w:val="003477B7"/>
    <w:rsid w:val="003479C3"/>
    <w:rsid w:val="00353F0A"/>
    <w:rsid w:val="00354195"/>
    <w:rsid w:val="00354414"/>
    <w:rsid w:val="00354B05"/>
    <w:rsid w:val="0035542E"/>
    <w:rsid w:val="00360100"/>
    <w:rsid w:val="00362202"/>
    <w:rsid w:val="00363E78"/>
    <w:rsid w:val="00364347"/>
    <w:rsid w:val="003643F8"/>
    <w:rsid w:val="0036641E"/>
    <w:rsid w:val="00371414"/>
    <w:rsid w:val="00372F3C"/>
    <w:rsid w:val="00373BA6"/>
    <w:rsid w:val="00377D29"/>
    <w:rsid w:val="003802E7"/>
    <w:rsid w:val="003812D0"/>
    <w:rsid w:val="0038144F"/>
    <w:rsid w:val="00382C86"/>
    <w:rsid w:val="00385105"/>
    <w:rsid w:val="00386023"/>
    <w:rsid w:val="00387C82"/>
    <w:rsid w:val="0039196F"/>
    <w:rsid w:val="00392D01"/>
    <w:rsid w:val="00393B78"/>
    <w:rsid w:val="00394236"/>
    <w:rsid w:val="00395B3E"/>
    <w:rsid w:val="00396E51"/>
    <w:rsid w:val="00396F4D"/>
    <w:rsid w:val="0039736B"/>
    <w:rsid w:val="00397F57"/>
    <w:rsid w:val="003A0447"/>
    <w:rsid w:val="003A390C"/>
    <w:rsid w:val="003A3D8A"/>
    <w:rsid w:val="003A4BCC"/>
    <w:rsid w:val="003A679B"/>
    <w:rsid w:val="003B0615"/>
    <w:rsid w:val="003B0B22"/>
    <w:rsid w:val="003B2BFB"/>
    <w:rsid w:val="003B4D22"/>
    <w:rsid w:val="003C1F24"/>
    <w:rsid w:val="003C4CAF"/>
    <w:rsid w:val="003D112A"/>
    <w:rsid w:val="003D3C51"/>
    <w:rsid w:val="003D4159"/>
    <w:rsid w:val="003E18DF"/>
    <w:rsid w:val="003E282E"/>
    <w:rsid w:val="003E3E2D"/>
    <w:rsid w:val="003E4ACB"/>
    <w:rsid w:val="003E5CFB"/>
    <w:rsid w:val="003F2FE7"/>
    <w:rsid w:val="003F5061"/>
    <w:rsid w:val="00401A65"/>
    <w:rsid w:val="0040211C"/>
    <w:rsid w:val="00403355"/>
    <w:rsid w:val="0040653A"/>
    <w:rsid w:val="0041138E"/>
    <w:rsid w:val="00411404"/>
    <w:rsid w:val="00411A4C"/>
    <w:rsid w:val="004134F4"/>
    <w:rsid w:val="00413EE3"/>
    <w:rsid w:val="00421F60"/>
    <w:rsid w:val="0042476E"/>
    <w:rsid w:val="00424E74"/>
    <w:rsid w:val="00427110"/>
    <w:rsid w:val="0042719D"/>
    <w:rsid w:val="0043016A"/>
    <w:rsid w:val="00440FEB"/>
    <w:rsid w:val="00442163"/>
    <w:rsid w:val="00442565"/>
    <w:rsid w:val="00442BF6"/>
    <w:rsid w:val="00443A15"/>
    <w:rsid w:val="00445A11"/>
    <w:rsid w:val="00446C08"/>
    <w:rsid w:val="004476DE"/>
    <w:rsid w:val="00447E7F"/>
    <w:rsid w:val="004506CC"/>
    <w:rsid w:val="0045095D"/>
    <w:rsid w:val="0045097E"/>
    <w:rsid w:val="004513EB"/>
    <w:rsid w:val="00451755"/>
    <w:rsid w:val="00452944"/>
    <w:rsid w:val="00453708"/>
    <w:rsid w:val="00453C16"/>
    <w:rsid w:val="00454F4B"/>
    <w:rsid w:val="0045550A"/>
    <w:rsid w:val="00457E1D"/>
    <w:rsid w:val="00460436"/>
    <w:rsid w:val="00460DE2"/>
    <w:rsid w:val="00460E43"/>
    <w:rsid w:val="00463560"/>
    <w:rsid w:val="00466612"/>
    <w:rsid w:val="00466861"/>
    <w:rsid w:val="00466F93"/>
    <w:rsid w:val="00467AB1"/>
    <w:rsid w:val="004709B0"/>
    <w:rsid w:val="00474E3C"/>
    <w:rsid w:val="004759DB"/>
    <w:rsid w:val="004778D8"/>
    <w:rsid w:val="004907DA"/>
    <w:rsid w:val="00490AFD"/>
    <w:rsid w:val="0049182B"/>
    <w:rsid w:val="00491B4B"/>
    <w:rsid w:val="00493C94"/>
    <w:rsid w:val="00493CF1"/>
    <w:rsid w:val="00494933"/>
    <w:rsid w:val="004965CE"/>
    <w:rsid w:val="00496E13"/>
    <w:rsid w:val="004A0649"/>
    <w:rsid w:val="004A0947"/>
    <w:rsid w:val="004A0ABB"/>
    <w:rsid w:val="004A4BD1"/>
    <w:rsid w:val="004B047B"/>
    <w:rsid w:val="004B2BFB"/>
    <w:rsid w:val="004B3923"/>
    <w:rsid w:val="004B3B5E"/>
    <w:rsid w:val="004B6D7A"/>
    <w:rsid w:val="004B6F66"/>
    <w:rsid w:val="004B7D92"/>
    <w:rsid w:val="004C20AB"/>
    <w:rsid w:val="004C587A"/>
    <w:rsid w:val="004C6B76"/>
    <w:rsid w:val="004D0515"/>
    <w:rsid w:val="004D099A"/>
    <w:rsid w:val="004D1C9D"/>
    <w:rsid w:val="004D1DA4"/>
    <w:rsid w:val="004E080A"/>
    <w:rsid w:val="004E2AB3"/>
    <w:rsid w:val="004E2C09"/>
    <w:rsid w:val="004E3393"/>
    <w:rsid w:val="004E4A45"/>
    <w:rsid w:val="004E4B6F"/>
    <w:rsid w:val="004E5EC0"/>
    <w:rsid w:val="004E7265"/>
    <w:rsid w:val="004F1527"/>
    <w:rsid w:val="004F330B"/>
    <w:rsid w:val="004F3ADA"/>
    <w:rsid w:val="004F55C9"/>
    <w:rsid w:val="004F67A9"/>
    <w:rsid w:val="004F73C7"/>
    <w:rsid w:val="00502B32"/>
    <w:rsid w:val="00504F45"/>
    <w:rsid w:val="005117CA"/>
    <w:rsid w:val="005127D3"/>
    <w:rsid w:val="00515DB3"/>
    <w:rsid w:val="00515E9D"/>
    <w:rsid w:val="005200CA"/>
    <w:rsid w:val="0052077C"/>
    <w:rsid w:val="00521F1D"/>
    <w:rsid w:val="00522B30"/>
    <w:rsid w:val="0052327D"/>
    <w:rsid w:val="00525C1B"/>
    <w:rsid w:val="005261C1"/>
    <w:rsid w:val="00532A06"/>
    <w:rsid w:val="00536754"/>
    <w:rsid w:val="00536B00"/>
    <w:rsid w:val="005378C5"/>
    <w:rsid w:val="005425D7"/>
    <w:rsid w:val="00542F5A"/>
    <w:rsid w:val="00544623"/>
    <w:rsid w:val="005475F2"/>
    <w:rsid w:val="005505E5"/>
    <w:rsid w:val="00550C7C"/>
    <w:rsid w:val="00551864"/>
    <w:rsid w:val="00554121"/>
    <w:rsid w:val="005554F5"/>
    <w:rsid w:val="0055555A"/>
    <w:rsid w:val="00556EAD"/>
    <w:rsid w:val="00557239"/>
    <w:rsid w:val="00561141"/>
    <w:rsid w:val="00562791"/>
    <w:rsid w:val="00562B39"/>
    <w:rsid w:val="00562D7D"/>
    <w:rsid w:val="0056320C"/>
    <w:rsid w:val="005650CD"/>
    <w:rsid w:val="005662B5"/>
    <w:rsid w:val="00566AD2"/>
    <w:rsid w:val="00570005"/>
    <w:rsid w:val="00570346"/>
    <w:rsid w:val="00571BD4"/>
    <w:rsid w:val="00572F03"/>
    <w:rsid w:val="005734C4"/>
    <w:rsid w:val="00575923"/>
    <w:rsid w:val="00576484"/>
    <w:rsid w:val="00576E9B"/>
    <w:rsid w:val="005779B7"/>
    <w:rsid w:val="00577C8E"/>
    <w:rsid w:val="005807C6"/>
    <w:rsid w:val="00580F92"/>
    <w:rsid w:val="005828F0"/>
    <w:rsid w:val="00583BEE"/>
    <w:rsid w:val="00584B8E"/>
    <w:rsid w:val="00587C5A"/>
    <w:rsid w:val="00590322"/>
    <w:rsid w:val="005917C1"/>
    <w:rsid w:val="005929AF"/>
    <w:rsid w:val="00594B4A"/>
    <w:rsid w:val="005954B1"/>
    <w:rsid w:val="005A66B1"/>
    <w:rsid w:val="005A693F"/>
    <w:rsid w:val="005B1168"/>
    <w:rsid w:val="005B1ACA"/>
    <w:rsid w:val="005B40E5"/>
    <w:rsid w:val="005C021F"/>
    <w:rsid w:val="005C0423"/>
    <w:rsid w:val="005C0A6E"/>
    <w:rsid w:val="005C0D2D"/>
    <w:rsid w:val="005C2215"/>
    <w:rsid w:val="005C493F"/>
    <w:rsid w:val="005C532B"/>
    <w:rsid w:val="005C6CD5"/>
    <w:rsid w:val="005C771E"/>
    <w:rsid w:val="005D0430"/>
    <w:rsid w:val="005D06C9"/>
    <w:rsid w:val="005D1E0A"/>
    <w:rsid w:val="005D1E7F"/>
    <w:rsid w:val="005D307F"/>
    <w:rsid w:val="005D3CEF"/>
    <w:rsid w:val="005D43B8"/>
    <w:rsid w:val="005D5553"/>
    <w:rsid w:val="005D6316"/>
    <w:rsid w:val="005E19C2"/>
    <w:rsid w:val="005E306A"/>
    <w:rsid w:val="005E3622"/>
    <w:rsid w:val="005E56AE"/>
    <w:rsid w:val="005E5D16"/>
    <w:rsid w:val="005E67EF"/>
    <w:rsid w:val="005E797B"/>
    <w:rsid w:val="005E7A94"/>
    <w:rsid w:val="005F07E9"/>
    <w:rsid w:val="005F1D7F"/>
    <w:rsid w:val="005F5744"/>
    <w:rsid w:val="006055F4"/>
    <w:rsid w:val="006068F7"/>
    <w:rsid w:val="00610140"/>
    <w:rsid w:val="0061080D"/>
    <w:rsid w:val="00610894"/>
    <w:rsid w:val="0061200D"/>
    <w:rsid w:val="006130EE"/>
    <w:rsid w:val="00615B70"/>
    <w:rsid w:val="006167DB"/>
    <w:rsid w:val="00617DFF"/>
    <w:rsid w:val="00617E5C"/>
    <w:rsid w:val="00620094"/>
    <w:rsid w:val="00621173"/>
    <w:rsid w:val="0062162D"/>
    <w:rsid w:val="00623672"/>
    <w:rsid w:val="00624AEF"/>
    <w:rsid w:val="0062659E"/>
    <w:rsid w:val="00626CAF"/>
    <w:rsid w:val="00626DAC"/>
    <w:rsid w:val="00627C19"/>
    <w:rsid w:val="00627DE7"/>
    <w:rsid w:val="006314B9"/>
    <w:rsid w:val="00631555"/>
    <w:rsid w:val="00632F4E"/>
    <w:rsid w:val="006331A2"/>
    <w:rsid w:val="006342D9"/>
    <w:rsid w:val="00634658"/>
    <w:rsid w:val="00634787"/>
    <w:rsid w:val="00640C9C"/>
    <w:rsid w:val="00640DD5"/>
    <w:rsid w:val="00643797"/>
    <w:rsid w:val="006439EA"/>
    <w:rsid w:val="00643FBF"/>
    <w:rsid w:val="006451FA"/>
    <w:rsid w:val="0064538F"/>
    <w:rsid w:val="00650430"/>
    <w:rsid w:val="00650582"/>
    <w:rsid w:val="00651AC2"/>
    <w:rsid w:val="00651DAB"/>
    <w:rsid w:val="00654B02"/>
    <w:rsid w:val="006553D1"/>
    <w:rsid w:val="006575D2"/>
    <w:rsid w:val="00657642"/>
    <w:rsid w:val="00660A13"/>
    <w:rsid w:val="00660C7A"/>
    <w:rsid w:val="00660C8A"/>
    <w:rsid w:val="006619DC"/>
    <w:rsid w:val="00662A45"/>
    <w:rsid w:val="006646E8"/>
    <w:rsid w:val="006663D0"/>
    <w:rsid w:val="00670FB1"/>
    <w:rsid w:val="0067215A"/>
    <w:rsid w:val="006748EE"/>
    <w:rsid w:val="00674CE3"/>
    <w:rsid w:val="00674DFD"/>
    <w:rsid w:val="006756DF"/>
    <w:rsid w:val="00675F26"/>
    <w:rsid w:val="00682B7E"/>
    <w:rsid w:val="00690C93"/>
    <w:rsid w:val="0069122E"/>
    <w:rsid w:val="00691D14"/>
    <w:rsid w:val="00692278"/>
    <w:rsid w:val="00694624"/>
    <w:rsid w:val="00695441"/>
    <w:rsid w:val="00695980"/>
    <w:rsid w:val="006970E9"/>
    <w:rsid w:val="006A01A0"/>
    <w:rsid w:val="006A0819"/>
    <w:rsid w:val="006A114D"/>
    <w:rsid w:val="006A5321"/>
    <w:rsid w:val="006A62EE"/>
    <w:rsid w:val="006A6BFF"/>
    <w:rsid w:val="006B394A"/>
    <w:rsid w:val="006B792C"/>
    <w:rsid w:val="006C08FA"/>
    <w:rsid w:val="006C28D8"/>
    <w:rsid w:val="006C2DAB"/>
    <w:rsid w:val="006C6752"/>
    <w:rsid w:val="006C7116"/>
    <w:rsid w:val="006D2660"/>
    <w:rsid w:val="006D3877"/>
    <w:rsid w:val="006D4E8F"/>
    <w:rsid w:val="006D518C"/>
    <w:rsid w:val="006D579F"/>
    <w:rsid w:val="006E0781"/>
    <w:rsid w:val="006E0830"/>
    <w:rsid w:val="006E4B4F"/>
    <w:rsid w:val="006E5760"/>
    <w:rsid w:val="006E608A"/>
    <w:rsid w:val="006E621A"/>
    <w:rsid w:val="006E69A7"/>
    <w:rsid w:val="006E6EAA"/>
    <w:rsid w:val="006E79DA"/>
    <w:rsid w:val="006F060A"/>
    <w:rsid w:val="006F0678"/>
    <w:rsid w:val="006F1B14"/>
    <w:rsid w:val="006F3E36"/>
    <w:rsid w:val="006F49C7"/>
    <w:rsid w:val="006F4DB7"/>
    <w:rsid w:val="006F6733"/>
    <w:rsid w:val="006F7FB2"/>
    <w:rsid w:val="00700166"/>
    <w:rsid w:val="00701D95"/>
    <w:rsid w:val="00703D80"/>
    <w:rsid w:val="007062B8"/>
    <w:rsid w:val="00707B5E"/>
    <w:rsid w:val="007102D3"/>
    <w:rsid w:val="007110AF"/>
    <w:rsid w:val="00714B74"/>
    <w:rsid w:val="00724C08"/>
    <w:rsid w:val="0072697B"/>
    <w:rsid w:val="00730BC7"/>
    <w:rsid w:val="00730C3D"/>
    <w:rsid w:val="007329E1"/>
    <w:rsid w:val="0073598E"/>
    <w:rsid w:val="007361CC"/>
    <w:rsid w:val="00737D58"/>
    <w:rsid w:val="00740863"/>
    <w:rsid w:val="0074137C"/>
    <w:rsid w:val="00741DA8"/>
    <w:rsid w:val="00742E84"/>
    <w:rsid w:val="00743683"/>
    <w:rsid w:val="00743A12"/>
    <w:rsid w:val="0075479C"/>
    <w:rsid w:val="00755B70"/>
    <w:rsid w:val="00756248"/>
    <w:rsid w:val="00756A49"/>
    <w:rsid w:val="007602B9"/>
    <w:rsid w:val="00761D36"/>
    <w:rsid w:val="0076272C"/>
    <w:rsid w:val="007635CE"/>
    <w:rsid w:val="0076678E"/>
    <w:rsid w:val="0076717F"/>
    <w:rsid w:val="0077027E"/>
    <w:rsid w:val="00770759"/>
    <w:rsid w:val="007736DF"/>
    <w:rsid w:val="00773AC4"/>
    <w:rsid w:val="00773B5B"/>
    <w:rsid w:val="00773E0E"/>
    <w:rsid w:val="007807DE"/>
    <w:rsid w:val="00782F5F"/>
    <w:rsid w:val="0078488C"/>
    <w:rsid w:val="00791F5C"/>
    <w:rsid w:val="007929DB"/>
    <w:rsid w:val="00792E5D"/>
    <w:rsid w:val="00795569"/>
    <w:rsid w:val="0079609A"/>
    <w:rsid w:val="007A0574"/>
    <w:rsid w:val="007A0E93"/>
    <w:rsid w:val="007A5255"/>
    <w:rsid w:val="007A770A"/>
    <w:rsid w:val="007A7FCF"/>
    <w:rsid w:val="007B0C0E"/>
    <w:rsid w:val="007B0FB5"/>
    <w:rsid w:val="007B178B"/>
    <w:rsid w:val="007B3A9E"/>
    <w:rsid w:val="007B5780"/>
    <w:rsid w:val="007B5CA1"/>
    <w:rsid w:val="007B7D73"/>
    <w:rsid w:val="007C1E79"/>
    <w:rsid w:val="007C4944"/>
    <w:rsid w:val="007C54CB"/>
    <w:rsid w:val="007D4FF9"/>
    <w:rsid w:val="007E3ED3"/>
    <w:rsid w:val="007E5B14"/>
    <w:rsid w:val="007E7320"/>
    <w:rsid w:val="007E76B7"/>
    <w:rsid w:val="007F04AE"/>
    <w:rsid w:val="007F1968"/>
    <w:rsid w:val="007F34A5"/>
    <w:rsid w:val="007F590E"/>
    <w:rsid w:val="007F5A38"/>
    <w:rsid w:val="007F5D12"/>
    <w:rsid w:val="007F67C3"/>
    <w:rsid w:val="0080028D"/>
    <w:rsid w:val="0080052B"/>
    <w:rsid w:val="00805C12"/>
    <w:rsid w:val="0080666E"/>
    <w:rsid w:val="00811606"/>
    <w:rsid w:val="00811FA7"/>
    <w:rsid w:val="008129B2"/>
    <w:rsid w:val="00813396"/>
    <w:rsid w:val="008155BA"/>
    <w:rsid w:val="008162B7"/>
    <w:rsid w:val="00816313"/>
    <w:rsid w:val="00816C0F"/>
    <w:rsid w:val="00822897"/>
    <w:rsid w:val="00823A4E"/>
    <w:rsid w:val="00823E2B"/>
    <w:rsid w:val="00826AE7"/>
    <w:rsid w:val="00826F0B"/>
    <w:rsid w:val="008273B1"/>
    <w:rsid w:val="00831484"/>
    <w:rsid w:val="008339F4"/>
    <w:rsid w:val="00833A07"/>
    <w:rsid w:val="00835434"/>
    <w:rsid w:val="00836176"/>
    <w:rsid w:val="00837DF2"/>
    <w:rsid w:val="00842094"/>
    <w:rsid w:val="0084463F"/>
    <w:rsid w:val="0084528D"/>
    <w:rsid w:val="00850A64"/>
    <w:rsid w:val="00854DE2"/>
    <w:rsid w:val="00855A46"/>
    <w:rsid w:val="008564EA"/>
    <w:rsid w:val="00857079"/>
    <w:rsid w:val="00860631"/>
    <w:rsid w:val="008636F9"/>
    <w:rsid w:val="00865CE8"/>
    <w:rsid w:val="008664EB"/>
    <w:rsid w:val="00870469"/>
    <w:rsid w:val="00873466"/>
    <w:rsid w:val="00874DE9"/>
    <w:rsid w:val="00875F25"/>
    <w:rsid w:val="0087715C"/>
    <w:rsid w:val="00877D3C"/>
    <w:rsid w:val="00882E60"/>
    <w:rsid w:val="008845A9"/>
    <w:rsid w:val="0088520B"/>
    <w:rsid w:val="008860FC"/>
    <w:rsid w:val="00886D3A"/>
    <w:rsid w:val="008874C1"/>
    <w:rsid w:val="00890513"/>
    <w:rsid w:val="0089070C"/>
    <w:rsid w:val="00890B68"/>
    <w:rsid w:val="0089260E"/>
    <w:rsid w:val="00892D49"/>
    <w:rsid w:val="008932A3"/>
    <w:rsid w:val="00893CB8"/>
    <w:rsid w:val="00894FB2"/>
    <w:rsid w:val="008955D4"/>
    <w:rsid w:val="00895BD8"/>
    <w:rsid w:val="0089655B"/>
    <w:rsid w:val="008972D1"/>
    <w:rsid w:val="00897BC8"/>
    <w:rsid w:val="008A0838"/>
    <w:rsid w:val="008A13E7"/>
    <w:rsid w:val="008A3F35"/>
    <w:rsid w:val="008A581A"/>
    <w:rsid w:val="008A5F7F"/>
    <w:rsid w:val="008A63E2"/>
    <w:rsid w:val="008A6630"/>
    <w:rsid w:val="008A6DB9"/>
    <w:rsid w:val="008A7D83"/>
    <w:rsid w:val="008B0154"/>
    <w:rsid w:val="008B1963"/>
    <w:rsid w:val="008B20D0"/>
    <w:rsid w:val="008B24F2"/>
    <w:rsid w:val="008B2769"/>
    <w:rsid w:val="008B37F0"/>
    <w:rsid w:val="008B3E4E"/>
    <w:rsid w:val="008B4702"/>
    <w:rsid w:val="008B65B4"/>
    <w:rsid w:val="008C0F54"/>
    <w:rsid w:val="008C1C56"/>
    <w:rsid w:val="008C5503"/>
    <w:rsid w:val="008C5726"/>
    <w:rsid w:val="008C798A"/>
    <w:rsid w:val="008D1C86"/>
    <w:rsid w:val="008D6371"/>
    <w:rsid w:val="008E1296"/>
    <w:rsid w:val="008E270A"/>
    <w:rsid w:val="008E72E3"/>
    <w:rsid w:val="008F4B7D"/>
    <w:rsid w:val="008F4B82"/>
    <w:rsid w:val="00900CFD"/>
    <w:rsid w:val="009130AF"/>
    <w:rsid w:val="00913825"/>
    <w:rsid w:val="009141C1"/>
    <w:rsid w:val="009148CA"/>
    <w:rsid w:val="00914EA8"/>
    <w:rsid w:val="0091664E"/>
    <w:rsid w:val="009169A4"/>
    <w:rsid w:val="009170B7"/>
    <w:rsid w:val="00920236"/>
    <w:rsid w:val="009219D9"/>
    <w:rsid w:val="0092347C"/>
    <w:rsid w:val="00923769"/>
    <w:rsid w:val="0092472D"/>
    <w:rsid w:val="00925F58"/>
    <w:rsid w:val="009262AA"/>
    <w:rsid w:val="00926438"/>
    <w:rsid w:val="009323CA"/>
    <w:rsid w:val="0093291C"/>
    <w:rsid w:val="00932DD8"/>
    <w:rsid w:val="00933213"/>
    <w:rsid w:val="00933E80"/>
    <w:rsid w:val="009343D3"/>
    <w:rsid w:val="00937D2C"/>
    <w:rsid w:val="009411C1"/>
    <w:rsid w:val="00942366"/>
    <w:rsid w:val="00943329"/>
    <w:rsid w:val="00943ED3"/>
    <w:rsid w:val="009445E7"/>
    <w:rsid w:val="0094654A"/>
    <w:rsid w:val="0094736B"/>
    <w:rsid w:val="00947BA2"/>
    <w:rsid w:val="0095004D"/>
    <w:rsid w:val="009515AA"/>
    <w:rsid w:val="00951DAA"/>
    <w:rsid w:val="009524D9"/>
    <w:rsid w:val="00952AF7"/>
    <w:rsid w:val="00953DDB"/>
    <w:rsid w:val="00955094"/>
    <w:rsid w:val="00960B49"/>
    <w:rsid w:val="009648C3"/>
    <w:rsid w:val="00964DD4"/>
    <w:rsid w:val="009669F1"/>
    <w:rsid w:val="0096732C"/>
    <w:rsid w:val="009675A9"/>
    <w:rsid w:val="00970616"/>
    <w:rsid w:val="009714E6"/>
    <w:rsid w:val="00971553"/>
    <w:rsid w:val="009717A1"/>
    <w:rsid w:val="009774D1"/>
    <w:rsid w:val="00977737"/>
    <w:rsid w:val="00981C70"/>
    <w:rsid w:val="00982654"/>
    <w:rsid w:val="00982B60"/>
    <w:rsid w:val="009878F0"/>
    <w:rsid w:val="00987AB7"/>
    <w:rsid w:val="00987FB6"/>
    <w:rsid w:val="00992467"/>
    <w:rsid w:val="009972A2"/>
    <w:rsid w:val="0099783F"/>
    <w:rsid w:val="009A0B29"/>
    <w:rsid w:val="009A106A"/>
    <w:rsid w:val="009A13D9"/>
    <w:rsid w:val="009A1711"/>
    <w:rsid w:val="009A181B"/>
    <w:rsid w:val="009A36DD"/>
    <w:rsid w:val="009A4508"/>
    <w:rsid w:val="009A6A40"/>
    <w:rsid w:val="009B1B6B"/>
    <w:rsid w:val="009B2A0E"/>
    <w:rsid w:val="009B5606"/>
    <w:rsid w:val="009B603A"/>
    <w:rsid w:val="009B7956"/>
    <w:rsid w:val="009C057C"/>
    <w:rsid w:val="009C0945"/>
    <w:rsid w:val="009C0F33"/>
    <w:rsid w:val="009C151B"/>
    <w:rsid w:val="009C1E6B"/>
    <w:rsid w:val="009C4651"/>
    <w:rsid w:val="009C5CDE"/>
    <w:rsid w:val="009C74AB"/>
    <w:rsid w:val="009D26B5"/>
    <w:rsid w:val="009D3151"/>
    <w:rsid w:val="009D5A7B"/>
    <w:rsid w:val="009E013E"/>
    <w:rsid w:val="009E2CF4"/>
    <w:rsid w:val="009E33B4"/>
    <w:rsid w:val="009E4A2E"/>
    <w:rsid w:val="009E4D8D"/>
    <w:rsid w:val="009E6453"/>
    <w:rsid w:val="009F1C9C"/>
    <w:rsid w:val="009F272A"/>
    <w:rsid w:val="009F2830"/>
    <w:rsid w:val="009F3181"/>
    <w:rsid w:val="009F6EB6"/>
    <w:rsid w:val="009F790B"/>
    <w:rsid w:val="009F7EB5"/>
    <w:rsid w:val="00A00EBD"/>
    <w:rsid w:val="00A04AD3"/>
    <w:rsid w:val="00A073CB"/>
    <w:rsid w:val="00A07D5A"/>
    <w:rsid w:val="00A11CAC"/>
    <w:rsid w:val="00A11E1C"/>
    <w:rsid w:val="00A14CD4"/>
    <w:rsid w:val="00A223EC"/>
    <w:rsid w:val="00A262DF"/>
    <w:rsid w:val="00A2684A"/>
    <w:rsid w:val="00A27EB6"/>
    <w:rsid w:val="00A30440"/>
    <w:rsid w:val="00A325AB"/>
    <w:rsid w:val="00A325EC"/>
    <w:rsid w:val="00A41316"/>
    <w:rsid w:val="00A45F59"/>
    <w:rsid w:val="00A5218C"/>
    <w:rsid w:val="00A52469"/>
    <w:rsid w:val="00A52E02"/>
    <w:rsid w:val="00A57EA4"/>
    <w:rsid w:val="00A60213"/>
    <w:rsid w:val="00A615E8"/>
    <w:rsid w:val="00A61C0E"/>
    <w:rsid w:val="00A645D8"/>
    <w:rsid w:val="00A670FB"/>
    <w:rsid w:val="00A72343"/>
    <w:rsid w:val="00A730DC"/>
    <w:rsid w:val="00A75687"/>
    <w:rsid w:val="00A76F02"/>
    <w:rsid w:val="00A77399"/>
    <w:rsid w:val="00A77981"/>
    <w:rsid w:val="00A82B9E"/>
    <w:rsid w:val="00A841DE"/>
    <w:rsid w:val="00A8559D"/>
    <w:rsid w:val="00A931A3"/>
    <w:rsid w:val="00A9408A"/>
    <w:rsid w:val="00A96795"/>
    <w:rsid w:val="00A96A6A"/>
    <w:rsid w:val="00A96E27"/>
    <w:rsid w:val="00A97343"/>
    <w:rsid w:val="00AA1DAF"/>
    <w:rsid w:val="00AA236F"/>
    <w:rsid w:val="00AA2E90"/>
    <w:rsid w:val="00AA37BC"/>
    <w:rsid w:val="00AA651C"/>
    <w:rsid w:val="00AA7A1B"/>
    <w:rsid w:val="00AB498D"/>
    <w:rsid w:val="00AB4C96"/>
    <w:rsid w:val="00AB5122"/>
    <w:rsid w:val="00AB56C9"/>
    <w:rsid w:val="00AB6E43"/>
    <w:rsid w:val="00AB6F46"/>
    <w:rsid w:val="00AB7603"/>
    <w:rsid w:val="00AC45F1"/>
    <w:rsid w:val="00AC6BB2"/>
    <w:rsid w:val="00AD0524"/>
    <w:rsid w:val="00AD5BB8"/>
    <w:rsid w:val="00AE306C"/>
    <w:rsid w:val="00AE3402"/>
    <w:rsid w:val="00AE3668"/>
    <w:rsid w:val="00AE4E03"/>
    <w:rsid w:val="00AE53C0"/>
    <w:rsid w:val="00AE64EF"/>
    <w:rsid w:val="00AE7215"/>
    <w:rsid w:val="00AF2763"/>
    <w:rsid w:val="00AF2BA7"/>
    <w:rsid w:val="00AF306C"/>
    <w:rsid w:val="00AF420E"/>
    <w:rsid w:val="00AF6040"/>
    <w:rsid w:val="00AF653C"/>
    <w:rsid w:val="00AF7938"/>
    <w:rsid w:val="00B0030B"/>
    <w:rsid w:val="00B00681"/>
    <w:rsid w:val="00B00A5E"/>
    <w:rsid w:val="00B00E83"/>
    <w:rsid w:val="00B0395F"/>
    <w:rsid w:val="00B064A0"/>
    <w:rsid w:val="00B071DB"/>
    <w:rsid w:val="00B072DA"/>
    <w:rsid w:val="00B135D7"/>
    <w:rsid w:val="00B1388C"/>
    <w:rsid w:val="00B1397B"/>
    <w:rsid w:val="00B13FE9"/>
    <w:rsid w:val="00B14691"/>
    <w:rsid w:val="00B14C95"/>
    <w:rsid w:val="00B162CD"/>
    <w:rsid w:val="00B23279"/>
    <w:rsid w:val="00B2585A"/>
    <w:rsid w:val="00B25898"/>
    <w:rsid w:val="00B25B77"/>
    <w:rsid w:val="00B2629D"/>
    <w:rsid w:val="00B31011"/>
    <w:rsid w:val="00B316F7"/>
    <w:rsid w:val="00B3440D"/>
    <w:rsid w:val="00B34926"/>
    <w:rsid w:val="00B370B2"/>
    <w:rsid w:val="00B401C1"/>
    <w:rsid w:val="00B40456"/>
    <w:rsid w:val="00B40AF8"/>
    <w:rsid w:val="00B426C6"/>
    <w:rsid w:val="00B432FD"/>
    <w:rsid w:val="00B44219"/>
    <w:rsid w:val="00B45F40"/>
    <w:rsid w:val="00B524BD"/>
    <w:rsid w:val="00B53037"/>
    <w:rsid w:val="00B5315D"/>
    <w:rsid w:val="00B60178"/>
    <w:rsid w:val="00B60EC4"/>
    <w:rsid w:val="00B61DE8"/>
    <w:rsid w:val="00B634D4"/>
    <w:rsid w:val="00B650A2"/>
    <w:rsid w:val="00B65667"/>
    <w:rsid w:val="00B66CC0"/>
    <w:rsid w:val="00B7053E"/>
    <w:rsid w:val="00B71FC4"/>
    <w:rsid w:val="00B748E1"/>
    <w:rsid w:val="00B767AE"/>
    <w:rsid w:val="00B76BDF"/>
    <w:rsid w:val="00B76D6D"/>
    <w:rsid w:val="00B80D2B"/>
    <w:rsid w:val="00B82B8B"/>
    <w:rsid w:val="00B83B6F"/>
    <w:rsid w:val="00B84330"/>
    <w:rsid w:val="00B875CA"/>
    <w:rsid w:val="00B87F2A"/>
    <w:rsid w:val="00B94E68"/>
    <w:rsid w:val="00B97C78"/>
    <w:rsid w:val="00BA05F4"/>
    <w:rsid w:val="00BA13A5"/>
    <w:rsid w:val="00BA1CC0"/>
    <w:rsid w:val="00BA5F96"/>
    <w:rsid w:val="00BA75C6"/>
    <w:rsid w:val="00BA7A2C"/>
    <w:rsid w:val="00BB096A"/>
    <w:rsid w:val="00BB142E"/>
    <w:rsid w:val="00BB226D"/>
    <w:rsid w:val="00BB24FD"/>
    <w:rsid w:val="00BB34CA"/>
    <w:rsid w:val="00BB3B00"/>
    <w:rsid w:val="00BB3B04"/>
    <w:rsid w:val="00BB5FF4"/>
    <w:rsid w:val="00BC00A7"/>
    <w:rsid w:val="00BC04D5"/>
    <w:rsid w:val="00BC4BE2"/>
    <w:rsid w:val="00BC6211"/>
    <w:rsid w:val="00BC7E45"/>
    <w:rsid w:val="00BD0BA8"/>
    <w:rsid w:val="00BD1AF4"/>
    <w:rsid w:val="00BD32FB"/>
    <w:rsid w:val="00BD3693"/>
    <w:rsid w:val="00BD3FA1"/>
    <w:rsid w:val="00BD7CA7"/>
    <w:rsid w:val="00BE1260"/>
    <w:rsid w:val="00BE3AB7"/>
    <w:rsid w:val="00BE41AA"/>
    <w:rsid w:val="00BE4FA9"/>
    <w:rsid w:val="00BE76FD"/>
    <w:rsid w:val="00BE7F85"/>
    <w:rsid w:val="00BF0B27"/>
    <w:rsid w:val="00BF33EF"/>
    <w:rsid w:val="00BF363C"/>
    <w:rsid w:val="00BF5CE2"/>
    <w:rsid w:val="00BF65D2"/>
    <w:rsid w:val="00C01B26"/>
    <w:rsid w:val="00C01B39"/>
    <w:rsid w:val="00C01ECD"/>
    <w:rsid w:val="00C02783"/>
    <w:rsid w:val="00C04D0B"/>
    <w:rsid w:val="00C05052"/>
    <w:rsid w:val="00C07579"/>
    <w:rsid w:val="00C10F0A"/>
    <w:rsid w:val="00C12EFE"/>
    <w:rsid w:val="00C13AD4"/>
    <w:rsid w:val="00C14310"/>
    <w:rsid w:val="00C1528C"/>
    <w:rsid w:val="00C17C3A"/>
    <w:rsid w:val="00C228CA"/>
    <w:rsid w:val="00C22EE7"/>
    <w:rsid w:val="00C253A1"/>
    <w:rsid w:val="00C27776"/>
    <w:rsid w:val="00C27961"/>
    <w:rsid w:val="00C27E06"/>
    <w:rsid w:val="00C357E1"/>
    <w:rsid w:val="00C35B2B"/>
    <w:rsid w:val="00C36857"/>
    <w:rsid w:val="00C40E95"/>
    <w:rsid w:val="00C41006"/>
    <w:rsid w:val="00C45B53"/>
    <w:rsid w:val="00C4790A"/>
    <w:rsid w:val="00C47DFF"/>
    <w:rsid w:val="00C50538"/>
    <w:rsid w:val="00C50E71"/>
    <w:rsid w:val="00C54129"/>
    <w:rsid w:val="00C56AE3"/>
    <w:rsid w:val="00C610B0"/>
    <w:rsid w:val="00C66CC9"/>
    <w:rsid w:val="00C70F5B"/>
    <w:rsid w:val="00C737DC"/>
    <w:rsid w:val="00C742C8"/>
    <w:rsid w:val="00C82545"/>
    <w:rsid w:val="00C828B0"/>
    <w:rsid w:val="00C83561"/>
    <w:rsid w:val="00C84709"/>
    <w:rsid w:val="00C879D3"/>
    <w:rsid w:val="00C90043"/>
    <w:rsid w:val="00C90C6F"/>
    <w:rsid w:val="00C91D90"/>
    <w:rsid w:val="00C91F35"/>
    <w:rsid w:val="00C9379B"/>
    <w:rsid w:val="00C937ED"/>
    <w:rsid w:val="00C94CE9"/>
    <w:rsid w:val="00C9694F"/>
    <w:rsid w:val="00C978AB"/>
    <w:rsid w:val="00CA07E7"/>
    <w:rsid w:val="00CA112C"/>
    <w:rsid w:val="00CA2DA3"/>
    <w:rsid w:val="00CA2F0C"/>
    <w:rsid w:val="00CA4851"/>
    <w:rsid w:val="00CA74AC"/>
    <w:rsid w:val="00CB0612"/>
    <w:rsid w:val="00CB10F1"/>
    <w:rsid w:val="00CB1375"/>
    <w:rsid w:val="00CB2772"/>
    <w:rsid w:val="00CB3DAF"/>
    <w:rsid w:val="00CB60B6"/>
    <w:rsid w:val="00CB629F"/>
    <w:rsid w:val="00CB6A6E"/>
    <w:rsid w:val="00CB6EF4"/>
    <w:rsid w:val="00CC118C"/>
    <w:rsid w:val="00CC1A11"/>
    <w:rsid w:val="00CC1BC1"/>
    <w:rsid w:val="00CC6B03"/>
    <w:rsid w:val="00CD0AEC"/>
    <w:rsid w:val="00CD10EB"/>
    <w:rsid w:val="00CD1E76"/>
    <w:rsid w:val="00CD2441"/>
    <w:rsid w:val="00CD382C"/>
    <w:rsid w:val="00CD3C44"/>
    <w:rsid w:val="00CD3F6E"/>
    <w:rsid w:val="00CD40BC"/>
    <w:rsid w:val="00CD4B81"/>
    <w:rsid w:val="00CD643D"/>
    <w:rsid w:val="00CE2A21"/>
    <w:rsid w:val="00CE3F54"/>
    <w:rsid w:val="00CE3F8F"/>
    <w:rsid w:val="00CE4A3E"/>
    <w:rsid w:val="00CE6CB2"/>
    <w:rsid w:val="00CF06AE"/>
    <w:rsid w:val="00CF10AF"/>
    <w:rsid w:val="00CF3496"/>
    <w:rsid w:val="00CF4274"/>
    <w:rsid w:val="00CF5A27"/>
    <w:rsid w:val="00CF5CE8"/>
    <w:rsid w:val="00CF6B8A"/>
    <w:rsid w:val="00D01E9D"/>
    <w:rsid w:val="00D02679"/>
    <w:rsid w:val="00D0278F"/>
    <w:rsid w:val="00D038EC"/>
    <w:rsid w:val="00D03F0F"/>
    <w:rsid w:val="00D20BA9"/>
    <w:rsid w:val="00D22BFC"/>
    <w:rsid w:val="00D22D6A"/>
    <w:rsid w:val="00D24C85"/>
    <w:rsid w:val="00D31166"/>
    <w:rsid w:val="00D3247C"/>
    <w:rsid w:val="00D325EC"/>
    <w:rsid w:val="00D36137"/>
    <w:rsid w:val="00D3650D"/>
    <w:rsid w:val="00D36CBD"/>
    <w:rsid w:val="00D377A4"/>
    <w:rsid w:val="00D42A9D"/>
    <w:rsid w:val="00D44971"/>
    <w:rsid w:val="00D465D5"/>
    <w:rsid w:val="00D501BC"/>
    <w:rsid w:val="00D54945"/>
    <w:rsid w:val="00D55969"/>
    <w:rsid w:val="00D5786C"/>
    <w:rsid w:val="00D57C94"/>
    <w:rsid w:val="00D57F60"/>
    <w:rsid w:val="00D6175A"/>
    <w:rsid w:val="00D644B7"/>
    <w:rsid w:val="00D647F2"/>
    <w:rsid w:val="00D651FB"/>
    <w:rsid w:val="00D67485"/>
    <w:rsid w:val="00D7058E"/>
    <w:rsid w:val="00D708F8"/>
    <w:rsid w:val="00D70F48"/>
    <w:rsid w:val="00D74F6D"/>
    <w:rsid w:val="00D75AA6"/>
    <w:rsid w:val="00D76538"/>
    <w:rsid w:val="00D76D32"/>
    <w:rsid w:val="00D80300"/>
    <w:rsid w:val="00D839AA"/>
    <w:rsid w:val="00D848EE"/>
    <w:rsid w:val="00D849E4"/>
    <w:rsid w:val="00D851AB"/>
    <w:rsid w:val="00D8538D"/>
    <w:rsid w:val="00D92313"/>
    <w:rsid w:val="00D928C8"/>
    <w:rsid w:val="00D93550"/>
    <w:rsid w:val="00D9587F"/>
    <w:rsid w:val="00DA23B0"/>
    <w:rsid w:val="00DA394E"/>
    <w:rsid w:val="00DA3959"/>
    <w:rsid w:val="00DA4072"/>
    <w:rsid w:val="00DA5A96"/>
    <w:rsid w:val="00DB12EF"/>
    <w:rsid w:val="00DB663A"/>
    <w:rsid w:val="00DC072B"/>
    <w:rsid w:val="00DC1920"/>
    <w:rsid w:val="00DC79F9"/>
    <w:rsid w:val="00DD1D52"/>
    <w:rsid w:val="00DD257B"/>
    <w:rsid w:val="00DE2540"/>
    <w:rsid w:val="00DE2554"/>
    <w:rsid w:val="00DE61F3"/>
    <w:rsid w:val="00DE7623"/>
    <w:rsid w:val="00DF1706"/>
    <w:rsid w:val="00DF482B"/>
    <w:rsid w:val="00DF61A7"/>
    <w:rsid w:val="00DF67C7"/>
    <w:rsid w:val="00DF7314"/>
    <w:rsid w:val="00E04D6B"/>
    <w:rsid w:val="00E13679"/>
    <w:rsid w:val="00E14E12"/>
    <w:rsid w:val="00E171BC"/>
    <w:rsid w:val="00E2212C"/>
    <w:rsid w:val="00E2306A"/>
    <w:rsid w:val="00E23CA2"/>
    <w:rsid w:val="00E24F81"/>
    <w:rsid w:val="00E2557A"/>
    <w:rsid w:val="00E2559D"/>
    <w:rsid w:val="00E27261"/>
    <w:rsid w:val="00E274D8"/>
    <w:rsid w:val="00E342CC"/>
    <w:rsid w:val="00E36C66"/>
    <w:rsid w:val="00E37950"/>
    <w:rsid w:val="00E37A8F"/>
    <w:rsid w:val="00E4247E"/>
    <w:rsid w:val="00E42B68"/>
    <w:rsid w:val="00E43703"/>
    <w:rsid w:val="00E43C26"/>
    <w:rsid w:val="00E43FA8"/>
    <w:rsid w:val="00E44639"/>
    <w:rsid w:val="00E46AEC"/>
    <w:rsid w:val="00E46CEA"/>
    <w:rsid w:val="00E4702E"/>
    <w:rsid w:val="00E474F0"/>
    <w:rsid w:val="00E47A9A"/>
    <w:rsid w:val="00E50993"/>
    <w:rsid w:val="00E516F3"/>
    <w:rsid w:val="00E528F7"/>
    <w:rsid w:val="00E528F9"/>
    <w:rsid w:val="00E55684"/>
    <w:rsid w:val="00E602D0"/>
    <w:rsid w:val="00E603C8"/>
    <w:rsid w:val="00E64DB8"/>
    <w:rsid w:val="00E64EB9"/>
    <w:rsid w:val="00E64F4D"/>
    <w:rsid w:val="00E6613F"/>
    <w:rsid w:val="00E6770F"/>
    <w:rsid w:val="00E71440"/>
    <w:rsid w:val="00E72196"/>
    <w:rsid w:val="00E72615"/>
    <w:rsid w:val="00E736EF"/>
    <w:rsid w:val="00E742C0"/>
    <w:rsid w:val="00E753C8"/>
    <w:rsid w:val="00E75858"/>
    <w:rsid w:val="00E75ECD"/>
    <w:rsid w:val="00E76F05"/>
    <w:rsid w:val="00E848E3"/>
    <w:rsid w:val="00E86A90"/>
    <w:rsid w:val="00E9112A"/>
    <w:rsid w:val="00E94C91"/>
    <w:rsid w:val="00E976A2"/>
    <w:rsid w:val="00E97CBF"/>
    <w:rsid w:val="00EA58FE"/>
    <w:rsid w:val="00EA6897"/>
    <w:rsid w:val="00EA6EF0"/>
    <w:rsid w:val="00EB0855"/>
    <w:rsid w:val="00EB1C37"/>
    <w:rsid w:val="00EB3490"/>
    <w:rsid w:val="00EB4F0F"/>
    <w:rsid w:val="00EC41C3"/>
    <w:rsid w:val="00EC7DBC"/>
    <w:rsid w:val="00EC7F7D"/>
    <w:rsid w:val="00ED2780"/>
    <w:rsid w:val="00ED3258"/>
    <w:rsid w:val="00ED3491"/>
    <w:rsid w:val="00ED6446"/>
    <w:rsid w:val="00ED688E"/>
    <w:rsid w:val="00ED6E73"/>
    <w:rsid w:val="00EE17DC"/>
    <w:rsid w:val="00EE18B8"/>
    <w:rsid w:val="00EE2870"/>
    <w:rsid w:val="00EE48CC"/>
    <w:rsid w:val="00EE617F"/>
    <w:rsid w:val="00EF008E"/>
    <w:rsid w:val="00EF1834"/>
    <w:rsid w:val="00EF1A73"/>
    <w:rsid w:val="00EF589B"/>
    <w:rsid w:val="00EF66C8"/>
    <w:rsid w:val="00EF6CF6"/>
    <w:rsid w:val="00EF7D2D"/>
    <w:rsid w:val="00F02B3A"/>
    <w:rsid w:val="00F03302"/>
    <w:rsid w:val="00F03716"/>
    <w:rsid w:val="00F048C4"/>
    <w:rsid w:val="00F04BC9"/>
    <w:rsid w:val="00F11B2B"/>
    <w:rsid w:val="00F14BBD"/>
    <w:rsid w:val="00F205E9"/>
    <w:rsid w:val="00F20F1B"/>
    <w:rsid w:val="00F24605"/>
    <w:rsid w:val="00F253B2"/>
    <w:rsid w:val="00F25470"/>
    <w:rsid w:val="00F27237"/>
    <w:rsid w:val="00F277D7"/>
    <w:rsid w:val="00F2792C"/>
    <w:rsid w:val="00F27E28"/>
    <w:rsid w:val="00F307A2"/>
    <w:rsid w:val="00F3248D"/>
    <w:rsid w:val="00F32C8E"/>
    <w:rsid w:val="00F333DD"/>
    <w:rsid w:val="00F33792"/>
    <w:rsid w:val="00F34226"/>
    <w:rsid w:val="00F3628D"/>
    <w:rsid w:val="00F363E0"/>
    <w:rsid w:val="00F36E82"/>
    <w:rsid w:val="00F404DF"/>
    <w:rsid w:val="00F417FC"/>
    <w:rsid w:val="00F424B0"/>
    <w:rsid w:val="00F43F3B"/>
    <w:rsid w:val="00F44A8F"/>
    <w:rsid w:val="00F546BC"/>
    <w:rsid w:val="00F60507"/>
    <w:rsid w:val="00F60736"/>
    <w:rsid w:val="00F61C69"/>
    <w:rsid w:val="00F63839"/>
    <w:rsid w:val="00F6459B"/>
    <w:rsid w:val="00F66FF2"/>
    <w:rsid w:val="00F67FB8"/>
    <w:rsid w:val="00F70A8F"/>
    <w:rsid w:val="00F7139A"/>
    <w:rsid w:val="00F71D53"/>
    <w:rsid w:val="00F72052"/>
    <w:rsid w:val="00F74174"/>
    <w:rsid w:val="00F75079"/>
    <w:rsid w:val="00F76A99"/>
    <w:rsid w:val="00F77FAF"/>
    <w:rsid w:val="00F80395"/>
    <w:rsid w:val="00F81F49"/>
    <w:rsid w:val="00F8456D"/>
    <w:rsid w:val="00F8763E"/>
    <w:rsid w:val="00F90D02"/>
    <w:rsid w:val="00F92FD1"/>
    <w:rsid w:val="00F93467"/>
    <w:rsid w:val="00F94484"/>
    <w:rsid w:val="00F96716"/>
    <w:rsid w:val="00F97AF0"/>
    <w:rsid w:val="00F97E01"/>
    <w:rsid w:val="00FA1D86"/>
    <w:rsid w:val="00FA283E"/>
    <w:rsid w:val="00FA71AC"/>
    <w:rsid w:val="00FB02AC"/>
    <w:rsid w:val="00FB0F9F"/>
    <w:rsid w:val="00FB4C93"/>
    <w:rsid w:val="00FB73B6"/>
    <w:rsid w:val="00FB7EF9"/>
    <w:rsid w:val="00FC013E"/>
    <w:rsid w:val="00FC2844"/>
    <w:rsid w:val="00FC293A"/>
    <w:rsid w:val="00FC3BE2"/>
    <w:rsid w:val="00FC4EEE"/>
    <w:rsid w:val="00FD0160"/>
    <w:rsid w:val="00FD23DE"/>
    <w:rsid w:val="00FD2C77"/>
    <w:rsid w:val="00FD35EB"/>
    <w:rsid w:val="00FD3700"/>
    <w:rsid w:val="00FD4516"/>
    <w:rsid w:val="00FD4C3E"/>
    <w:rsid w:val="00FD6E1A"/>
    <w:rsid w:val="00FE0A5A"/>
    <w:rsid w:val="00FE184D"/>
    <w:rsid w:val="00FE3845"/>
    <w:rsid w:val="00FE4D42"/>
    <w:rsid w:val="00FE5113"/>
    <w:rsid w:val="00FE5B60"/>
    <w:rsid w:val="00FE67AA"/>
    <w:rsid w:val="00FE6A5D"/>
    <w:rsid w:val="00FF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9D5EEE"/>
  <w15:docId w15:val="{84CB119D-E443-4BDB-8B83-9CC2562C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C1"/>
    <w:rPr>
      <w:sz w:val="24"/>
    </w:rPr>
  </w:style>
  <w:style w:type="paragraph" w:styleId="Heading1">
    <w:name w:val="heading 1"/>
    <w:basedOn w:val="Normal"/>
    <w:next w:val="Normal"/>
    <w:link w:val="Heading1Char"/>
    <w:uiPriority w:val="9"/>
    <w:qFormat/>
    <w:rsid w:val="005261C1"/>
    <w:pPr>
      <w:keepNext/>
      <w:keepLines/>
      <w:spacing w:before="240" w:after="0"/>
      <w:outlineLvl w:val="0"/>
    </w:pPr>
    <w:rPr>
      <w:rFonts w:asciiTheme="majorHAnsi" w:eastAsiaTheme="majorEastAsia" w:hAnsiTheme="majorHAnsi" w:cstheme="majorBidi"/>
      <w:color w:val="008FD5"/>
      <w:sz w:val="36"/>
      <w:szCs w:val="32"/>
    </w:rPr>
  </w:style>
  <w:style w:type="paragraph" w:styleId="Heading2">
    <w:name w:val="heading 2"/>
    <w:basedOn w:val="Normal"/>
    <w:next w:val="Normal"/>
    <w:link w:val="Heading2Char"/>
    <w:uiPriority w:val="9"/>
    <w:semiHidden/>
    <w:unhideWhenUsed/>
    <w:qFormat/>
    <w:rsid w:val="001119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5111"/>
    <w:pPr>
      <w:spacing w:after="0" w:line="240" w:lineRule="auto"/>
    </w:pPr>
    <w:rPr>
      <w:rFonts w:eastAsiaTheme="minorEastAsia"/>
    </w:rPr>
  </w:style>
  <w:style w:type="character" w:customStyle="1" w:styleId="NoSpacingChar">
    <w:name w:val="No Spacing Char"/>
    <w:basedOn w:val="DefaultParagraphFont"/>
    <w:link w:val="NoSpacing"/>
    <w:uiPriority w:val="1"/>
    <w:rsid w:val="00005111"/>
    <w:rPr>
      <w:rFonts w:eastAsiaTheme="minorEastAsia"/>
    </w:rPr>
  </w:style>
  <w:style w:type="character" w:customStyle="1" w:styleId="Heading1Char">
    <w:name w:val="Heading 1 Char"/>
    <w:basedOn w:val="DefaultParagraphFont"/>
    <w:link w:val="Heading1"/>
    <w:uiPriority w:val="9"/>
    <w:rsid w:val="005261C1"/>
    <w:rPr>
      <w:rFonts w:asciiTheme="majorHAnsi" w:eastAsiaTheme="majorEastAsia" w:hAnsiTheme="majorHAnsi" w:cstheme="majorBidi"/>
      <w:color w:val="008FD5"/>
      <w:sz w:val="36"/>
      <w:szCs w:val="32"/>
    </w:rPr>
  </w:style>
  <w:style w:type="paragraph" w:styleId="ListParagraph">
    <w:name w:val="List Paragraph"/>
    <w:basedOn w:val="Normal"/>
    <w:uiPriority w:val="34"/>
    <w:qFormat/>
    <w:rsid w:val="00005111"/>
    <w:pPr>
      <w:ind w:left="720"/>
      <w:contextualSpacing/>
    </w:pPr>
  </w:style>
  <w:style w:type="paragraph" w:styleId="Header">
    <w:name w:val="header"/>
    <w:basedOn w:val="Normal"/>
    <w:link w:val="HeaderChar"/>
    <w:uiPriority w:val="99"/>
    <w:unhideWhenUsed/>
    <w:rsid w:val="0017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8E"/>
    <w:rPr>
      <w:sz w:val="24"/>
    </w:rPr>
  </w:style>
  <w:style w:type="paragraph" w:styleId="Footer">
    <w:name w:val="footer"/>
    <w:basedOn w:val="Normal"/>
    <w:link w:val="FooterChar"/>
    <w:uiPriority w:val="99"/>
    <w:unhideWhenUsed/>
    <w:rsid w:val="0017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8E"/>
    <w:rPr>
      <w:sz w:val="24"/>
    </w:rPr>
  </w:style>
  <w:style w:type="character" w:styleId="IntenseEmphasis">
    <w:name w:val="Intense Emphasis"/>
    <w:basedOn w:val="DefaultParagraphFont"/>
    <w:uiPriority w:val="21"/>
    <w:qFormat/>
    <w:rsid w:val="00460436"/>
    <w:rPr>
      <w:i/>
      <w:iCs/>
      <w:color w:val="008FD5"/>
    </w:rPr>
  </w:style>
  <w:style w:type="character" w:styleId="Hyperlink">
    <w:name w:val="Hyperlink"/>
    <w:basedOn w:val="DefaultParagraphFont"/>
    <w:uiPriority w:val="99"/>
    <w:unhideWhenUsed/>
    <w:rsid w:val="00230D29"/>
    <w:rPr>
      <w:color w:val="0563C1" w:themeColor="hyperlink"/>
      <w:u w:val="single"/>
    </w:rPr>
  </w:style>
  <w:style w:type="paragraph" w:styleId="FootnoteText">
    <w:name w:val="footnote text"/>
    <w:basedOn w:val="Normal"/>
    <w:link w:val="FootnoteTextChar"/>
    <w:uiPriority w:val="99"/>
    <w:semiHidden/>
    <w:unhideWhenUsed/>
    <w:rsid w:val="00D64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B7"/>
    <w:rPr>
      <w:sz w:val="20"/>
      <w:szCs w:val="20"/>
    </w:rPr>
  </w:style>
  <w:style w:type="character" w:styleId="FootnoteReference">
    <w:name w:val="footnote reference"/>
    <w:basedOn w:val="DefaultParagraphFont"/>
    <w:uiPriority w:val="99"/>
    <w:semiHidden/>
    <w:unhideWhenUsed/>
    <w:rsid w:val="00D644B7"/>
    <w:rPr>
      <w:vertAlign w:val="superscript"/>
    </w:rPr>
  </w:style>
  <w:style w:type="paragraph" w:styleId="BalloonText">
    <w:name w:val="Balloon Text"/>
    <w:basedOn w:val="Normal"/>
    <w:link w:val="BalloonTextChar"/>
    <w:uiPriority w:val="99"/>
    <w:semiHidden/>
    <w:unhideWhenUsed/>
    <w:rsid w:val="00341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E7"/>
    <w:rPr>
      <w:rFonts w:ascii="Segoe UI" w:hAnsi="Segoe UI" w:cs="Segoe UI"/>
      <w:sz w:val="18"/>
      <w:szCs w:val="18"/>
    </w:rPr>
  </w:style>
  <w:style w:type="character" w:styleId="UnresolvedMention">
    <w:name w:val="Unresolved Mention"/>
    <w:basedOn w:val="DefaultParagraphFont"/>
    <w:uiPriority w:val="99"/>
    <w:semiHidden/>
    <w:unhideWhenUsed/>
    <w:rsid w:val="00E602D0"/>
    <w:rPr>
      <w:color w:val="605E5C"/>
      <w:shd w:val="clear" w:color="auto" w:fill="E1DFDD"/>
    </w:rPr>
  </w:style>
  <w:style w:type="character" w:styleId="CommentReference">
    <w:name w:val="annotation reference"/>
    <w:basedOn w:val="DefaultParagraphFont"/>
    <w:uiPriority w:val="99"/>
    <w:semiHidden/>
    <w:unhideWhenUsed/>
    <w:rsid w:val="004709B0"/>
    <w:rPr>
      <w:sz w:val="16"/>
      <w:szCs w:val="16"/>
    </w:rPr>
  </w:style>
  <w:style w:type="paragraph" w:styleId="CommentText">
    <w:name w:val="annotation text"/>
    <w:basedOn w:val="Normal"/>
    <w:link w:val="CommentTextChar"/>
    <w:uiPriority w:val="99"/>
    <w:semiHidden/>
    <w:unhideWhenUsed/>
    <w:rsid w:val="004709B0"/>
    <w:pPr>
      <w:spacing w:line="240" w:lineRule="auto"/>
    </w:pPr>
    <w:rPr>
      <w:sz w:val="20"/>
      <w:szCs w:val="20"/>
    </w:rPr>
  </w:style>
  <w:style w:type="character" w:customStyle="1" w:styleId="CommentTextChar">
    <w:name w:val="Comment Text Char"/>
    <w:basedOn w:val="DefaultParagraphFont"/>
    <w:link w:val="CommentText"/>
    <w:uiPriority w:val="99"/>
    <w:semiHidden/>
    <w:rsid w:val="004709B0"/>
    <w:rPr>
      <w:sz w:val="20"/>
      <w:szCs w:val="20"/>
    </w:rPr>
  </w:style>
  <w:style w:type="paragraph" w:styleId="CommentSubject">
    <w:name w:val="annotation subject"/>
    <w:basedOn w:val="CommentText"/>
    <w:next w:val="CommentText"/>
    <w:link w:val="CommentSubjectChar"/>
    <w:uiPriority w:val="99"/>
    <w:semiHidden/>
    <w:unhideWhenUsed/>
    <w:rsid w:val="004709B0"/>
    <w:rPr>
      <w:b/>
      <w:bCs/>
    </w:rPr>
  </w:style>
  <w:style w:type="character" w:customStyle="1" w:styleId="CommentSubjectChar">
    <w:name w:val="Comment Subject Char"/>
    <w:basedOn w:val="CommentTextChar"/>
    <w:link w:val="CommentSubject"/>
    <w:uiPriority w:val="99"/>
    <w:semiHidden/>
    <w:rsid w:val="004709B0"/>
    <w:rPr>
      <w:b/>
      <w:bCs/>
      <w:sz w:val="20"/>
      <w:szCs w:val="20"/>
    </w:rPr>
  </w:style>
  <w:style w:type="paragraph" w:styleId="Revision">
    <w:name w:val="Revision"/>
    <w:hidden/>
    <w:uiPriority w:val="99"/>
    <w:semiHidden/>
    <w:rsid w:val="00773B5B"/>
    <w:pPr>
      <w:spacing w:after="0" w:line="240" w:lineRule="auto"/>
    </w:pPr>
    <w:rPr>
      <w:sz w:val="24"/>
    </w:rPr>
  </w:style>
  <w:style w:type="paragraph" w:styleId="EndnoteText">
    <w:name w:val="endnote text"/>
    <w:basedOn w:val="Normal"/>
    <w:link w:val="EndnoteTextChar"/>
    <w:uiPriority w:val="99"/>
    <w:semiHidden/>
    <w:unhideWhenUsed/>
    <w:rsid w:val="00BC62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6211"/>
    <w:rPr>
      <w:sz w:val="20"/>
      <w:szCs w:val="20"/>
    </w:rPr>
  </w:style>
  <w:style w:type="character" w:styleId="EndnoteReference">
    <w:name w:val="endnote reference"/>
    <w:basedOn w:val="DefaultParagraphFont"/>
    <w:uiPriority w:val="99"/>
    <w:semiHidden/>
    <w:unhideWhenUsed/>
    <w:rsid w:val="00BC6211"/>
    <w:rPr>
      <w:vertAlign w:val="superscript"/>
    </w:rPr>
  </w:style>
  <w:style w:type="character" w:styleId="FollowedHyperlink">
    <w:name w:val="FollowedHyperlink"/>
    <w:basedOn w:val="DefaultParagraphFont"/>
    <w:uiPriority w:val="99"/>
    <w:semiHidden/>
    <w:unhideWhenUsed/>
    <w:rsid w:val="00CE6CB2"/>
    <w:rPr>
      <w:color w:val="954F72" w:themeColor="followedHyperlink"/>
      <w:u w:val="single"/>
    </w:rPr>
  </w:style>
  <w:style w:type="table" w:styleId="TableGrid">
    <w:name w:val="Table Grid"/>
    <w:basedOn w:val="TableNormal"/>
    <w:uiPriority w:val="39"/>
    <w:rsid w:val="005D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C0F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1">
    <w:name w:val="Grid Table 3 Accent 1"/>
    <w:basedOn w:val="TableNormal"/>
    <w:uiPriority w:val="48"/>
    <w:rsid w:val="00617E5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2Char">
    <w:name w:val="Heading 2 Char"/>
    <w:basedOn w:val="DefaultParagraphFont"/>
    <w:link w:val="Heading2"/>
    <w:uiPriority w:val="9"/>
    <w:semiHidden/>
    <w:rsid w:val="001119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830">
      <w:bodyDiv w:val="1"/>
      <w:marLeft w:val="0"/>
      <w:marRight w:val="0"/>
      <w:marTop w:val="0"/>
      <w:marBottom w:val="0"/>
      <w:divBdr>
        <w:top w:val="none" w:sz="0" w:space="0" w:color="auto"/>
        <w:left w:val="none" w:sz="0" w:space="0" w:color="auto"/>
        <w:bottom w:val="none" w:sz="0" w:space="0" w:color="auto"/>
        <w:right w:val="none" w:sz="0" w:space="0" w:color="auto"/>
      </w:divBdr>
    </w:div>
    <w:div w:id="59444217">
      <w:bodyDiv w:val="1"/>
      <w:marLeft w:val="0"/>
      <w:marRight w:val="0"/>
      <w:marTop w:val="0"/>
      <w:marBottom w:val="0"/>
      <w:divBdr>
        <w:top w:val="none" w:sz="0" w:space="0" w:color="auto"/>
        <w:left w:val="none" w:sz="0" w:space="0" w:color="auto"/>
        <w:bottom w:val="none" w:sz="0" w:space="0" w:color="auto"/>
        <w:right w:val="none" w:sz="0" w:space="0" w:color="auto"/>
      </w:divBdr>
    </w:div>
    <w:div w:id="137456972">
      <w:bodyDiv w:val="1"/>
      <w:marLeft w:val="0"/>
      <w:marRight w:val="0"/>
      <w:marTop w:val="0"/>
      <w:marBottom w:val="0"/>
      <w:divBdr>
        <w:top w:val="none" w:sz="0" w:space="0" w:color="auto"/>
        <w:left w:val="none" w:sz="0" w:space="0" w:color="auto"/>
        <w:bottom w:val="none" w:sz="0" w:space="0" w:color="auto"/>
        <w:right w:val="none" w:sz="0" w:space="0" w:color="auto"/>
      </w:divBdr>
    </w:div>
    <w:div w:id="154414549">
      <w:bodyDiv w:val="1"/>
      <w:marLeft w:val="0"/>
      <w:marRight w:val="0"/>
      <w:marTop w:val="0"/>
      <w:marBottom w:val="0"/>
      <w:divBdr>
        <w:top w:val="none" w:sz="0" w:space="0" w:color="auto"/>
        <w:left w:val="none" w:sz="0" w:space="0" w:color="auto"/>
        <w:bottom w:val="none" w:sz="0" w:space="0" w:color="auto"/>
        <w:right w:val="none" w:sz="0" w:space="0" w:color="auto"/>
      </w:divBdr>
    </w:div>
    <w:div w:id="196545567">
      <w:bodyDiv w:val="1"/>
      <w:marLeft w:val="0"/>
      <w:marRight w:val="0"/>
      <w:marTop w:val="0"/>
      <w:marBottom w:val="0"/>
      <w:divBdr>
        <w:top w:val="none" w:sz="0" w:space="0" w:color="auto"/>
        <w:left w:val="none" w:sz="0" w:space="0" w:color="auto"/>
        <w:bottom w:val="none" w:sz="0" w:space="0" w:color="auto"/>
        <w:right w:val="none" w:sz="0" w:space="0" w:color="auto"/>
      </w:divBdr>
    </w:div>
    <w:div w:id="220026142">
      <w:bodyDiv w:val="1"/>
      <w:marLeft w:val="0"/>
      <w:marRight w:val="0"/>
      <w:marTop w:val="0"/>
      <w:marBottom w:val="0"/>
      <w:divBdr>
        <w:top w:val="none" w:sz="0" w:space="0" w:color="auto"/>
        <w:left w:val="none" w:sz="0" w:space="0" w:color="auto"/>
        <w:bottom w:val="none" w:sz="0" w:space="0" w:color="auto"/>
        <w:right w:val="none" w:sz="0" w:space="0" w:color="auto"/>
      </w:divBdr>
    </w:div>
    <w:div w:id="296960702">
      <w:bodyDiv w:val="1"/>
      <w:marLeft w:val="0"/>
      <w:marRight w:val="0"/>
      <w:marTop w:val="0"/>
      <w:marBottom w:val="0"/>
      <w:divBdr>
        <w:top w:val="none" w:sz="0" w:space="0" w:color="auto"/>
        <w:left w:val="none" w:sz="0" w:space="0" w:color="auto"/>
        <w:bottom w:val="none" w:sz="0" w:space="0" w:color="auto"/>
        <w:right w:val="none" w:sz="0" w:space="0" w:color="auto"/>
      </w:divBdr>
    </w:div>
    <w:div w:id="332997528">
      <w:bodyDiv w:val="1"/>
      <w:marLeft w:val="0"/>
      <w:marRight w:val="0"/>
      <w:marTop w:val="0"/>
      <w:marBottom w:val="0"/>
      <w:divBdr>
        <w:top w:val="none" w:sz="0" w:space="0" w:color="auto"/>
        <w:left w:val="none" w:sz="0" w:space="0" w:color="auto"/>
        <w:bottom w:val="none" w:sz="0" w:space="0" w:color="auto"/>
        <w:right w:val="none" w:sz="0" w:space="0" w:color="auto"/>
      </w:divBdr>
    </w:div>
    <w:div w:id="360976092">
      <w:bodyDiv w:val="1"/>
      <w:marLeft w:val="0"/>
      <w:marRight w:val="0"/>
      <w:marTop w:val="0"/>
      <w:marBottom w:val="0"/>
      <w:divBdr>
        <w:top w:val="none" w:sz="0" w:space="0" w:color="auto"/>
        <w:left w:val="none" w:sz="0" w:space="0" w:color="auto"/>
        <w:bottom w:val="none" w:sz="0" w:space="0" w:color="auto"/>
        <w:right w:val="none" w:sz="0" w:space="0" w:color="auto"/>
      </w:divBdr>
    </w:div>
    <w:div w:id="416874909">
      <w:bodyDiv w:val="1"/>
      <w:marLeft w:val="0"/>
      <w:marRight w:val="0"/>
      <w:marTop w:val="0"/>
      <w:marBottom w:val="0"/>
      <w:divBdr>
        <w:top w:val="none" w:sz="0" w:space="0" w:color="auto"/>
        <w:left w:val="none" w:sz="0" w:space="0" w:color="auto"/>
        <w:bottom w:val="none" w:sz="0" w:space="0" w:color="auto"/>
        <w:right w:val="none" w:sz="0" w:space="0" w:color="auto"/>
      </w:divBdr>
    </w:div>
    <w:div w:id="430008622">
      <w:bodyDiv w:val="1"/>
      <w:marLeft w:val="0"/>
      <w:marRight w:val="0"/>
      <w:marTop w:val="0"/>
      <w:marBottom w:val="0"/>
      <w:divBdr>
        <w:top w:val="none" w:sz="0" w:space="0" w:color="auto"/>
        <w:left w:val="none" w:sz="0" w:space="0" w:color="auto"/>
        <w:bottom w:val="none" w:sz="0" w:space="0" w:color="auto"/>
        <w:right w:val="none" w:sz="0" w:space="0" w:color="auto"/>
      </w:divBdr>
    </w:div>
    <w:div w:id="438374378">
      <w:bodyDiv w:val="1"/>
      <w:marLeft w:val="0"/>
      <w:marRight w:val="0"/>
      <w:marTop w:val="0"/>
      <w:marBottom w:val="0"/>
      <w:divBdr>
        <w:top w:val="none" w:sz="0" w:space="0" w:color="auto"/>
        <w:left w:val="none" w:sz="0" w:space="0" w:color="auto"/>
        <w:bottom w:val="none" w:sz="0" w:space="0" w:color="auto"/>
        <w:right w:val="none" w:sz="0" w:space="0" w:color="auto"/>
      </w:divBdr>
    </w:div>
    <w:div w:id="443580113">
      <w:bodyDiv w:val="1"/>
      <w:marLeft w:val="0"/>
      <w:marRight w:val="0"/>
      <w:marTop w:val="0"/>
      <w:marBottom w:val="0"/>
      <w:divBdr>
        <w:top w:val="none" w:sz="0" w:space="0" w:color="auto"/>
        <w:left w:val="none" w:sz="0" w:space="0" w:color="auto"/>
        <w:bottom w:val="none" w:sz="0" w:space="0" w:color="auto"/>
        <w:right w:val="none" w:sz="0" w:space="0" w:color="auto"/>
      </w:divBdr>
    </w:div>
    <w:div w:id="450560519">
      <w:bodyDiv w:val="1"/>
      <w:marLeft w:val="0"/>
      <w:marRight w:val="0"/>
      <w:marTop w:val="0"/>
      <w:marBottom w:val="0"/>
      <w:divBdr>
        <w:top w:val="none" w:sz="0" w:space="0" w:color="auto"/>
        <w:left w:val="none" w:sz="0" w:space="0" w:color="auto"/>
        <w:bottom w:val="none" w:sz="0" w:space="0" w:color="auto"/>
        <w:right w:val="none" w:sz="0" w:space="0" w:color="auto"/>
      </w:divBdr>
    </w:div>
    <w:div w:id="456947011">
      <w:bodyDiv w:val="1"/>
      <w:marLeft w:val="0"/>
      <w:marRight w:val="0"/>
      <w:marTop w:val="0"/>
      <w:marBottom w:val="0"/>
      <w:divBdr>
        <w:top w:val="none" w:sz="0" w:space="0" w:color="auto"/>
        <w:left w:val="none" w:sz="0" w:space="0" w:color="auto"/>
        <w:bottom w:val="none" w:sz="0" w:space="0" w:color="auto"/>
        <w:right w:val="none" w:sz="0" w:space="0" w:color="auto"/>
      </w:divBdr>
    </w:div>
    <w:div w:id="507868590">
      <w:bodyDiv w:val="1"/>
      <w:marLeft w:val="0"/>
      <w:marRight w:val="0"/>
      <w:marTop w:val="0"/>
      <w:marBottom w:val="0"/>
      <w:divBdr>
        <w:top w:val="none" w:sz="0" w:space="0" w:color="auto"/>
        <w:left w:val="none" w:sz="0" w:space="0" w:color="auto"/>
        <w:bottom w:val="none" w:sz="0" w:space="0" w:color="auto"/>
        <w:right w:val="none" w:sz="0" w:space="0" w:color="auto"/>
      </w:divBdr>
    </w:div>
    <w:div w:id="546181748">
      <w:bodyDiv w:val="1"/>
      <w:marLeft w:val="0"/>
      <w:marRight w:val="0"/>
      <w:marTop w:val="0"/>
      <w:marBottom w:val="0"/>
      <w:divBdr>
        <w:top w:val="none" w:sz="0" w:space="0" w:color="auto"/>
        <w:left w:val="none" w:sz="0" w:space="0" w:color="auto"/>
        <w:bottom w:val="none" w:sz="0" w:space="0" w:color="auto"/>
        <w:right w:val="none" w:sz="0" w:space="0" w:color="auto"/>
      </w:divBdr>
    </w:div>
    <w:div w:id="548538255">
      <w:bodyDiv w:val="1"/>
      <w:marLeft w:val="0"/>
      <w:marRight w:val="0"/>
      <w:marTop w:val="0"/>
      <w:marBottom w:val="0"/>
      <w:divBdr>
        <w:top w:val="none" w:sz="0" w:space="0" w:color="auto"/>
        <w:left w:val="none" w:sz="0" w:space="0" w:color="auto"/>
        <w:bottom w:val="none" w:sz="0" w:space="0" w:color="auto"/>
        <w:right w:val="none" w:sz="0" w:space="0" w:color="auto"/>
      </w:divBdr>
    </w:div>
    <w:div w:id="608438806">
      <w:bodyDiv w:val="1"/>
      <w:marLeft w:val="0"/>
      <w:marRight w:val="0"/>
      <w:marTop w:val="0"/>
      <w:marBottom w:val="0"/>
      <w:divBdr>
        <w:top w:val="none" w:sz="0" w:space="0" w:color="auto"/>
        <w:left w:val="none" w:sz="0" w:space="0" w:color="auto"/>
        <w:bottom w:val="none" w:sz="0" w:space="0" w:color="auto"/>
        <w:right w:val="none" w:sz="0" w:space="0" w:color="auto"/>
      </w:divBdr>
    </w:div>
    <w:div w:id="616059246">
      <w:bodyDiv w:val="1"/>
      <w:marLeft w:val="0"/>
      <w:marRight w:val="0"/>
      <w:marTop w:val="0"/>
      <w:marBottom w:val="0"/>
      <w:divBdr>
        <w:top w:val="none" w:sz="0" w:space="0" w:color="auto"/>
        <w:left w:val="none" w:sz="0" w:space="0" w:color="auto"/>
        <w:bottom w:val="none" w:sz="0" w:space="0" w:color="auto"/>
        <w:right w:val="none" w:sz="0" w:space="0" w:color="auto"/>
      </w:divBdr>
    </w:div>
    <w:div w:id="651908575">
      <w:bodyDiv w:val="1"/>
      <w:marLeft w:val="0"/>
      <w:marRight w:val="0"/>
      <w:marTop w:val="0"/>
      <w:marBottom w:val="0"/>
      <w:divBdr>
        <w:top w:val="none" w:sz="0" w:space="0" w:color="auto"/>
        <w:left w:val="none" w:sz="0" w:space="0" w:color="auto"/>
        <w:bottom w:val="none" w:sz="0" w:space="0" w:color="auto"/>
        <w:right w:val="none" w:sz="0" w:space="0" w:color="auto"/>
      </w:divBdr>
    </w:div>
    <w:div w:id="675880962">
      <w:bodyDiv w:val="1"/>
      <w:marLeft w:val="0"/>
      <w:marRight w:val="0"/>
      <w:marTop w:val="0"/>
      <w:marBottom w:val="0"/>
      <w:divBdr>
        <w:top w:val="none" w:sz="0" w:space="0" w:color="auto"/>
        <w:left w:val="none" w:sz="0" w:space="0" w:color="auto"/>
        <w:bottom w:val="none" w:sz="0" w:space="0" w:color="auto"/>
        <w:right w:val="none" w:sz="0" w:space="0" w:color="auto"/>
      </w:divBdr>
    </w:div>
    <w:div w:id="696203426">
      <w:bodyDiv w:val="1"/>
      <w:marLeft w:val="0"/>
      <w:marRight w:val="0"/>
      <w:marTop w:val="0"/>
      <w:marBottom w:val="0"/>
      <w:divBdr>
        <w:top w:val="none" w:sz="0" w:space="0" w:color="auto"/>
        <w:left w:val="none" w:sz="0" w:space="0" w:color="auto"/>
        <w:bottom w:val="none" w:sz="0" w:space="0" w:color="auto"/>
        <w:right w:val="none" w:sz="0" w:space="0" w:color="auto"/>
      </w:divBdr>
    </w:div>
    <w:div w:id="738670271">
      <w:bodyDiv w:val="1"/>
      <w:marLeft w:val="0"/>
      <w:marRight w:val="0"/>
      <w:marTop w:val="0"/>
      <w:marBottom w:val="0"/>
      <w:divBdr>
        <w:top w:val="none" w:sz="0" w:space="0" w:color="auto"/>
        <w:left w:val="none" w:sz="0" w:space="0" w:color="auto"/>
        <w:bottom w:val="none" w:sz="0" w:space="0" w:color="auto"/>
        <w:right w:val="none" w:sz="0" w:space="0" w:color="auto"/>
      </w:divBdr>
      <w:divsChild>
        <w:div w:id="1137451999">
          <w:marLeft w:val="0"/>
          <w:marRight w:val="0"/>
          <w:marTop w:val="0"/>
          <w:marBottom w:val="0"/>
          <w:divBdr>
            <w:top w:val="none" w:sz="0" w:space="0" w:color="auto"/>
            <w:left w:val="none" w:sz="0" w:space="0" w:color="auto"/>
            <w:bottom w:val="none" w:sz="0" w:space="0" w:color="auto"/>
            <w:right w:val="none" w:sz="0" w:space="0" w:color="auto"/>
          </w:divBdr>
          <w:divsChild>
            <w:div w:id="860168319">
              <w:marLeft w:val="0"/>
              <w:marRight w:val="0"/>
              <w:marTop w:val="0"/>
              <w:marBottom w:val="0"/>
              <w:divBdr>
                <w:top w:val="none" w:sz="0" w:space="0" w:color="auto"/>
                <w:left w:val="none" w:sz="0" w:space="0" w:color="auto"/>
                <w:bottom w:val="none" w:sz="0" w:space="0" w:color="auto"/>
                <w:right w:val="none" w:sz="0" w:space="0" w:color="auto"/>
              </w:divBdr>
              <w:divsChild>
                <w:div w:id="6500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2">
      <w:bodyDiv w:val="1"/>
      <w:marLeft w:val="0"/>
      <w:marRight w:val="0"/>
      <w:marTop w:val="0"/>
      <w:marBottom w:val="0"/>
      <w:divBdr>
        <w:top w:val="none" w:sz="0" w:space="0" w:color="auto"/>
        <w:left w:val="none" w:sz="0" w:space="0" w:color="auto"/>
        <w:bottom w:val="none" w:sz="0" w:space="0" w:color="auto"/>
        <w:right w:val="none" w:sz="0" w:space="0" w:color="auto"/>
      </w:divBdr>
    </w:div>
    <w:div w:id="818884400">
      <w:bodyDiv w:val="1"/>
      <w:marLeft w:val="0"/>
      <w:marRight w:val="0"/>
      <w:marTop w:val="0"/>
      <w:marBottom w:val="0"/>
      <w:divBdr>
        <w:top w:val="none" w:sz="0" w:space="0" w:color="auto"/>
        <w:left w:val="none" w:sz="0" w:space="0" w:color="auto"/>
        <w:bottom w:val="none" w:sz="0" w:space="0" w:color="auto"/>
        <w:right w:val="none" w:sz="0" w:space="0" w:color="auto"/>
      </w:divBdr>
    </w:div>
    <w:div w:id="832917095">
      <w:bodyDiv w:val="1"/>
      <w:marLeft w:val="0"/>
      <w:marRight w:val="0"/>
      <w:marTop w:val="0"/>
      <w:marBottom w:val="0"/>
      <w:divBdr>
        <w:top w:val="none" w:sz="0" w:space="0" w:color="auto"/>
        <w:left w:val="none" w:sz="0" w:space="0" w:color="auto"/>
        <w:bottom w:val="none" w:sz="0" w:space="0" w:color="auto"/>
        <w:right w:val="none" w:sz="0" w:space="0" w:color="auto"/>
      </w:divBdr>
    </w:div>
    <w:div w:id="843252920">
      <w:bodyDiv w:val="1"/>
      <w:marLeft w:val="0"/>
      <w:marRight w:val="0"/>
      <w:marTop w:val="0"/>
      <w:marBottom w:val="0"/>
      <w:divBdr>
        <w:top w:val="none" w:sz="0" w:space="0" w:color="auto"/>
        <w:left w:val="none" w:sz="0" w:space="0" w:color="auto"/>
        <w:bottom w:val="none" w:sz="0" w:space="0" w:color="auto"/>
        <w:right w:val="none" w:sz="0" w:space="0" w:color="auto"/>
      </w:divBdr>
    </w:div>
    <w:div w:id="895630664">
      <w:bodyDiv w:val="1"/>
      <w:marLeft w:val="0"/>
      <w:marRight w:val="0"/>
      <w:marTop w:val="0"/>
      <w:marBottom w:val="0"/>
      <w:divBdr>
        <w:top w:val="none" w:sz="0" w:space="0" w:color="auto"/>
        <w:left w:val="none" w:sz="0" w:space="0" w:color="auto"/>
        <w:bottom w:val="none" w:sz="0" w:space="0" w:color="auto"/>
        <w:right w:val="none" w:sz="0" w:space="0" w:color="auto"/>
      </w:divBdr>
    </w:div>
    <w:div w:id="898134511">
      <w:bodyDiv w:val="1"/>
      <w:marLeft w:val="0"/>
      <w:marRight w:val="0"/>
      <w:marTop w:val="0"/>
      <w:marBottom w:val="0"/>
      <w:divBdr>
        <w:top w:val="none" w:sz="0" w:space="0" w:color="auto"/>
        <w:left w:val="none" w:sz="0" w:space="0" w:color="auto"/>
        <w:bottom w:val="none" w:sz="0" w:space="0" w:color="auto"/>
        <w:right w:val="none" w:sz="0" w:space="0" w:color="auto"/>
      </w:divBdr>
    </w:div>
    <w:div w:id="977370349">
      <w:bodyDiv w:val="1"/>
      <w:marLeft w:val="0"/>
      <w:marRight w:val="0"/>
      <w:marTop w:val="0"/>
      <w:marBottom w:val="0"/>
      <w:divBdr>
        <w:top w:val="none" w:sz="0" w:space="0" w:color="auto"/>
        <w:left w:val="none" w:sz="0" w:space="0" w:color="auto"/>
        <w:bottom w:val="none" w:sz="0" w:space="0" w:color="auto"/>
        <w:right w:val="none" w:sz="0" w:space="0" w:color="auto"/>
      </w:divBdr>
    </w:div>
    <w:div w:id="992954216">
      <w:bodyDiv w:val="1"/>
      <w:marLeft w:val="0"/>
      <w:marRight w:val="0"/>
      <w:marTop w:val="0"/>
      <w:marBottom w:val="0"/>
      <w:divBdr>
        <w:top w:val="none" w:sz="0" w:space="0" w:color="auto"/>
        <w:left w:val="none" w:sz="0" w:space="0" w:color="auto"/>
        <w:bottom w:val="none" w:sz="0" w:space="0" w:color="auto"/>
        <w:right w:val="none" w:sz="0" w:space="0" w:color="auto"/>
      </w:divBdr>
    </w:div>
    <w:div w:id="1003359468">
      <w:bodyDiv w:val="1"/>
      <w:marLeft w:val="0"/>
      <w:marRight w:val="0"/>
      <w:marTop w:val="0"/>
      <w:marBottom w:val="0"/>
      <w:divBdr>
        <w:top w:val="none" w:sz="0" w:space="0" w:color="auto"/>
        <w:left w:val="none" w:sz="0" w:space="0" w:color="auto"/>
        <w:bottom w:val="none" w:sz="0" w:space="0" w:color="auto"/>
        <w:right w:val="none" w:sz="0" w:space="0" w:color="auto"/>
      </w:divBdr>
    </w:div>
    <w:div w:id="1004865342">
      <w:bodyDiv w:val="1"/>
      <w:marLeft w:val="0"/>
      <w:marRight w:val="0"/>
      <w:marTop w:val="0"/>
      <w:marBottom w:val="0"/>
      <w:divBdr>
        <w:top w:val="none" w:sz="0" w:space="0" w:color="auto"/>
        <w:left w:val="none" w:sz="0" w:space="0" w:color="auto"/>
        <w:bottom w:val="none" w:sz="0" w:space="0" w:color="auto"/>
        <w:right w:val="none" w:sz="0" w:space="0" w:color="auto"/>
      </w:divBdr>
    </w:div>
    <w:div w:id="1008290522">
      <w:bodyDiv w:val="1"/>
      <w:marLeft w:val="0"/>
      <w:marRight w:val="0"/>
      <w:marTop w:val="0"/>
      <w:marBottom w:val="0"/>
      <w:divBdr>
        <w:top w:val="none" w:sz="0" w:space="0" w:color="auto"/>
        <w:left w:val="none" w:sz="0" w:space="0" w:color="auto"/>
        <w:bottom w:val="none" w:sz="0" w:space="0" w:color="auto"/>
        <w:right w:val="none" w:sz="0" w:space="0" w:color="auto"/>
      </w:divBdr>
    </w:div>
    <w:div w:id="1039938774">
      <w:bodyDiv w:val="1"/>
      <w:marLeft w:val="0"/>
      <w:marRight w:val="0"/>
      <w:marTop w:val="0"/>
      <w:marBottom w:val="0"/>
      <w:divBdr>
        <w:top w:val="none" w:sz="0" w:space="0" w:color="auto"/>
        <w:left w:val="none" w:sz="0" w:space="0" w:color="auto"/>
        <w:bottom w:val="none" w:sz="0" w:space="0" w:color="auto"/>
        <w:right w:val="none" w:sz="0" w:space="0" w:color="auto"/>
      </w:divBdr>
    </w:div>
    <w:div w:id="1053382858">
      <w:bodyDiv w:val="1"/>
      <w:marLeft w:val="0"/>
      <w:marRight w:val="0"/>
      <w:marTop w:val="0"/>
      <w:marBottom w:val="0"/>
      <w:divBdr>
        <w:top w:val="none" w:sz="0" w:space="0" w:color="auto"/>
        <w:left w:val="none" w:sz="0" w:space="0" w:color="auto"/>
        <w:bottom w:val="none" w:sz="0" w:space="0" w:color="auto"/>
        <w:right w:val="none" w:sz="0" w:space="0" w:color="auto"/>
      </w:divBdr>
    </w:div>
    <w:div w:id="1102990296">
      <w:bodyDiv w:val="1"/>
      <w:marLeft w:val="0"/>
      <w:marRight w:val="0"/>
      <w:marTop w:val="0"/>
      <w:marBottom w:val="0"/>
      <w:divBdr>
        <w:top w:val="none" w:sz="0" w:space="0" w:color="auto"/>
        <w:left w:val="none" w:sz="0" w:space="0" w:color="auto"/>
        <w:bottom w:val="none" w:sz="0" w:space="0" w:color="auto"/>
        <w:right w:val="none" w:sz="0" w:space="0" w:color="auto"/>
      </w:divBdr>
    </w:div>
    <w:div w:id="1104880367">
      <w:bodyDiv w:val="1"/>
      <w:marLeft w:val="0"/>
      <w:marRight w:val="0"/>
      <w:marTop w:val="0"/>
      <w:marBottom w:val="0"/>
      <w:divBdr>
        <w:top w:val="none" w:sz="0" w:space="0" w:color="auto"/>
        <w:left w:val="none" w:sz="0" w:space="0" w:color="auto"/>
        <w:bottom w:val="none" w:sz="0" w:space="0" w:color="auto"/>
        <w:right w:val="none" w:sz="0" w:space="0" w:color="auto"/>
      </w:divBdr>
      <w:divsChild>
        <w:div w:id="568658873">
          <w:marLeft w:val="0"/>
          <w:marRight w:val="0"/>
          <w:marTop w:val="0"/>
          <w:marBottom w:val="0"/>
          <w:divBdr>
            <w:top w:val="none" w:sz="0" w:space="0" w:color="auto"/>
            <w:left w:val="none" w:sz="0" w:space="0" w:color="auto"/>
            <w:bottom w:val="none" w:sz="0" w:space="0" w:color="auto"/>
            <w:right w:val="none" w:sz="0" w:space="0" w:color="auto"/>
          </w:divBdr>
          <w:divsChild>
            <w:div w:id="2028822579">
              <w:marLeft w:val="0"/>
              <w:marRight w:val="0"/>
              <w:marTop w:val="0"/>
              <w:marBottom w:val="0"/>
              <w:divBdr>
                <w:top w:val="none" w:sz="0" w:space="0" w:color="auto"/>
                <w:left w:val="none" w:sz="0" w:space="0" w:color="auto"/>
                <w:bottom w:val="none" w:sz="0" w:space="0" w:color="auto"/>
                <w:right w:val="none" w:sz="0" w:space="0" w:color="auto"/>
              </w:divBdr>
              <w:divsChild>
                <w:div w:id="138160377">
                  <w:marLeft w:val="0"/>
                  <w:marRight w:val="0"/>
                  <w:marTop w:val="0"/>
                  <w:marBottom w:val="0"/>
                  <w:divBdr>
                    <w:top w:val="none" w:sz="0" w:space="0" w:color="auto"/>
                    <w:left w:val="none" w:sz="0" w:space="0" w:color="auto"/>
                    <w:bottom w:val="none" w:sz="0" w:space="0" w:color="auto"/>
                    <w:right w:val="none" w:sz="0" w:space="0" w:color="auto"/>
                  </w:divBdr>
                  <w:divsChild>
                    <w:div w:id="12875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27601">
      <w:bodyDiv w:val="1"/>
      <w:marLeft w:val="0"/>
      <w:marRight w:val="0"/>
      <w:marTop w:val="0"/>
      <w:marBottom w:val="0"/>
      <w:divBdr>
        <w:top w:val="none" w:sz="0" w:space="0" w:color="auto"/>
        <w:left w:val="none" w:sz="0" w:space="0" w:color="auto"/>
        <w:bottom w:val="none" w:sz="0" w:space="0" w:color="auto"/>
        <w:right w:val="none" w:sz="0" w:space="0" w:color="auto"/>
      </w:divBdr>
    </w:div>
    <w:div w:id="1140458367">
      <w:bodyDiv w:val="1"/>
      <w:marLeft w:val="0"/>
      <w:marRight w:val="0"/>
      <w:marTop w:val="0"/>
      <w:marBottom w:val="0"/>
      <w:divBdr>
        <w:top w:val="none" w:sz="0" w:space="0" w:color="auto"/>
        <w:left w:val="none" w:sz="0" w:space="0" w:color="auto"/>
        <w:bottom w:val="none" w:sz="0" w:space="0" w:color="auto"/>
        <w:right w:val="none" w:sz="0" w:space="0" w:color="auto"/>
      </w:divBdr>
    </w:div>
    <w:div w:id="1144080784">
      <w:bodyDiv w:val="1"/>
      <w:marLeft w:val="0"/>
      <w:marRight w:val="0"/>
      <w:marTop w:val="0"/>
      <w:marBottom w:val="0"/>
      <w:divBdr>
        <w:top w:val="none" w:sz="0" w:space="0" w:color="auto"/>
        <w:left w:val="none" w:sz="0" w:space="0" w:color="auto"/>
        <w:bottom w:val="none" w:sz="0" w:space="0" w:color="auto"/>
        <w:right w:val="none" w:sz="0" w:space="0" w:color="auto"/>
      </w:divBdr>
    </w:div>
    <w:div w:id="1162351212">
      <w:bodyDiv w:val="1"/>
      <w:marLeft w:val="0"/>
      <w:marRight w:val="0"/>
      <w:marTop w:val="0"/>
      <w:marBottom w:val="0"/>
      <w:divBdr>
        <w:top w:val="none" w:sz="0" w:space="0" w:color="auto"/>
        <w:left w:val="none" w:sz="0" w:space="0" w:color="auto"/>
        <w:bottom w:val="none" w:sz="0" w:space="0" w:color="auto"/>
        <w:right w:val="none" w:sz="0" w:space="0" w:color="auto"/>
      </w:divBdr>
    </w:div>
    <w:div w:id="1196697823">
      <w:bodyDiv w:val="1"/>
      <w:marLeft w:val="0"/>
      <w:marRight w:val="0"/>
      <w:marTop w:val="0"/>
      <w:marBottom w:val="0"/>
      <w:divBdr>
        <w:top w:val="none" w:sz="0" w:space="0" w:color="auto"/>
        <w:left w:val="none" w:sz="0" w:space="0" w:color="auto"/>
        <w:bottom w:val="none" w:sz="0" w:space="0" w:color="auto"/>
        <w:right w:val="none" w:sz="0" w:space="0" w:color="auto"/>
      </w:divBdr>
    </w:div>
    <w:div w:id="1206716471">
      <w:bodyDiv w:val="1"/>
      <w:marLeft w:val="0"/>
      <w:marRight w:val="0"/>
      <w:marTop w:val="0"/>
      <w:marBottom w:val="0"/>
      <w:divBdr>
        <w:top w:val="none" w:sz="0" w:space="0" w:color="auto"/>
        <w:left w:val="none" w:sz="0" w:space="0" w:color="auto"/>
        <w:bottom w:val="none" w:sz="0" w:space="0" w:color="auto"/>
        <w:right w:val="none" w:sz="0" w:space="0" w:color="auto"/>
      </w:divBdr>
    </w:div>
    <w:div w:id="1211264712">
      <w:bodyDiv w:val="1"/>
      <w:marLeft w:val="0"/>
      <w:marRight w:val="0"/>
      <w:marTop w:val="0"/>
      <w:marBottom w:val="0"/>
      <w:divBdr>
        <w:top w:val="none" w:sz="0" w:space="0" w:color="auto"/>
        <w:left w:val="none" w:sz="0" w:space="0" w:color="auto"/>
        <w:bottom w:val="none" w:sz="0" w:space="0" w:color="auto"/>
        <w:right w:val="none" w:sz="0" w:space="0" w:color="auto"/>
      </w:divBdr>
    </w:div>
    <w:div w:id="1219323280">
      <w:bodyDiv w:val="1"/>
      <w:marLeft w:val="0"/>
      <w:marRight w:val="0"/>
      <w:marTop w:val="0"/>
      <w:marBottom w:val="0"/>
      <w:divBdr>
        <w:top w:val="none" w:sz="0" w:space="0" w:color="auto"/>
        <w:left w:val="none" w:sz="0" w:space="0" w:color="auto"/>
        <w:bottom w:val="none" w:sz="0" w:space="0" w:color="auto"/>
        <w:right w:val="none" w:sz="0" w:space="0" w:color="auto"/>
      </w:divBdr>
    </w:div>
    <w:div w:id="1245720020">
      <w:bodyDiv w:val="1"/>
      <w:marLeft w:val="0"/>
      <w:marRight w:val="0"/>
      <w:marTop w:val="0"/>
      <w:marBottom w:val="0"/>
      <w:divBdr>
        <w:top w:val="none" w:sz="0" w:space="0" w:color="auto"/>
        <w:left w:val="none" w:sz="0" w:space="0" w:color="auto"/>
        <w:bottom w:val="none" w:sz="0" w:space="0" w:color="auto"/>
        <w:right w:val="none" w:sz="0" w:space="0" w:color="auto"/>
      </w:divBdr>
    </w:div>
    <w:div w:id="1258713464">
      <w:bodyDiv w:val="1"/>
      <w:marLeft w:val="0"/>
      <w:marRight w:val="0"/>
      <w:marTop w:val="0"/>
      <w:marBottom w:val="0"/>
      <w:divBdr>
        <w:top w:val="none" w:sz="0" w:space="0" w:color="auto"/>
        <w:left w:val="none" w:sz="0" w:space="0" w:color="auto"/>
        <w:bottom w:val="none" w:sz="0" w:space="0" w:color="auto"/>
        <w:right w:val="none" w:sz="0" w:space="0" w:color="auto"/>
      </w:divBdr>
    </w:div>
    <w:div w:id="1276207251">
      <w:bodyDiv w:val="1"/>
      <w:marLeft w:val="0"/>
      <w:marRight w:val="0"/>
      <w:marTop w:val="0"/>
      <w:marBottom w:val="0"/>
      <w:divBdr>
        <w:top w:val="none" w:sz="0" w:space="0" w:color="auto"/>
        <w:left w:val="none" w:sz="0" w:space="0" w:color="auto"/>
        <w:bottom w:val="none" w:sz="0" w:space="0" w:color="auto"/>
        <w:right w:val="none" w:sz="0" w:space="0" w:color="auto"/>
      </w:divBdr>
    </w:div>
    <w:div w:id="1279219945">
      <w:bodyDiv w:val="1"/>
      <w:marLeft w:val="0"/>
      <w:marRight w:val="0"/>
      <w:marTop w:val="0"/>
      <w:marBottom w:val="0"/>
      <w:divBdr>
        <w:top w:val="none" w:sz="0" w:space="0" w:color="auto"/>
        <w:left w:val="none" w:sz="0" w:space="0" w:color="auto"/>
        <w:bottom w:val="none" w:sz="0" w:space="0" w:color="auto"/>
        <w:right w:val="none" w:sz="0" w:space="0" w:color="auto"/>
      </w:divBdr>
    </w:div>
    <w:div w:id="1296763432">
      <w:bodyDiv w:val="1"/>
      <w:marLeft w:val="0"/>
      <w:marRight w:val="0"/>
      <w:marTop w:val="0"/>
      <w:marBottom w:val="0"/>
      <w:divBdr>
        <w:top w:val="none" w:sz="0" w:space="0" w:color="auto"/>
        <w:left w:val="none" w:sz="0" w:space="0" w:color="auto"/>
        <w:bottom w:val="none" w:sz="0" w:space="0" w:color="auto"/>
        <w:right w:val="none" w:sz="0" w:space="0" w:color="auto"/>
      </w:divBdr>
    </w:div>
    <w:div w:id="1297376329">
      <w:bodyDiv w:val="1"/>
      <w:marLeft w:val="0"/>
      <w:marRight w:val="0"/>
      <w:marTop w:val="0"/>
      <w:marBottom w:val="0"/>
      <w:divBdr>
        <w:top w:val="none" w:sz="0" w:space="0" w:color="auto"/>
        <w:left w:val="none" w:sz="0" w:space="0" w:color="auto"/>
        <w:bottom w:val="none" w:sz="0" w:space="0" w:color="auto"/>
        <w:right w:val="none" w:sz="0" w:space="0" w:color="auto"/>
      </w:divBdr>
    </w:div>
    <w:div w:id="1320160521">
      <w:bodyDiv w:val="1"/>
      <w:marLeft w:val="0"/>
      <w:marRight w:val="0"/>
      <w:marTop w:val="0"/>
      <w:marBottom w:val="0"/>
      <w:divBdr>
        <w:top w:val="none" w:sz="0" w:space="0" w:color="auto"/>
        <w:left w:val="none" w:sz="0" w:space="0" w:color="auto"/>
        <w:bottom w:val="none" w:sz="0" w:space="0" w:color="auto"/>
        <w:right w:val="none" w:sz="0" w:space="0" w:color="auto"/>
      </w:divBdr>
    </w:div>
    <w:div w:id="1338188518">
      <w:bodyDiv w:val="1"/>
      <w:marLeft w:val="0"/>
      <w:marRight w:val="0"/>
      <w:marTop w:val="0"/>
      <w:marBottom w:val="0"/>
      <w:divBdr>
        <w:top w:val="none" w:sz="0" w:space="0" w:color="auto"/>
        <w:left w:val="none" w:sz="0" w:space="0" w:color="auto"/>
        <w:bottom w:val="none" w:sz="0" w:space="0" w:color="auto"/>
        <w:right w:val="none" w:sz="0" w:space="0" w:color="auto"/>
      </w:divBdr>
    </w:div>
    <w:div w:id="1360623294">
      <w:bodyDiv w:val="1"/>
      <w:marLeft w:val="0"/>
      <w:marRight w:val="0"/>
      <w:marTop w:val="0"/>
      <w:marBottom w:val="0"/>
      <w:divBdr>
        <w:top w:val="none" w:sz="0" w:space="0" w:color="auto"/>
        <w:left w:val="none" w:sz="0" w:space="0" w:color="auto"/>
        <w:bottom w:val="none" w:sz="0" w:space="0" w:color="auto"/>
        <w:right w:val="none" w:sz="0" w:space="0" w:color="auto"/>
      </w:divBdr>
    </w:div>
    <w:div w:id="1375960458">
      <w:bodyDiv w:val="1"/>
      <w:marLeft w:val="0"/>
      <w:marRight w:val="0"/>
      <w:marTop w:val="0"/>
      <w:marBottom w:val="0"/>
      <w:divBdr>
        <w:top w:val="none" w:sz="0" w:space="0" w:color="auto"/>
        <w:left w:val="none" w:sz="0" w:space="0" w:color="auto"/>
        <w:bottom w:val="none" w:sz="0" w:space="0" w:color="auto"/>
        <w:right w:val="none" w:sz="0" w:space="0" w:color="auto"/>
      </w:divBdr>
    </w:div>
    <w:div w:id="1384060099">
      <w:bodyDiv w:val="1"/>
      <w:marLeft w:val="0"/>
      <w:marRight w:val="0"/>
      <w:marTop w:val="0"/>
      <w:marBottom w:val="0"/>
      <w:divBdr>
        <w:top w:val="none" w:sz="0" w:space="0" w:color="auto"/>
        <w:left w:val="none" w:sz="0" w:space="0" w:color="auto"/>
        <w:bottom w:val="none" w:sz="0" w:space="0" w:color="auto"/>
        <w:right w:val="none" w:sz="0" w:space="0" w:color="auto"/>
      </w:divBdr>
    </w:div>
    <w:div w:id="1392270615">
      <w:bodyDiv w:val="1"/>
      <w:marLeft w:val="0"/>
      <w:marRight w:val="0"/>
      <w:marTop w:val="0"/>
      <w:marBottom w:val="0"/>
      <w:divBdr>
        <w:top w:val="none" w:sz="0" w:space="0" w:color="auto"/>
        <w:left w:val="none" w:sz="0" w:space="0" w:color="auto"/>
        <w:bottom w:val="none" w:sz="0" w:space="0" w:color="auto"/>
        <w:right w:val="none" w:sz="0" w:space="0" w:color="auto"/>
      </w:divBdr>
    </w:div>
    <w:div w:id="1446774377">
      <w:bodyDiv w:val="1"/>
      <w:marLeft w:val="0"/>
      <w:marRight w:val="0"/>
      <w:marTop w:val="0"/>
      <w:marBottom w:val="0"/>
      <w:divBdr>
        <w:top w:val="none" w:sz="0" w:space="0" w:color="auto"/>
        <w:left w:val="none" w:sz="0" w:space="0" w:color="auto"/>
        <w:bottom w:val="none" w:sz="0" w:space="0" w:color="auto"/>
        <w:right w:val="none" w:sz="0" w:space="0" w:color="auto"/>
      </w:divBdr>
    </w:div>
    <w:div w:id="1472285852">
      <w:bodyDiv w:val="1"/>
      <w:marLeft w:val="0"/>
      <w:marRight w:val="0"/>
      <w:marTop w:val="0"/>
      <w:marBottom w:val="0"/>
      <w:divBdr>
        <w:top w:val="none" w:sz="0" w:space="0" w:color="auto"/>
        <w:left w:val="none" w:sz="0" w:space="0" w:color="auto"/>
        <w:bottom w:val="none" w:sz="0" w:space="0" w:color="auto"/>
        <w:right w:val="none" w:sz="0" w:space="0" w:color="auto"/>
      </w:divBdr>
    </w:div>
    <w:div w:id="1498764091">
      <w:bodyDiv w:val="1"/>
      <w:marLeft w:val="0"/>
      <w:marRight w:val="0"/>
      <w:marTop w:val="0"/>
      <w:marBottom w:val="0"/>
      <w:divBdr>
        <w:top w:val="none" w:sz="0" w:space="0" w:color="auto"/>
        <w:left w:val="none" w:sz="0" w:space="0" w:color="auto"/>
        <w:bottom w:val="none" w:sz="0" w:space="0" w:color="auto"/>
        <w:right w:val="none" w:sz="0" w:space="0" w:color="auto"/>
      </w:divBdr>
    </w:div>
    <w:div w:id="1525825513">
      <w:bodyDiv w:val="1"/>
      <w:marLeft w:val="0"/>
      <w:marRight w:val="0"/>
      <w:marTop w:val="0"/>
      <w:marBottom w:val="0"/>
      <w:divBdr>
        <w:top w:val="none" w:sz="0" w:space="0" w:color="auto"/>
        <w:left w:val="none" w:sz="0" w:space="0" w:color="auto"/>
        <w:bottom w:val="none" w:sz="0" w:space="0" w:color="auto"/>
        <w:right w:val="none" w:sz="0" w:space="0" w:color="auto"/>
      </w:divBdr>
    </w:div>
    <w:div w:id="1581989953">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8846818">
      <w:bodyDiv w:val="1"/>
      <w:marLeft w:val="0"/>
      <w:marRight w:val="0"/>
      <w:marTop w:val="0"/>
      <w:marBottom w:val="0"/>
      <w:divBdr>
        <w:top w:val="none" w:sz="0" w:space="0" w:color="auto"/>
        <w:left w:val="none" w:sz="0" w:space="0" w:color="auto"/>
        <w:bottom w:val="none" w:sz="0" w:space="0" w:color="auto"/>
        <w:right w:val="none" w:sz="0" w:space="0" w:color="auto"/>
      </w:divBdr>
    </w:div>
    <w:div w:id="1621379998">
      <w:bodyDiv w:val="1"/>
      <w:marLeft w:val="0"/>
      <w:marRight w:val="0"/>
      <w:marTop w:val="0"/>
      <w:marBottom w:val="0"/>
      <w:divBdr>
        <w:top w:val="none" w:sz="0" w:space="0" w:color="auto"/>
        <w:left w:val="none" w:sz="0" w:space="0" w:color="auto"/>
        <w:bottom w:val="none" w:sz="0" w:space="0" w:color="auto"/>
        <w:right w:val="none" w:sz="0" w:space="0" w:color="auto"/>
      </w:divBdr>
    </w:div>
    <w:div w:id="1638954024">
      <w:bodyDiv w:val="1"/>
      <w:marLeft w:val="0"/>
      <w:marRight w:val="0"/>
      <w:marTop w:val="0"/>
      <w:marBottom w:val="0"/>
      <w:divBdr>
        <w:top w:val="none" w:sz="0" w:space="0" w:color="auto"/>
        <w:left w:val="none" w:sz="0" w:space="0" w:color="auto"/>
        <w:bottom w:val="none" w:sz="0" w:space="0" w:color="auto"/>
        <w:right w:val="none" w:sz="0" w:space="0" w:color="auto"/>
      </w:divBdr>
    </w:div>
    <w:div w:id="1653176082">
      <w:bodyDiv w:val="1"/>
      <w:marLeft w:val="0"/>
      <w:marRight w:val="0"/>
      <w:marTop w:val="0"/>
      <w:marBottom w:val="0"/>
      <w:divBdr>
        <w:top w:val="none" w:sz="0" w:space="0" w:color="auto"/>
        <w:left w:val="none" w:sz="0" w:space="0" w:color="auto"/>
        <w:bottom w:val="none" w:sz="0" w:space="0" w:color="auto"/>
        <w:right w:val="none" w:sz="0" w:space="0" w:color="auto"/>
      </w:divBdr>
    </w:div>
    <w:div w:id="1658532468">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2414985">
      <w:bodyDiv w:val="1"/>
      <w:marLeft w:val="0"/>
      <w:marRight w:val="0"/>
      <w:marTop w:val="0"/>
      <w:marBottom w:val="0"/>
      <w:divBdr>
        <w:top w:val="none" w:sz="0" w:space="0" w:color="auto"/>
        <w:left w:val="none" w:sz="0" w:space="0" w:color="auto"/>
        <w:bottom w:val="none" w:sz="0" w:space="0" w:color="auto"/>
        <w:right w:val="none" w:sz="0" w:space="0" w:color="auto"/>
      </w:divBdr>
    </w:div>
    <w:div w:id="1696612264">
      <w:bodyDiv w:val="1"/>
      <w:marLeft w:val="0"/>
      <w:marRight w:val="0"/>
      <w:marTop w:val="0"/>
      <w:marBottom w:val="0"/>
      <w:divBdr>
        <w:top w:val="none" w:sz="0" w:space="0" w:color="auto"/>
        <w:left w:val="none" w:sz="0" w:space="0" w:color="auto"/>
        <w:bottom w:val="none" w:sz="0" w:space="0" w:color="auto"/>
        <w:right w:val="none" w:sz="0" w:space="0" w:color="auto"/>
      </w:divBdr>
    </w:div>
    <w:div w:id="1727098174">
      <w:bodyDiv w:val="1"/>
      <w:marLeft w:val="0"/>
      <w:marRight w:val="0"/>
      <w:marTop w:val="0"/>
      <w:marBottom w:val="0"/>
      <w:divBdr>
        <w:top w:val="none" w:sz="0" w:space="0" w:color="auto"/>
        <w:left w:val="none" w:sz="0" w:space="0" w:color="auto"/>
        <w:bottom w:val="none" w:sz="0" w:space="0" w:color="auto"/>
        <w:right w:val="none" w:sz="0" w:space="0" w:color="auto"/>
      </w:divBdr>
    </w:div>
    <w:div w:id="1729574619">
      <w:bodyDiv w:val="1"/>
      <w:marLeft w:val="0"/>
      <w:marRight w:val="0"/>
      <w:marTop w:val="0"/>
      <w:marBottom w:val="0"/>
      <w:divBdr>
        <w:top w:val="none" w:sz="0" w:space="0" w:color="auto"/>
        <w:left w:val="none" w:sz="0" w:space="0" w:color="auto"/>
        <w:bottom w:val="none" w:sz="0" w:space="0" w:color="auto"/>
        <w:right w:val="none" w:sz="0" w:space="0" w:color="auto"/>
      </w:divBdr>
    </w:div>
    <w:div w:id="1742949268">
      <w:bodyDiv w:val="1"/>
      <w:marLeft w:val="0"/>
      <w:marRight w:val="0"/>
      <w:marTop w:val="0"/>
      <w:marBottom w:val="0"/>
      <w:divBdr>
        <w:top w:val="none" w:sz="0" w:space="0" w:color="auto"/>
        <w:left w:val="none" w:sz="0" w:space="0" w:color="auto"/>
        <w:bottom w:val="none" w:sz="0" w:space="0" w:color="auto"/>
        <w:right w:val="none" w:sz="0" w:space="0" w:color="auto"/>
      </w:divBdr>
    </w:div>
    <w:div w:id="1770463693">
      <w:bodyDiv w:val="1"/>
      <w:marLeft w:val="0"/>
      <w:marRight w:val="0"/>
      <w:marTop w:val="0"/>
      <w:marBottom w:val="0"/>
      <w:divBdr>
        <w:top w:val="none" w:sz="0" w:space="0" w:color="auto"/>
        <w:left w:val="none" w:sz="0" w:space="0" w:color="auto"/>
        <w:bottom w:val="none" w:sz="0" w:space="0" w:color="auto"/>
        <w:right w:val="none" w:sz="0" w:space="0" w:color="auto"/>
      </w:divBdr>
    </w:div>
    <w:div w:id="1771314446">
      <w:bodyDiv w:val="1"/>
      <w:marLeft w:val="0"/>
      <w:marRight w:val="0"/>
      <w:marTop w:val="0"/>
      <w:marBottom w:val="0"/>
      <w:divBdr>
        <w:top w:val="none" w:sz="0" w:space="0" w:color="auto"/>
        <w:left w:val="none" w:sz="0" w:space="0" w:color="auto"/>
        <w:bottom w:val="none" w:sz="0" w:space="0" w:color="auto"/>
        <w:right w:val="none" w:sz="0" w:space="0" w:color="auto"/>
      </w:divBdr>
    </w:div>
    <w:div w:id="1895577577">
      <w:bodyDiv w:val="1"/>
      <w:marLeft w:val="0"/>
      <w:marRight w:val="0"/>
      <w:marTop w:val="0"/>
      <w:marBottom w:val="0"/>
      <w:divBdr>
        <w:top w:val="none" w:sz="0" w:space="0" w:color="auto"/>
        <w:left w:val="none" w:sz="0" w:space="0" w:color="auto"/>
        <w:bottom w:val="none" w:sz="0" w:space="0" w:color="auto"/>
        <w:right w:val="none" w:sz="0" w:space="0" w:color="auto"/>
      </w:divBdr>
    </w:div>
    <w:div w:id="1901791470">
      <w:bodyDiv w:val="1"/>
      <w:marLeft w:val="0"/>
      <w:marRight w:val="0"/>
      <w:marTop w:val="0"/>
      <w:marBottom w:val="0"/>
      <w:divBdr>
        <w:top w:val="none" w:sz="0" w:space="0" w:color="auto"/>
        <w:left w:val="none" w:sz="0" w:space="0" w:color="auto"/>
        <w:bottom w:val="none" w:sz="0" w:space="0" w:color="auto"/>
        <w:right w:val="none" w:sz="0" w:space="0" w:color="auto"/>
      </w:divBdr>
    </w:div>
    <w:div w:id="1909002041">
      <w:bodyDiv w:val="1"/>
      <w:marLeft w:val="0"/>
      <w:marRight w:val="0"/>
      <w:marTop w:val="0"/>
      <w:marBottom w:val="0"/>
      <w:divBdr>
        <w:top w:val="none" w:sz="0" w:space="0" w:color="auto"/>
        <w:left w:val="none" w:sz="0" w:space="0" w:color="auto"/>
        <w:bottom w:val="none" w:sz="0" w:space="0" w:color="auto"/>
        <w:right w:val="none" w:sz="0" w:space="0" w:color="auto"/>
      </w:divBdr>
    </w:div>
    <w:div w:id="1936935287">
      <w:bodyDiv w:val="1"/>
      <w:marLeft w:val="0"/>
      <w:marRight w:val="0"/>
      <w:marTop w:val="0"/>
      <w:marBottom w:val="0"/>
      <w:divBdr>
        <w:top w:val="none" w:sz="0" w:space="0" w:color="auto"/>
        <w:left w:val="none" w:sz="0" w:space="0" w:color="auto"/>
        <w:bottom w:val="none" w:sz="0" w:space="0" w:color="auto"/>
        <w:right w:val="none" w:sz="0" w:space="0" w:color="auto"/>
      </w:divBdr>
    </w:div>
    <w:div w:id="1948152179">
      <w:bodyDiv w:val="1"/>
      <w:marLeft w:val="0"/>
      <w:marRight w:val="0"/>
      <w:marTop w:val="0"/>
      <w:marBottom w:val="0"/>
      <w:divBdr>
        <w:top w:val="none" w:sz="0" w:space="0" w:color="auto"/>
        <w:left w:val="none" w:sz="0" w:space="0" w:color="auto"/>
        <w:bottom w:val="none" w:sz="0" w:space="0" w:color="auto"/>
        <w:right w:val="none" w:sz="0" w:space="0" w:color="auto"/>
      </w:divBdr>
    </w:div>
    <w:div w:id="1954627499">
      <w:bodyDiv w:val="1"/>
      <w:marLeft w:val="0"/>
      <w:marRight w:val="0"/>
      <w:marTop w:val="0"/>
      <w:marBottom w:val="0"/>
      <w:divBdr>
        <w:top w:val="none" w:sz="0" w:space="0" w:color="auto"/>
        <w:left w:val="none" w:sz="0" w:space="0" w:color="auto"/>
        <w:bottom w:val="none" w:sz="0" w:space="0" w:color="auto"/>
        <w:right w:val="none" w:sz="0" w:space="0" w:color="auto"/>
      </w:divBdr>
    </w:div>
    <w:div w:id="2015066081">
      <w:bodyDiv w:val="1"/>
      <w:marLeft w:val="0"/>
      <w:marRight w:val="0"/>
      <w:marTop w:val="0"/>
      <w:marBottom w:val="0"/>
      <w:divBdr>
        <w:top w:val="none" w:sz="0" w:space="0" w:color="auto"/>
        <w:left w:val="none" w:sz="0" w:space="0" w:color="auto"/>
        <w:bottom w:val="none" w:sz="0" w:space="0" w:color="auto"/>
        <w:right w:val="none" w:sz="0" w:space="0" w:color="auto"/>
      </w:divBdr>
    </w:div>
    <w:div w:id="2042700637">
      <w:bodyDiv w:val="1"/>
      <w:marLeft w:val="0"/>
      <w:marRight w:val="0"/>
      <w:marTop w:val="0"/>
      <w:marBottom w:val="0"/>
      <w:divBdr>
        <w:top w:val="none" w:sz="0" w:space="0" w:color="auto"/>
        <w:left w:val="none" w:sz="0" w:space="0" w:color="auto"/>
        <w:bottom w:val="none" w:sz="0" w:space="0" w:color="auto"/>
        <w:right w:val="none" w:sz="0" w:space="0" w:color="auto"/>
      </w:divBdr>
    </w:div>
    <w:div w:id="2049450560">
      <w:bodyDiv w:val="1"/>
      <w:marLeft w:val="0"/>
      <w:marRight w:val="0"/>
      <w:marTop w:val="0"/>
      <w:marBottom w:val="0"/>
      <w:divBdr>
        <w:top w:val="none" w:sz="0" w:space="0" w:color="auto"/>
        <w:left w:val="none" w:sz="0" w:space="0" w:color="auto"/>
        <w:bottom w:val="none" w:sz="0" w:space="0" w:color="auto"/>
        <w:right w:val="none" w:sz="0" w:space="0" w:color="auto"/>
      </w:divBdr>
    </w:div>
    <w:div w:id="2054109648">
      <w:bodyDiv w:val="1"/>
      <w:marLeft w:val="0"/>
      <w:marRight w:val="0"/>
      <w:marTop w:val="0"/>
      <w:marBottom w:val="0"/>
      <w:divBdr>
        <w:top w:val="none" w:sz="0" w:space="0" w:color="auto"/>
        <w:left w:val="none" w:sz="0" w:space="0" w:color="auto"/>
        <w:bottom w:val="none" w:sz="0" w:space="0" w:color="auto"/>
        <w:right w:val="none" w:sz="0" w:space="0" w:color="auto"/>
      </w:divBdr>
    </w:div>
    <w:div w:id="2107579475">
      <w:bodyDiv w:val="1"/>
      <w:marLeft w:val="0"/>
      <w:marRight w:val="0"/>
      <w:marTop w:val="0"/>
      <w:marBottom w:val="0"/>
      <w:divBdr>
        <w:top w:val="none" w:sz="0" w:space="0" w:color="auto"/>
        <w:left w:val="none" w:sz="0" w:space="0" w:color="auto"/>
        <w:bottom w:val="none" w:sz="0" w:space="0" w:color="auto"/>
        <w:right w:val="none" w:sz="0" w:space="0" w:color="auto"/>
      </w:divBdr>
    </w:div>
    <w:div w:id="21437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tagnif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Designed for business valuation professionals, TagniFi’s Quarterly Economic Update provides timely economic data to satisfy Revenue Ruling 59-60.  </Abstract>
  <CompanyAddress/>
  <CompanyPhone/>
  <CompanyFax/>
  <CompanyEmail>www.tagnifi.com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5D0FE-261B-0D4D-90C2-18A6E4BF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7889</TotalTime>
  <Pages>11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Quarterly Economic Update</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Economic Update</dc:title>
  <dc:subject>For the 1st Quarter of 2020</dc:subject>
  <dc:creator>Office 365</dc:creator>
  <cp:keywords/>
  <dc:description/>
  <cp:lastModifiedBy>Chad Sandstedt</cp:lastModifiedBy>
  <cp:revision>39</cp:revision>
  <cp:lastPrinted>2020-11-05T16:54:00Z</cp:lastPrinted>
  <dcterms:created xsi:type="dcterms:W3CDTF">2022-01-13T10:56:00Z</dcterms:created>
  <dcterms:modified xsi:type="dcterms:W3CDTF">2022-01-20T20:41:00Z</dcterms:modified>
</cp:coreProperties>
</file>