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Default="006663D0" w:rsidP="002E6FDE">
          <w:pPr>
            <w:jc w:val="right"/>
          </w:pPr>
        </w:p>
        <w:p w14:paraId="61E7189B" w14:textId="5A4E226B" w:rsidR="006663D0" w:rsidRDefault="00361E70" w:rsidP="00696388">
          <w:pPr>
            <w:jc w:val="right"/>
          </w:pPr>
          <w:r>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79522734" w:rsidR="006663D0" w:rsidRDefault="006663D0" w:rsidP="002E6FDE">
          <w:pPr>
            <w:jc w:val="right"/>
            <w:rPr>
              <w:sz w:val="36"/>
              <w:szCs w:val="36"/>
            </w:rPr>
          </w:pPr>
          <w:r w:rsidRPr="006663D0">
            <w:rPr>
              <w:sz w:val="36"/>
              <w:szCs w:val="36"/>
            </w:rPr>
            <w:t xml:space="preserve">For the </w:t>
          </w:r>
          <w:r w:rsidR="00C76463">
            <w:rPr>
              <w:sz w:val="36"/>
              <w:szCs w:val="36"/>
            </w:rPr>
            <w:t>4</w:t>
          </w:r>
          <w:r w:rsidR="00C76463" w:rsidRPr="00D73B28">
            <w:rPr>
              <w:sz w:val="36"/>
              <w:szCs w:val="36"/>
              <w:vertAlign w:val="superscript"/>
            </w:rPr>
            <w:t>th</w:t>
          </w:r>
          <w:r w:rsidR="00C76463">
            <w:rPr>
              <w:sz w:val="36"/>
              <w:szCs w:val="36"/>
            </w:rPr>
            <w:t xml:space="preserve"> </w:t>
          </w:r>
          <w:r w:rsidR="00795ECE">
            <w:rPr>
              <w:sz w:val="36"/>
              <w:szCs w:val="36"/>
            </w:rPr>
            <w:t>Quarter of 2021</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207CC62E" w14:textId="1CBA5A4C" w:rsidR="002D17D6" w:rsidRDefault="002D17D6" w:rsidP="002D17D6">
      <w:r>
        <w:t>In the</w:t>
      </w:r>
      <w:r w:rsidRPr="00116D55">
        <w:t xml:space="preserve"> </w:t>
      </w:r>
      <w:r w:rsidR="0058330E">
        <w:t>4</w:t>
      </w:r>
      <w:r w:rsidR="0058330E" w:rsidRPr="0058330E">
        <w:rPr>
          <w:vertAlign w:val="superscript"/>
        </w:rPr>
        <w:t>th</w:t>
      </w:r>
      <w:r w:rsidR="0058330E">
        <w:t xml:space="preserve"> </w:t>
      </w:r>
      <w:r w:rsidRPr="00116D55">
        <w:t>quarter of 202</w:t>
      </w:r>
      <w:r>
        <w:t xml:space="preserve">1, </w:t>
      </w:r>
      <w:r w:rsidR="007740D3" w:rsidRPr="007740D3">
        <w:t>the U.S. economy pressed forth in its recuperation from the blow of the COVID-19 pandemic, posting strong gains in production despite continued disruptions to supply chains and labor availability, soaring inflation, and the anticipation of waning monetary policy supports.</w:t>
      </w:r>
    </w:p>
    <w:p w14:paraId="6DCBA74D" w14:textId="0624D5F3" w:rsidR="002D17D6" w:rsidRDefault="00B426A5" w:rsidP="002D17D6">
      <w:r>
        <w:t>S</w:t>
      </w:r>
      <w:r w:rsidR="002D17D6" w:rsidRPr="00134929">
        <w:t>upply chains</w:t>
      </w:r>
      <w:r w:rsidR="002D17D6">
        <w:t xml:space="preserve"> across the globe continue to face challenges in </w:t>
      </w:r>
      <w:r>
        <w:t>capitalizing on vigorous consumer demand</w:t>
      </w:r>
      <w:r w:rsidR="002D17D6" w:rsidRPr="00134929">
        <w:t>.</w:t>
      </w:r>
      <w:r w:rsidR="002D17D6" w:rsidRPr="00E2117F">
        <w:t xml:space="preserve"> </w:t>
      </w:r>
      <w:r>
        <w:t>With COVID-19 case rates soaring, w</w:t>
      </w:r>
      <w:r w:rsidR="002D17D6">
        <w:t xml:space="preserve">orker shortages </w:t>
      </w:r>
      <w:r>
        <w:t>continue to challenge</w:t>
      </w:r>
      <w:r w:rsidR="002D17D6">
        <w:t xml:space="preserve"> supply, affecting </w:t>
      </w:r>
      <w:r>
        <w:t>both production</w:t>
      </w:r>
      <w:r w:rsidR="002D17D6">
        <w:t xml:space="preserve"> </w:t>
      </w:r>
      <w:r>
        <w:t>and</w:t>
      </w:r>
      <w:r w:rsidR="002D17D6">
        <w:t xml:space="preserve"> </w:t>
      </w:r>
      <w:r>
        <w:t>shipping at the wholesale and retail levels</w:t>
      </w:r>
      <w:r w:rsidR="002D17D6">
        <w:t xml:space="preserve">. Although the unemployment rate </w:t>
      </w:r>
      <w:r w:rsidR="007E45F6">
        <w:t>continues to drop, nearing pre-pandemic levels</w:t>
      </w:r>
      <w:r w:rsidR="002D17D6">
        <w:t>, labor market participation remained depressed throug</w:t>
      </w:r>
      <w:r w:rsidR="004E3F0B">
        <w:t>hout the quarter</w:t>
      </w:r>
      <w:r w:rsidR="002D17D6">
        <w:t xml:space="preserve">. </w:t>
      </w:r>
      <w:r w:rsidR="007E45F6">
        <w:t>Prior to the COVID-19 pandemic, the last time labor force participation was as low was more than 45 years ago.</w:t>
      </w:r>
    </w:p>
    <w:p w14:paraId="38DE37F3" w14:textId="148C8247" w:rsidR="002D17D6" w:rsidRPr="00B911B3" w:rsidRDefault="002D17D6" w:rsidP="002D17D6">
      <w:pPr>
        <w:rPr>
          <w:highlight w:val="yellow"/>
        </w:rPr>
      </w:pPr>
      <w:r w:rsidRPr="00BE3701">
        <w:t xml:space="preserve">Balancing a robust economic recovery with </w:t>
      </w:r>
      <w:r w:rsidR="00B426A5">
        <w:t>searing</w:t>
      </w:r>
      <w:r w:rsidRPr="00BE3701">
        <w:t xml:space="preserve"> inflationary pressures continues to be a main challenge for the U.S. </w:t>
      </w:r>
      <w:r w:rsidR="004E3F0B">
        <w:t>I</w:t>
      </w:r>
      <w:r w:rsidR="00B426A5">
        <w:t xml:space="preserve">nflation </w:t>
      </w:r>
      <w:r w:rsidR="004E3F0B">
        <w:t>reached</w:t>
      </w:r>
      <w:r w:rsidR="00B426A5">
        <w:t xml:space="preserve"> 30-year highs</w:t>
      </w:r>
      <w:r w:rsidR="004E3F0B">
        <w:t xml:space="preserve"> during the 4</w:t>
      </w:r>
      <w:r w:rsidR="004E3F0B" w:rsidRPr="004E3F0B">
        <w:rPr>
          <w:vertAlign w:val="superscript"/>
        </w:rPr>
        <w:t>th</w:t>
      </w:r>
      <w:r w:rsidR="004E3F0B">
        <w:t xml:space="preserve"> quarter,</w:t>
      </w:r>
      <w:r w:rsidR="00B426A5">
        <w:t xml:space="preserve"> taking a toll on consumer sentiment. In December, the Fed reiterated its plans to raise target interest rates and taper its bond-buying programs</w:t>
      </w:r>
      <w:r>
        <w:t xml:space="preserve"> </w:t>
      </w:r>
      <w:r w:rsidR="00B426A5">
        <w:t>in 2022</w:t>
      </w:r>
      <w:r>
        <w:t xml:space="preserve">. </w:t>
      </w:r>
    </w:p>
    <w:p w14:paraId="2D59E529" w14:textId="6BAA8F20" w:rsidR="002D17D6" w:rsidRPr="00497298" w:rsidRDefault="00B36811" w:rsidP="002D17D6">
      <w:r>
        <w:t xml:space="preserve">As the </w:t>
      </w:r>
      <w:r w:rsidR="002D17D6" w:rsidRPr="00497298">
        <w:t>U.S. economy</w:t>
      </w:r>
      <w:r>
        <w:t xml:space="preserve"> continued to </w:t>
      </w:r>
      <w:r w:rsidR="00B426A5">
        <w:t>expand</w:t>
      </w:r>
      <w:r w:rsidR="002D17D6" w:rsidRPr="00497298">
        <w:t xml:space="preserve"> </w:t>
      </w:r>
      <w:r>
        <w:t xml:space="preserve">during the </w:t>
      </w:r>
      <w:r w:rsidR="00B426A5">
        <w:t>4</w:t>
      </w:r>
      <w:r w:rsidR="00B426A5" w:rsidRPr="00B426A5">
        <w:rPr>
          <w:vertAlign w:val="superscript"/>
        </w:rPr>
        <w:t>th</w:t>
      </w:r>
      <w:r w:rsidR="00B426A5">
        <w:t xml:space="preserve"> </w:t>
      </w:r>
      <w:r>
        <w:t>quarter,</w:t>
      </w:r>
      <w:r w:rsidR="002D17D6" w:rsidRPr="00497298">
        <w:t xml:space="preserve"> the </w:t>
      </w:r>
      <w:r w:rsidR="002D17D6">
        <w:t>D</w:t>
      </w:r>
      <w:r w:rsidR="002D17D6" w:rsidRPr="00497298">
        <w:t>elta variant</w:t>
      </w:r>
      <w:r w:rsidR="00076744">
        <w:t>-dominant 4</w:t>
      </w:r>
      <w:r w:rsidR="00076744" w:rsidRPr="00076744">
        <w:rPr>
          <w:vertAlign w:val="superscript"/>
        </w:rPr>
        <w:t>th</w:t>
      </w:r>
      <w:r w:rsidR="00076744">
        <w:t xml:space="preserve"> wave of the COVID-19 pandemic</w:t>
      </w:r>
      <w:r w:rsidR="002D17D6" w:rsidRPr="00497298">
        <w:t xml:space="preserve"> </w:t>
      </w:r>
      <w:r w:rsidR="00EA4ED3">
        <w:t xml:space="preserve">receded and </w:t>
      </w:r>
      <w:r w:rsidR="00076744">
        <w:t>gave way to the ultra-contagious Omicron variant</w:t>
      </w:r>
      <w:r w:rsidR="002D17D6" w:rsidRPr="00497298">
        <w:t>.</w:t>
      </w:r>
      <w:r w:rsidR="002D17D6">
        <w:t xml:space="preserve"> </w:t>
      </w:r>
      <w:r w:rsidR="00076744">
        <w:t xml:space="preserve">Omicron rapidly swept the globe, becoming the dominant strain in the </w:t>
      </w:r>
      <w:r w:rsidR="00BD4FA3">
        <w:t>U.S.</w:t>
      </w:r>
      <w:r w:rsidR="00076744">
        <w:t xml:space="preserve"> within 3.5 weeks </w:t>
      </w:r>
      <w:r w:rsidR="004E3F0B">
        <w:t>after</w:t>
      </w:r>
      <w:r w:rsidR="00076744">
        <w:t xml:space="preserve"> being declared a variant of concern by the WHO. </w:t>
      </w:r>
      <w:r w:rsidR="00DD00AF">
        <w:t xml:space="preserve">Daily confirmed cases of COVID-19 in the U.S. jumped by 3.5 times by the end of the fourth quarter and continued to trend steeply upward. </w:t>
      </w:r>
      <w:r w:rsidR="00076744">
        <w:t>However, daily deaths</w:t>
      </w:r>
      <w:r w:rsidR="00F32D41">
        <w:t xml:space="preserve">, which lag </w:t>
      </w:r>
      <w:r w:rsidR="004E3F0B">
        <w:t>one to two weeks</w:t>
      </w:r>
      <w:r w:rsidR="00F32D41">
        <w:t xml:space="preserve"> behind case trends, </w:t>
      </w:r>
      <w:r w:rsidR="00076744">
        <w:t>were down by nearly one-third</w:t>
      </w:r>
      <w:r w:rsidR="00EA4ED3">
        <w:t xml:space="preserve"> at the end of December</w:t>
      </w:r>
      <w:r w:rsidR="00F32D41">
        <w:t>.</w:t>
      </w:r>
    </w:p>
    <w:p w14:paraId="6963DC15" w14:textId="442EF10C" w:rsidR="006F58B0" w:rsidRPr="00E26E3C" w:rsidRDefault="006F58B0" w:rsidP="00D93A8B">
      <w:r w:rsidRPr="00E26E3C">
        <w:t xml:space="preserve">Below is a summary timeline of key COVID-19 events in the U.S. during the </w:t>
      </w:r>
      <w:r w:rsidR="007E321E">
        <w:t>4</w:t>
      </w:r>
      <w:r w:rsidR="007E321E" w:rsidRPr="007E321E">
        <w:rPr>
          <w:vertAlign w:val="superscript"/>
        </w:rPr>
        <w:t>th</w:t>
      </w:r>
      <w:r w:rsidR="007E321E">
        <w:t xml:space="preserve"> </w:t>
      </w:r>
      <w:r w:rsidRPr="00E26E3C">
        <w:t>quarter of 2021:</w:t>
      </w:r>
    </w:p>
    <w:tbl>
      <w:tblPr>
        <w:tblStyle w:val="GridTable3-Accent1"/>
        <w:tblW w:w="0" w:type="auto"/>
        <w:tblLook w:val="0400" w:firstRow="0" w:lastRow="0" w:firstColumn="0" w:lastColumn="0" w:noHBand="0" w:noVBand="1"/>
      </w:tblPr>
      <w:tblGrid>
        <w:gridCol w:w="2245"/>
        <w:gridCol w:w="7105"/>
      </w:tblGrid>
      <w:tr w:rsidR="006F58B0" w:rsidRPr="00E26E3C" w14:paraId="03717F31"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2A4C4CDC" w14:textId="06E95365" w:rsidR="006F58B0" w:rsidRPr="00E26E3C" w:rsidRDefault="007E321E" w:rsidP="003A2900">
            <w:r>
              <w:t>October 1</w:t>
            </w:r>
            <w:r w:rsidR="006F58B0" w:rsidRPr="00E26E3C">
              <w:t>, 2021</w:t>
            </w:r>
          </w:p>
        </w:tc>
        <w:tc>
          <w:tcPr>
            <w:tcW w:w="7105" w:type="dxa"/>
          </w:tcPr>
          <w:p w14:paraId="4C2D5DBA" w14:textId="3652C5A8" w:rsidR="006F58B0" w:rsidRPr="00E26E3C" w:rsidRDefault="00BD4FA3" w:rsidP="003A2900">
            <w:r>
              <w:t>U.S.</w:t>
            </w:r>
            <w:r w:rsidR="006F58B0" w:rsidRPr="00E26E3C">
              <w:t xml:space="preserve"> begins the quarter at </w:t>
            </w:r>
            <w:r w:rsidR="005F344C">
              <w:t>107,684</w:t>
            </w:r>
            <w:r w:rsidR="006F58B0" w:rsidRPr="00E26E3C">
              <w:t xml:space="preserve"> daily cases, </w:t>
            </w:r>
            <w:r w:rsidR="005F344C">
              <w:t>1,848</w:t>
            </w:r>
            <w:r w:rsidR="006F58B0" w:rsidRPr="00E26E3C">
              <w:t xml:space="preserve"> daily deaths</w:t>
            </w:r>
            <w:r w:rsidR="00E26E3C">
              <w:t xml:space="preserve"> (7-day moving average)</w:t>
            </w:r>
            <w:r w:rsidR="006F58B0" w:rsidRPr="00E26E3C">
              <w:t xml:space="preserve">. </w:t>
            </w:r>
            <w:r w:rsidR="005F344C">
              <w:t>56</w:t>
            </w:r>
            <w:r w:rsidR="006F58B0" w:rsidRPr="00E26E3C">
              <w:t>% of Americans are fully vaccinated.</w:t>
            </w:r>
          </w:p>
        </w:tc>
      </w:tr>
      <w:tr w:rsidR="00467365" w:rsidRPr="00E26E3C" w14:paraId="6922B589" w14:textId="77777777" w:rsidTr="007E321E">
        <w:tc>
          <w:tcPr>
            <w:tcW w:w="2245" w:type="dxa"/>
          </w:tcPr>
          <w:p w14:paraId="5BF92D7D" w14:textId="4A0668E9" w:rsidR="00467365" w:rsidRDefault="007E321E" w:rsidP="003A2900">
            <w:r>
              <w:t>October 29</w:t>
            </w:r>
            <w:r w:rsidR="00467365">
              <w:t>, 2021</w:t>
            </w:r>
          </w:p>
        </w:tc>
        <w:tc>
          <w:tcPr>
            <w:tcW w:w="7105" w:type="dxa"/>
          </w:tcPr>
          <w:p w14:paraId="0153063B" w14:textId="68847940" w:rsidR="00467365" w:rsidRDefault="007E321E" w:rsidP="003A2900">
            <w:r w:rsidRPr="007E321E">
              <w:t>FDA authorizes Pfizer-BioNTech COVID-19 vaccine for emergency use for children 5</w:t>
            </w:r>
            <w:r>
              <w:t>-</w:t>
            </w:r>
            <w:r w:rsidRPr="007E321E">
              <w:t>11 years of age</w:t>
            </w:r>
          </w:p>
        </w:tc>
      </w:tr>
      <w:tr w:rsidR="006F58B0" w:rsidRPr="00E26E3C" w14:paraId="5120A14F"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28CA6D35" w14:textId="3451B13C" w:rsidR="006F58B0" w:rsidRPr="00E26E3C" w:rsidRDefault="007E321E" w:rsidP="003A2900">
            <w:r>
              <w:t>November 26, 2021</w:t>
            </w:r>
          </w:p>
        </w:tc>
        <w:tc>
          <w:tcPr>
            <w:tcW w:w="7105" w:type="dxa"/>
          </w:tcPr>
          <w:p w14:paraId="78CC4FDC" w14:textId="4A555A60" w:rsidR="006F58B0" w:rsidRPr="00E26E3C" w:rsidRDefault="007E321E" w:rsidP="003A2900">
            <w:r w:rsidRPr="007E321E">
              <w:t xml:space="preserve">WHO declares B.1.1.529 variant, </w:t>
            </w:r>
            <w:r>
              <w:t>named</w:t>
            </w:r>
            <w:r w:rsidRPr="007E321E">
              <w:t xml:space="preserve"> Omicron, a variant of concern</w:t>
            </w:r>
          </w:p>
        </w:tc>
      </w:tr>
      <w:tr w:rsidR="0058330E" w:rsidRPr="00E26E3C" w14:paraId="16ED6E30" w14:textId="77777777" w:rsidTr="007E321E">
        <w:tc>
          <w:tcPr>
            <w:tcW w:w="2245" w:type="dxa"/>
          </w:tcPr>
          <w:p w14:paraId="62E02DE0" w14:textId="59E4203E" w:rsidR="0058330E" w:rsidRDefault="0058330E" w:rsidP="007E321E">
            <w:r>
              <w:t>December 3, 2021</w:t>
            </w:r>
          </w:p>
        </w:tc>
        <w:tc>
          <w:tcPr>
            <w:tcW w:w="7105" w:type="dxa"/>
          </w:tcPr>
          <w:p w14:paraId="4D4CD0A7" w14:textId="6B0FED21" w:rsidR="0058330E" w:rsidRDefault="0058330E" w:rsidP="007E321E">
            <w:r>
              <w:t>60% of Americans are fully vaccinated</w:t>
            </w:r>
          </w:p>
        </w:tc>
      </w:tr>
      <w:tr w:rsidR="005F344C" w:rsidRPr="00E26E3C" w14:paraId="18734DF9"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5624A209" w14:textId="14EE21D2" w:rsidR="005F344C" w:rsidRDefault="005F344C" w:rsidP="007E321E">
            <w:r>
              <w:t>December 13, 2021</w:t>
            </w:r>
          </w:p>
        </w:tc>
        <w:tc>
          <w:tcPr>
            <w:tcW w:w="7105" w:type="dxa"/>
          </w:tcPr>
          <w:p w14:paraId="566915B9" w14:textId="5B4D0C4D" w:rsidR="005F344C" w:rsidRDefault="00BD4FA3" w:rsidP="007E321E">
            <w:r>
              <w:t>U.S.</w:t>
            </w:r>
            <w:r w:rsidR="005F344C">
              <w:t xml:space="preserve"> reaches 50 million total </w:t>
            </w:r>
            <w:r w:rsidR="00B922C3">
              <w:t>COVID-19 cases</w:t>
            </w:r>
          </w:p>
        </w:tc>
      </w:tr>
      <w:tr w:rsidR="007E321E" w:rsidRPr="00E26E3C" w14:paraId="615163C9" w14:textId="77777777" w:rsidTr="007E321E">
        <w:tc>
          <w:tcPr>
            <w:tcW w:w="2245" w:type="dxa"/>
          </w:tcPr>
          <w:p w14:paraId="56F344DC" w14:textId="74E49AF5" w:rsidR="007E321E" w:rsidRPr="00E26E3C" w:rsidRDefault="007E321E" w:rsidP="007E321E">
            <w:r>
              <w:t>December 1</w:t>
            </w:r>
            <w:r w:rsidR="005F344C">
              <w:t>5</w:t>
            </w:r>
            <w:r>
              <w:t>, 2021</w:t>
            </w:r>
          </w:p>
        </w:tc>
        <w:tc>
          <w:tcPr>
            <w:tcW w:w="7105" w:type="dxa"/>
          </w:tcPr>
          <w:p w14:paraId="4DA580F7" w14:textId="1A27FCCD" w:rsidR="007E321E" w:rsidRPr="00E26E3C" w:rsidRDefault="00BD4FA3" w:rsidP="007E321E">
            <w:r>
              <w:t>U.S.</w:t>
            </w:r>
            <w:r w:rsidR="007E321E">
              <w:t xml:space="preserve"> reaches 800,000 total deaths from COVID-19</w:t>
            </w:r>
          </w:p>
        </w:tc>
      </w:tr>
      <w:tr w:rsidR="0019513E" w:rsidRPr="00E26E3C" w14:paraId="006E5E8D"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58928D20" w14:textId="06BAFFB9" w:rsidR="0019513E" w:rsidRDefault="0019513E" w:rsidP="003A2900">
            <w:r>
              <w:t>December 17, 2021</w:t>
            </w:r>
          </w:p>
        </w:tc>
        <w:tc>
          <w:tcPr>
            <w:tcW w:w="7105" w:type="dxa"/>
          </w:tcPr>
          <w:p w14:paraId="093CE6C9" w14:textId="3CE5CAB4" w:rsidR="0019513E" w:rsidRDefault="0019513E" w:rsidP="003A2900">
            <w:r w:rsidRPr="007E321E">
              <w:t>Pfizer</w:t>
            </w:r>
            <w:r>
              <w:t xml:space="preserve"> and </w:t>
            </w:r>
            <w:r w:rsidRPr="007E321E">
              <w:t>BioNTech</w:t>
            </w:r>
            <w:r>
              <w:t xml:space="preserve"> announce plans to trial 3</w:t>
            </w:r>
            <w:r w:rsidRPr="0019513E">
              <w:rPr>
                <w:vertAlign w:val="superscript"/>
              </w:rPr>
              <w:t>rd</w:t>
            </w:r>
            <w:r>
              <w:t xml:space="preserve"> dose of COVID-19 vaccine in children under 5, extending vaccine wait for the age group</w:t>
            </w:r>
          </w:p>
        </w:tc>
      </w:tr>
      <w:tr w:rsidR="003A4B97" w:rsidRPr="00E26E3C" w14:paraId="189BB975" w14:textId="77777777" w:rsidTr="007E321E">
        <w:tc>
          <w:tcPr>
            <w:tcW w:w="2245" w:type="dxa"/>
          </w:tcPr>
          <w:p w14:paraId="745FB2DB" w14:textId="744A1B9A" w:rsidR="003A4B97" w:rsidRDefault="003A4B97" w:rsidP="003A2900">
            <w:r>
              <w:t>December 20, 2021</w:t>
            </w:r>
          </w:p>
        </w:tc>
        <w:tc>
          <w:tcPr>
            <w:tcW w:w="7105" w:type="dxa"/>
          </w:tcPr>
          <w:p w14:paraId="165D6942" w14:textId="017A523A" w:rsidR="003A4B97" w:rsidRPr="007E321E" w:rsidRDefault="003A4B97" w:rsidP="003A2900">
            <w:r>
              <w:t xml:space="preserve">Omicron variant becomes dominant strain in </w:t>
            </w:r>
            <w:r w:rsidR="00BD4FA3">
              <w:t>U.S.</w:t>
            </w:r>
            <w:r>
              <w:t xml:space="preserve"> according to CDC 1-week estimates</w:t>
            </w:r>
          </w:p>
        </w:tc>
      </w:tr>
      <w:tr w:rsidR="002F4629" w:rsidRPr="00E26E3C" w14:paraId="399493C6" w14:textId="77777777" w:rsidTr="007E321E">
        <w:trPr>
          <w:cnfStyle w:val="000000100000" w:firstRow="0" w:lastRow="0" w:firstColumn="0" w:lastColumn="0" w:oddVBand="0" w:evenVBand="0" w:oddHBand="1" w:evenHBand="0" w:firstRowFirstColumn="0" w:firstRowLastColumn="0" w:lastRowFirstColumn="0" w:lastRowLastColumn="0"/>
        </w:trPr>
        <w:tc>
          <w:tcPr>
            <w:tcW w:w="2245" w:type="dxa"/>
          </w:tcPr>
          <w:p w14:paraId="067AB42A" w14:textId="769EB116" w:rsidR="002F4629" w:rsidRDefault="007E321E" w:rsidP="003A2900">
            <w:r>
              <w:t>December 27</w:t>
            </w:r>
            <w:r w:rsidR="002F4629">
              <w:t>, 2021</w:t>
            </w:r>
          </w:p>
        </w:tc>
        <w:tc>
          <w:tcPr>
            <w:tcW w:w="7105" w:type="dxa"/>
          </w:tcPr>
          <w:p w14:paraId="2C5E52A0" w14:textId="3CA704BD" w:rsidR="002F4629" w:rsidRDefault="007E321E" w:rsidP="003A2900">
            <w:r w:rsidRPr="007E321E">
              <w:t xml:space="preserve">CDC </w:t>
            </w:r>
            <w:r>
              <w:t>s</w:t>
            </w:r>
            <w:r w:rsidRPr="007E321E">
              <w:t xml:space="preserve">hortens </w:t>
            </w:r>
            <w:r>
              <w:t>r</w:t>
            </w:r>
            <w:r w:rsidRPr="007E321E">
              <w:t xml:space="preserve">ecommended </w:t>
            </w:r>
            <w:r>
              <w:t>i</w:t>
            </w:r>
            <w:r w:rsidRPr="007E321E">
              <w:t xml:space="preserve">solation and </w:t>
            </w:r>
            <w:r>
              <w:t>q</w:t>
            </w:r>
            <w:r w:rsidRPr="007E321E">
              <w:t xml:space="preserve">uarantine </w:t>
            </w:r>
            <w:r>
              <w:t>p</w:t>
            </w:r>
            <w:r w:rsidRPr="007E321E">
              <w:t>eriod</w:t>
            </w:r>
          </w:p>
        </w:tc>
      </w:tr>
      <w:tr w:rsidR="009E2682" w:rsidRPr="00E26E3C" w14:paraId="7BEECDDB" w14:textId="77777777" w:rsidTr="007E321E">
        <w:tc>
          <w:tcPr>
            <w:tcW w:w="2245" w:type="dxa"/>
          </w:tcPr>
          <w:p w14:paraId="5813D88D" w14:textId="5DA2A6EA" w:rsidR="006F58B0" w:rsidRPr="00E26E3C" w:rsidRDefault="0058330E" w:rsidP="003A2900">
            <w:r>
              <w:t>December</w:t>
            </w:r>
            <w:r w:rsidR="00467365">
              <w:t xml:space="preserve"> 3</w:t>
            </w:r>
            <w:r>
              <w:t>1</w:t>
            </w:r>
            <w:r w:rsidR="00467365">
              <w:t>, 2021</w:t>
            </w:r>
          </w:p>
        </w:tc>
        <w:tc>
          <w:tcPr>
            <w:tcW w:w="7105" w:type="dxa"/>
          </w:tcPr>
          <w:p w14:paraId="0C678F3D" w14:textId="3F03DB37" w:rsidR="006F58B0" w:rsidRPr="00E26E3C" w:rsidRDefault="00BD4FA3" w:rsidP="003A2900">
            <w:r>
              <w:t>U.S.</w:t>
            </w:r>
            <w:r w:rsidR="00467365">
              <w:t xml:space="preserve"> ends the quarter at </w:t>
            </w:r>
            <w:r w:rsidR="0058330E">
              <w:t>397,460</w:t>
            </w:r>
            <w:r w:rsidR="00467365">
              <w:t xml:space="preserve"> daily cases, 1</w:t>
            </w:r>
            <w:r w:rsidR="0058330E">
              <w:t>,253</w:t>
            </w:r>
            <w:r w:rsidR="00467365">
              <w:t xml:space="preserve"> daily deaths (7-day moving average)</w:t>
            </w:r>
            <w:r w:rsidR="00C76463">
              <w:t>.</w:t>
            </w:r>
            <w:r w:rsidR="007E4E9D">
              <w:t xml:space="preserve"> </w:t>
            </w:r>
            <w:r w:rsidR="0058330E">
              <w:t>63</w:t>
            </w:r>
            <w:r w:rsidR="007E4E9D">
              <w:t>% of Americans are fully vaccinated.</w:t>
            </w:r>
          </w:p>
        </w:tc>
      </w:tr>
    </w:tbl>
    <w:p w14:paraId="68372555" w14:textId="606B87A1" w:rsidR="00D93A8B" w:rsidRDefault="00EA4ED3" w:rsidP="00EA4ED3">
      <w:r>
        <w:lastRenderedPageBreak/>
        <w:t xml:space="preserve">Despite the significantly mutated Omicron variant causing frequent “breakthrough cases” of vaccinated people becoming infected with COVID-19, vaccines continued to prove highly effective at preventing serious illness and death. </w:t>
      </w:r>
      <w:r w:rsidR="00BD4FA3">
        <w:t>Although</w:t>
      </w:r>
      <w:r w:rsidR="00B36811" w:rsidRPr="00BD4FA3">
        <w:t xml:space="preserve"> a large part of the </w:t>
      </w:r>
      <w:r w:rsidR="00BD4FA3">
        <w:t>U.S.</w:t>
      </w:r>
      <w:r w:rsidRPr="00BD4FA3">
        <w:t xml:space="preserve"> </w:t>
      </w:r>
      <w:r w:rsidR="00B36811" w:rsidRPr="00BD4FA3">
        <w:t xml:space="preserve">population </w:t>
      </w:r>
      <w:r w:rsidR="00BD4FA3">
        <w:t xml:space="preserve">is still unwilling to </w:t>
      </w:r>
      <w:r w:rsidR="00B36811" w:rsidRPr="00BD4FA3">
        <w:t>receive the shot</w:t>
      </w:r>
      <w:r w:rsidRPr="00BD4FA3">
        <w:t xml:space="preserve">, many experts predict that rising global vaccination rates will help mitigate the dangers of COVID-19 </w:t>
      </w:r>
      <w:r w:rsidR="00BD4FA3" w:rsidRPr="00BD4FA3">
        <w:t>mutation and global spread</w:t>
      </w:r>
      <w:r w:rsidR="00B36811" w:rsidRPr="00BD4FA3">
        <w:t xml:space="preserve">. </w:t>
      </w:r>
      <w:r w:rsidR="00BD4FA3" w:rsidRPr="00BD4FA3">
        <w:t xml:space="preserve">Through global vaccination efforts and the sheer infectiousness of the Omicron variant, enough immunity may be achieved to push the pandemic into its endemic stage, where </w:t>
      </w:r>
      <w:r w:rsidR="00BD4FA3">
        <w:t xml:space="preserve">the circulating </w:t>
      </w:r>
      <w:r w:rsidR="00BD4FA3" w:rsidRPr="00BD4FA3">
        <w:t xml:space="preserve">disease </w:t>
      </w:r>
      <w:r w:rsidR="00142F71">
        <w:t>becomes</w:t>
      </w:r>
      <w:r w:rsidR="00142F71" w:rsidRPr="00BD4FA3">
        <w:t xml:space="preserve"> limited </w:t>
      </w:r>
      <w:r w:rsidR="00142F71">
        <w:t xml:space="preserve">in both </w:t>
      </w:r>
      <w:r w:rsidR="00BD4FA3" w:rsidRPr="00BD4FA3">
        <w:t xml:space="preserve">deadliness and reach due to immunity throughout the population. Some experts believe </w:t>
      </w:r>
      <w:r w:rsidR="00142F71">
        <w:t>COVID-19 could become endemic in the U.S.</w:t>
      </w:r>
      <w:r w:rsidR="00142F71" w:rsidRPr="00BD4FA3">
        <w:t xml:space="preserve"> </w:t>
      </w:r>
      <w:r w:rsidR="00BD4FA3" w:rsidRPr="00BD4FA3">
        <w:t>as early as 2022.</w:t>
      </w:r>
    </w:p>
    <w:p w14:paraId="380DE2B2" w14:textId="5308A906" w:rsidR="00F03302" w:rsidRPr="00BD7409" w:rsidRDefault="00B36811" w:rsidP="001E26E8">
      <w:pPr>
        <w:spacing w:before="160"/>
        <w:rPr>
          <w:strike/>
        </w:rPr>
      </w:pPr>
      <w:r>
        <w:t>A multifactor indicator of economic strength, the</w:t>
      </w:r>
      <w:r w:rsidR="00A615E8" w:rsidRPr="00BD7409">
        <w:t xml:space="preserve"> Philadelphia Fed’s coincident index</w:t>
      </w:r>
      <w:r w:rsidR="00EC7CB1" w:rsidRPr="00BD7409">
        <w:rPr>
          <w:rStyle w:val="FootnoteReference"/>
        </w:rPr>
        <w:footnoteReference w:id="1"/>
      </w:r>
      <w:r w:rsidR="00A615E8" w:rsidRPr="00BD7409">
        <w:t xml:space="preserve"> of economic activity in the U.S. </w:t>
      </w:r>
      <w:r w:rsidR="003A390C" w:rsidRPr="00BD7409">
        <w:t xml:space="preserve">rose </w:t>
      </w:r>
      <w:r w:rsidR="00795ECE" w:rsidRPr="00BD7409">
        <w:t>0.4</w:t>
      </w:r>
      <w:r w:rsidR="003A390C" w:rsidRPr="00BD7409">
        <w:t xml:space="preserve">% in </w:t>
      </w:r>
      <w:r w:rsidR="005B7A7E">
        <w:t>December</w:t>
      </w:r>
      <w:r w:rsidR="00795ECE" w:rsidRPr="00BD7409">
        <w:t xml:space="preserve"> 2021 </w:t>
      </w:r>
      <w:r w:rsidR="00C10F0A" w:rsidRPr="00BD7409">
        <w:t xml:space="preserve">and </w:t>
      </w:r>
      <w:r w:rsidR="00E95F9A" w:rsidRPr="00BD7409">
        <w:t>1.</w:t>
      </w:r>
      <w:r w:rsidR="005B7A7E">
        <w:t>2</w:t>
      </w:r>
      <w:r w:rsidR="00C10F0A" w:rsidRPr="00BD7409">
        <w:t xml:space="preserve">% </w:t>
      </w:r>
      <w:r w:rsidR="00EC7CB1" w:rsidRPr="00BD7409">
        <w:t>during</w:t>
      </w:r>
      <w:r w:rsidR="00A615E8" w:rsidRPr="00BD7409">
        <w:t xml:space="preserve"> the </w:t>
      </w:r>
      <w:r w:rsidR="005B7A7E">
        <w:t>4</w:t>
      </w:r>
      <w:r w:rsidR="005B7A7E" w:rsidRPr="005B7A7E">
        <w:rPr>
          <w:vertAlign w:val="superscript"/>
        </w:rPr>
        <w:t>th</w:t>
      </w:r>
      <w:r w:rsidR="005B7A7E">
        <w:t xml:space="preserve"> </w:t>
      </w:r>
      <w:r w:rsidR="00A615E8" w:rsidRPr="00BD7409">
        <w:t>quarter</w:t>
      </w:r>
      <w:r w:rsidR="00AF420E" w:rsidRPr="00BD7409">
        <w:t xml:space="preserve">. </w:t>
      </w:r>
      <w:r w:rsidR="00EC7CB1" w:rsidRPr="00BD7409">
        <w:t>For the quarter</w:t>
      </w:r>
      <w:r w:rsidR="00A615E8" w:rsidRPr="00BD7409">
        <w:t xml:space="preserve">, coincident indexes </w:t>
      </w:r>
      <w:r w:rsidR="00C10F0A" w:rsidRPr="00BD7409">
        <w:t>increased</w:t>
      </w:r>
      <w:r w:rsidR="003A390C" w:rsidRPr="00BD7409">
        <w:t xml:space="preserve"> in </w:t>
      </w:r>
      <w:r w:rsidR="005B7A7E">
        <w:t>all 50</w:t>
      </w:r>
      <w:r w:rsidR="00BD7409">
        <w:t xml:space="preserve"> </w:t>
      </w:r>
      <w:r w:rsidR="003A390C" w:rsidRPr="00BD7409">
        <w:t>state</w:t>
      </w:r>
      <w:r w:rsidR="005B7A7E">
        <w:t>s</w:t>
      </w:r>
      <w:r w:rsidR="00A615E8" w:rsidRPr="00BD7409">
        <w:t xml:space="preserve">. Coincident indexes reflect </w:t>
      </w:r>
      <w:r w:rsidR="00714B74" w:rsidRPr="00BD7409">
        <w:t>unemployment, payroll employment, manufacturing hours, and wages and salaries</w:t>
      </w:r>
      <w:r w:rsidR="00A14CD4" w:rsidRPr="00BD7409">
        <w:t>.</w:t>
      </w:r>
      <w:r w:rsidR="00714B74" w:rsidRPr="00BD7409">
        <w:t xml:space="preserve"> </w:t>
      </w:r>
      <w:r w:rsidR="002857FD" w:rsidRPr="00BD7409">
        <w:t>Unemployment, a major factor in the index, fell 0.</w:t>
      </w:r>
      <w:r w:rsidR="005B7A7E">
        <w:t>8</w:t>
      </w:r>
      <w:r w:rsidR="00BD7409">
        <w:t xml:space="preserve"> percentage points</w:t>
      </w:r>
      <w:r w:rsidR="002857FD" w:rsidRPr="00BD7409">
        <w:t xml:space="preserve"> over the quarter, </w:t>
      </w:r>
      <w:r w:rsidR="00BD7409">
        <w:t xml:space="preserve">yet </w:t>
      </w:r>
      <w:r w:rsidR="005B7A7E" w:rsidRPr="005B7A7E">
        <w:t xml:space="preserve">the unemployment rate and the number of unemployed people </w:t>
      </w:r>
      <w:proofErr w:type="gramStart"/>
      <w:r w:rsidR="005B7A7E" w:rsidRPr="005B7A7E">
        <w:t>are</w:t>
      </w:r>
      <w:proofErr w:type="gramEnd"/>
      <w:r w:rsidR="005B7A7E" w:rsidRPr="005B7A7E">
        <w:t xml:space="preserve"> up 0.4 percentage point and 0.6 million, respectively, since February 2020</w:t>
      </w:r>
      <w:r w:rsidR="002857FD" w:rsidRPr="00BD7409">
        <w:t xml:space="preserve">. </w:t>
      </w:r>
    </w:p>
    <w:p w14:paraId="7739DC43" w14:textId="6ECF6C35" w:rsidR="00A96A6A" w:rsidRDefault="0027585A" w:rsidP="006D4E8F">
      <w:pPr>
        <w:jc w:val="center"/>
      </w:pPr>
      <w:r w:rsidRPr="00F04A88">
        <w:rPr>
          <w:noProof/>
          <w:highlight w:val="yellow"/>
        </w:rPr>
        <w:t xml:space="preserve"> </w:t>
      </w:r>
      <w:r w:rsidR="00C1548C" w:rsidRPr="00C1548C">
        <w:drawing>
          <wp:inline distT="0" distB="0" distL="0" distR="0" wp14:anchorId="17FD79B7" wp14:editId="56E6C166">
            <wp:extent cx="5943600" cy="32651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5170"/>
                    </a:xfrm>
                    <a:prstGeom prst="rect">
                      <a:avLst/>
                    </a:prstGeom>
                    <a:noFill/>
                    <a:ln>
                      <a:noFill/>
                    </a:ln>
                  </pic:spPr>
                </pic:pic>
              </a:graphicData>
            </a:graphic>
          </wp:inline>
        </w:drawing>
      </w:r>
    </w:p>
    <w:p w14:paraId="022CFF26" w14:textId="59EB98A4"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2"/>
      </w:r>
      <w:r w:rsidR="009E4D8D" w:rsidRPr="00CA74AC">
        <w:t xml:space="preserve"> </w:t>
      </w:r>
      <w:r w:rsidR="007939CA">
        <w:t>rose</w:t>
      </w:r>
      <w:r w:rsidR="00DA3959">
        <w:t xml:space="preserve"> </w:t>
      </w:r>
      <w:r w:rsidR="00824936">
        <w:t>0.28</w:t>
      </w:r>
      <w:r w:rsidR="00442565">
        <w:t>% during</w:t>
      </w:r>
      <w:r w:rsidR="00DA3959">
        <w:t xml:space="preserve"> the </w:t>
      </w:r>
      <w:r w:rsidR="001E483E">
        <w:t>4</w:t>
      </w:r>
      <w:r w:rsidR="001E483E" w:rsidRPr="001E483E">
        <w:rPr>
          <w:vertAlign w:val="superscript"/>
        </w:rPr>
        <w:t>th</w:t>
      </w:r>
      <w:r w:rsidR="001E483E">
        <w:t xml:space="preserve"> </w:t>
      </w:r>
      <w:r w:rsidR="00D5040E">
        <w:t>quarter of 2021</w:t>
      </w:r>
      <w:r>
        <w:t xml:space="preserve"> </w:t>
      </w:r>
      <w:r w:rsidR="001E483E">
        <w:t>to a level 3.</w:t>
      </w:r>
      <w:r w:rsidR="00824936">
        <w:t>36</w:t>
      </w:r>
      <w:r w:rsidR="007939CA">
        <w:t xml:space="preserve">% </w:t>
      </w:r>
      <w:r w:rsidR="001E483E">
        <w:t>higher</w:t>
      </w:r>
      <w:r w:rsidR="007939CA">
        <w:t xml:space="preserve"> than in </w:t>
      </w:r>
      <w:r w:rsidR="001E483E">
        <w:t>December</w:t>
      </w:r>
      <w:r w:rsidR="002D78A5">
        <w:t xml:space="preserve"> of 2020</w:t>
      </w:r>
      <w:r w:rsidR="009E4D8D" w:rsidRPr="00CA74AC">
        <w:t>.</w:t>
      </w:r>
      <w:r w:rsidR="002857FD">
        <w:t xml:space="preserve"> </w:t>
      </w:r>
      <w:r w:rsidR="000B43C0">
        <w:t xml:space="preserve">The dollar climbed </w:t>
      </w:r>
      <w:r w:rsidR="001E483E">
        <w:t xml:space="preserve">in November to its highest level of </w:t>
      </w:r>
      <w:r w:rsidR="001E483E">
        <w:lastRenderedPageBreak/>
        <w:t>2021 and remained high through the end of 2021</w:t>
      </w:r>
      <w:r w:rsidR="000B43C0">
        <w:t xml:space="preserve">. The </w:t>
      </w:r>
      <w:r w:rsidR="006B166E">
        <w:t xml:space="preserve">advancement </w:t>
      </w:r>
      <w:r w:rsidR="001E483E">
        <w:t>came as Fed chairman Jerome Powell was renominated for his role, firming investors’ expectations of target interest rate hikes in the coming year</w:t>
      </w:r>
      <w:r w:rsidR="004B2DF4">
        <w:t>.</w:t>
      </w:r>
      <w:r w:rsidR="0079151F">
        <w:t xml:space="preserve"> The low-risk investment</w:t>
      </w:r>
      <w:r w:rsidR="001C7617">
        <w:t xml:space="preserve"> </w:t>
      </w:r>
      <w:r w:rsidR="0079151F">
        <w:t>remained attractive despite an uptick in global risk appetite as talks sputtered on the beleaguered Build Back Better bill in Washington, and the Omicron variant pushed yet another surge of COVID cases worldwide.</w:t>
      </w:r>
    </w:p>
    <w:p w14:paraId="5FD9C9E3" w14:textId="3D652BE3" w:rsidR="004D1C9D" w:rsidRDefault="00C76463" w:rsidP="006D4E8F">
      <w:pPr>
        <w:jc w:val="center"/>
      </w:pPr>
      <w:r>
        <w:rPr>
          <w:noProof/>
        </w:rPr>
        <w:drawing>
          <wp:inline distT="0" distB="0" distL="0" distR="0" wp14:anchorId="1B0FB02D" wp14:editId="0735FE30">
            <wp:extent cx="4097020" cy="2621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621280"/>
                    </a:xfrm>
                    <a:prstGeom prst="rect">
                      <a:avLst/>
                    </a:prstGeom>
                    <a:noFill/>
                  </pic:spPr>
                </pic:pic>
              </a:graphicData>
            </a:graphic>
          </wp:inline>
        </w:drawing>
      </w:r>
    </w:p>
    <w:p w14:paraId="149D5EF9" w14:textId="2B83CF86" w:rsidR="002731EF" w:rsidRPr="00BC13CC" w:rsidRDefault="001058D4" w:rsidP="001475FF">
      <w:pPr>
        <w:pStyle w:val="Heading1"/>
      </w:pPr>
      <w:r>
        <w:t>Q</w:t>
      </w:r>
      <w:r w:rsidR="00540D2B">
        <w:t>4</w:t>
      </w:r>
      <w:r>
        <w:t xml:space="preserve"> </w:t>
      </w:r>
      <w:r w:rsidR="002731EF" w:rsidRPr="00BC13CC">
        <w:t>Economic Highlights</w:t>
      </w:r>
    </w:p>
    <w:p w14:paraId="7FCBE057" w14:textId="092CA3BE" w:rsidR="00540D2B" w:rsidRDefault="00540D2B" w:rsidP="00E528F7">
      <w:pPr>
        <w:pStyle w:val="ListParagraph"/>
        <w:numPr>
          <w:ilvl w:val="0"/>
          <w:numId w:val="3"/>
        </w:numPr>
      </w:pPr>
      <w:r>
        <w:t>The</w:t>
      </w:r>
      <w:r w:rsidRPr="00BD7409">
        <w:t xml:space="preserve"> Philadelphia Fed’s coincident index</w:t>
      </w:r>
      <w:r w:rsidRPr="00BD7409">
        <w:rPr>
          <w:rStyle w:val="FootnoteReference"/>
        </w:rPr>
        <w:footnoteReference w:id="3"/>
      </w:r>
      <w:r w:rsidRPr="00BD7409">
        <w:t xml:space="preserve"> of economic activity in the U.S. rose 0.4% in </w:t>
      </w:r>
      <w:r>
        <w:t>December</w:t>
      </w:r>
      <w:r w:rsidRPr="00BD7409">
        <w:t xml:space="preserve"> 2021 and 1.</w:t>
      </w:r>
      <w:r>
        <w:t>2</w:t>
      </w:r>
      <w:r w:rsidRPr="00BD7409">
        <w:t xml:space="preserve">% during the </w:t>
      </w:r>
      <w:r>
        <w:t>4</w:t>
      </w:r>
      <w:r w:rsidRPr="005B7A7E">
        <w:rPr>
          <w:vertAlign w:val="superscript"/>
        </w:rPr>
        <w:t>th</w:t>
      </w:r>
      <w:r>
        <w:t xml:space="preserve"> </w:t>
      </w:r>
      <w:r w:rsidRPr="00BD7409">
        <w:t>quarter.</w:t>
      </w:r>
    </w:p>
    <w:p w14:paraId="149D5EFA" w14:textId="25671CE2" w:rsidR="002608F3" w:rsidRPr="00BC13CC" w:rsidRDefault="006C2DAB" w:rsidP="00E528F7">
      <w:pPr>
        <w:pStyle w:val="ListParagraph"/>
        <w:numPr>
          <w:ilvl w:val="0"/>
          <w:numId w:val="3"/>
        </w:numPr>
      </w:pPr>
      <w:r w:rsidRPr="00BC13CC">
        <w:t xml:space="preserve">Real GDP </w:t>
      </w:r>
      <w:r w:rsidR="00D93A8B" w:rsidRPr="00BC13CC">
        <w:t xml:space="preserve">for the </w:t>
      </w:r>
      <w:r w:rsidR="00D04F3A">
        <w:t>4</w:t>
      </w:r>
      <w:r w:rsidR="00D04F3A" w:rsidRPr="00D04F3A">
        <w:rPr>
          <w:vertAlign w:val="superscript"/>
        </w:rPr>
        <w:t>th</w:t>
      </w:r>
      <w:r w:rsidR="00D04F3A">
        <w:t xml:space="preserve"> </w:t>
      </w:r>
      <w:r w:rsidR="00D571C6" w:rsidRPr="00BC13CC">
        <w:t xml:space="preserve">quarter of </w:t>
      </w:r>
      <w:r w:rsidR="00D93A8B" w:rsidRPr="00BC13CC">
        <w:t>2021</w:t>
      </w:r>
      <w:r w:rsidR="00D571C6" w:rsidRPr="00BC13CC">
        <w:t xml:space="preserve"> grew at an annual rate of </w:t>
      </w:r>
      <w:r w:rsidR="00D04F3A">
        <w:t>6.9%</w:t>
      </w:r>
      <w:r w:rsidR="00D04F3A" w:rsidRPr="00B36811">
        <w:t xml:space="preserve">, </w:t>
      </w:r>
      <w:r w:rsidR="00D04F3A">
        <w:t>bouncing back from a 2.3</w:t>
      </w:r>
      <w:r w:rsidR="00D04F3A" w:rsidRPr="00B36811">
        <w:t>%</w:t>
      </w:r>
      <w:r w:rsidR="00D04F3A">
        <w:t xml:space="preserve"> showing in the 3</w:t>
      </w:r>
      <w:r w:rsidR="00D04F3A" w:rsidRPr="0079151F">
        <w:rPr>
          <w:vertAlign w:val="superscript"/>
        </w:rPr>
        <w:t>rd</w:t>
      </w:r>
      <w:r w:rsidR="00D04F3A">
        <w:t xml:space="preserve"> quarter</w:t>
      </w:r>
      <w:r w:rsidR="00D93A8B" w:rsidRPr="00BC13CC">
        <w:t>.</w:t>
      </w:r>
    </w:p>
    <w:p w14:paraId="149D5EFC" w14:textId="67165E4E" w:rsidR="00E24F81" w:rsidRPr="00BC13CC" w:rsidRDefault="00E24F81" w:rsidP="00E528F7">
      <w:pPr>
        <w:pStyle w:val="ListParagraph"/>
        <w:numPr>
          <w:ilvl w:val="0"/>
          <w:numId w:val="3"/>
        </w:numPr>
      </w:pPr>
      <w:r w:rsidRPr="00BC13CC">
        <w:t xml:space="preserve">The U.S. dollar index </w:t>
      </w:r>
      <w:r w:rsidR="006B166E">
        <w:t>rose</w:t>
      </w:r>
      <w:r w:rsidR="00D93A8B" w:rsidRPr="00BC13CC">
        <w:t xml:space="preserve"> </w:t>
      </w:r>
      <w:r w:rsidR="00D04F3A" w:rsidRPr="00D04F3A">
        <w:t>0.</w:t>
      </w:r>
      <w:r w:rsidR="00D23A93">
        <w:t>28</w:t>
      </w:r>
      <w:r w:rsidR="00D04F3A" w:rsidRPr="00D04F3A">
        <w:t>% during the 4</w:t>
      </w:r>
      <w:r w:rsidR="00D04F3A" w:rsidRPr="00D04F3A">
        <w:rPr>
          <w:vertAlign w:val="superscript"/>
        </w:rPr>
        <w:t>th</w:t>
      </w:r>
      <w:r w:rsidR="00D04F3A">
        <w:t xml:space="preserve"> </w:t>
      </w:r>
      <w:r w:rsidR="00D04F3A" w:rsidRPr="00D04F3A">
        <w:t>quarter of 2021 to a level 3.</w:t>
      </w:r>
      <w:r w:rsidR="00D23A93">
        <w:t>36</w:t>
      </w:r>
      <w:r w:rsidR="00D04F3A" w:rsidRPr="00D04F3A">
        <w:t>% higher than in December of 2020</w:t>
      </w:r>
      <w:r w:rsidRPr="00BC13CC">
        <w:t>.</w:t>
      </w:r>
    </w:p>
    <w:p w14:paraId="149D5EFD" w14:textId="5B610D2A" w:rsidR="0076717F" w:rsidRPr="00BC13CC" w:rsidRDefault="00D04F3A" w:rsidP="00E528F7">
      <w:pPr>
        <w:pStyle w:val="ListParagraph"/>
        <w:numPr>
          <w:ilvl w:val="0"/>
          <w:numId w:val="3"/>
        </w:numPr>
      </w:pPr>
      <w:r>
        <w:t>T</w:t>
      </w:r>
      <w:r w:rsidRPr="003F4CDB">
        <w:t xml:space="preserve">he effective federal funds rate </w:t>
      </w:r>
      <w:r>
        <w:t>remained steady throughout</w:t>
      </w:r>
      <w:r w:rsidRPr="003F4CDB">
        <w:t xml:space="preserve"> the </w:t>
      </w:r>
      <w:r>
        <w:t>4</w:t>
      </w:r>
      <w:r w:rsidRPr="004005A4">
        <w:rPr>
          <w:vertAlign w:val="superscript"/>
        </w:rPr>
        <w:t>th</w:t>
      </w:r>
      <w:r>
        <w:t xml:space="preserve"> </w:t>
      </w:r>
      <w:r w:rsidRPr="003F4CDB">
        <w:t>quarter at 0.08%, near its all-time low</w:t>
      </w:r>
      <w:r w:rsidR="00D93A8B" w:rsidRPr="00BC13CC">
        <w:t xml:space="preserve">. </w:t>
      </w:r>
    </w:p>
    <w:p w14:paraId="149D5EFE" w14:textId="21086E79" w:rsidR="003E4ACB" w:rsidRPr="00BC13CC" w:rsidRDefault="00D04F3A" w:rsidP="00E528F7">
      <w:pPr>
        <w:pStyle w:val="ListParagraph"/>
        <w:numPr>
          <w:ilvl w:val="0"/>
          <w:numId w:val="3"/>
        </w:numPr>
      </w:pPr>
      <w:r w:rsidRPr="003F4CDB">
        <w:t xml:space="preserve">The 1-year and 2-year annual treasury yields ended the </w:t>
      </w:r>
      <w:r>
        <w:t>4</w:t>
      </w:r>
      <w:r w:rsidRPr="00952E0A">
        <w:rPr>
          <w:vertAlign w:val="superscript"/>
        </w:rPr>
        <w:t>th</w:t>
      </w:r>
      <w:r>
        <w:t xml:space="preserve"> </w:t>
      </w:r>
      <w:r w:rsidRPr="003F4CDB">
        <w:t>quarter at 0.</w:t>
      </w:r>
      <w:r w:rsidR="00D23A93">
        <w:t>39</w:t>
      </w:r>
      <w:r w:rsidRPr="003F4CDB">
        <w:t>% and 0.</w:t>
      </w:r>
      <w:r>
        <w:t>73</w:t>
      </w:r>
      <w:r w:rsidRPr="003F4CDB">
        <w:t xml:space="preserve">%, respectively. The benchmark 10-year treasury yielded 1.52% annually at the end of the quarter, while the 30-year treasury yielded </w:t>
      </w:r>
      <w:r>
        <w:t>1.90</w:t>
      </w:r>
      <w:r w:rsidRPr="003F4CDB">
        <w:t>%</w:t>
      </w:r>
      <w:r w:rsidRPr="003F4CDB">
        <w:rPr>
          <w:color w:val="000000" w:themeColor="text1"/>
        </w:rPr>
        <w:t>.</w:t>
      </w:r>
    </w:p>
    <w:p w14:paraId="2A4826B3" w14:textId="4C03391A" w:rsidR="0069122E" w:rsidRPr="00BC13CC" w:rsidRDefault="0069122E" w:rsidP="0069122E">
      <w:pPr>
        <w:pStyle w:val="ListParagraph"/>
        <w:numPr>
          <w:ilvl w:val="0"/>
          <w:numId w:val="3"/>
        </w:numPr>
      </w:pPr>
      <w:r w:rsidRPr="00BC13CC">
        <w:t xml:space="preserve">Unemployment </w:t>
      </w:r>
      <w:r w:rsidR="00D04F3A">
        <w:t>fell to 3.9</w:t>
      </w:r>
      <w:r w:rsidR="00D04F3A" w:rsidRPr="003412DA">
        <w:t>%</w:t>
      </w:r>
      <w:r w:rsidR="00D04F3A">
        <w:t xml:space="preserve"> in December 2021, </w:t>
      </w:r>
      <w:r w:rsidRPr="00BC13CC">
        <w:t xml:space="preserve">and </w:t>
      </w:r>
      <w:r w:rsidR="00CF666C">
        <w:t xml:space="preserve">nonfarm </w:t>
      </w:r>
      <w:r w:rsidRPr="00BC13CC">
        <w:t xml:space="preserve">payroll employment </w:t>
      </w:r>
      <w:r w:rsidR="00D04F3A">
        <w:t>grew by 1.1 million jobs in the 4</w:t>
      </w:r>
      <w:r w:rsidR="00D04F3A" w:rsidRPr="006528B7">
        <w:rPr>
          <w:vertAlign w:val="superscript"/>
        </w:rPr>
        <w:t>th</w:t>
      </w:r>
      <w:r w:rsidR="00D04F3A">
        <w:t xml:space="preserve"> quarter</w:t>
      </w:r>
      <w:r w:rsidR="00CF666C">
        <w:rPr>
          <w:color w:val="000000" w:themeColor="text1"/>
        </w:rPr>
        <w:t>.</w:t>
      </w:r>
      <w:r w:rsidR="00C328EF" w:rsidRPr="00BC13CC">
        <w:t xml:space="preserve"> </w:t>
      </w:r>
    </w:p>
    <w:p w14:paraId="149D5EFF" w14:textId="6A4289F8" w:rsidR="003E4ACB" w:rsidRPr="00BC13CC" w:rsidRDefault="007A4896" w:rsidP="00E528F7">
      <w:pPr>
        <w:pStyle w:val="ListParagraph"/>
        <w:numPr>
          <w:ilvl w:val="0"/>
          <w:numId w:val="3"/>
        </w:numPr>
      </w:pPr>
      <w:r>
        <w:t>The Consumer Price Index</w:t>
      </w:r>
      <w:r w:rsidR="006E4B4F" w:rsidRPr="00BC13CC">
        <w:t xml:space="preserve"> </w:t>
      </w:r>
      <w:r w:rsidR="00D04F3A">
        <w:t>rose 7.1% year-over-year in December, its fastest growth since June of 1982</w:t>
      </w:r>
      <w:r w:rsidR="00880496">
        <w:t xml:space="preserve">. Excluding volatile energy prices, the index rose </w:t>
      </w:r>
      <w:r w:rsidR="00D04F3A">
        <w:t>5.6%.</w:t>
      </w:r>
    </w:p>
    <w:p w14:paraId="02DFF80C" w14:textId="5ACE464B" w:rsidR="0069122E" w:rsidRPr="00BC13CC" w:rsidRDefault="00D04F3A" w:rsidP="0069122E">
      <w:pPr>
        <w:pStyle w:val="ListParagraph"/>
        <w:numPr>
          <w:ilvl w:val="0"/>
          <w:numId w:val="3"/>
        </w:numPr>
      </w:pPr>
      <w:r w:rsidRPr="007E1BB9">
        <w:t>Crude prices ended the period at $7</w:t>
      </w:r>
      <w:r>
        <w:t>1.71</w:t>
      </w:r>
      <w:r w:rsidRPr="007E1BB9">
        <w:t xml:space="preserve"> per barrel, </w:t>
      </w:r>
      <w:r>
        <w:t>0.1</w:t>
      </w:r>
      <w:r w:rsidRPr="007E1BB9">
        <w:t xml:space="preserve">% higher than </w:t>
      </w:r>
      <w:r w:rsidR="00540D2B">
        <w:t>the prior</w:t>
      </w:r>
      <w:r w:rsidRPr="007E1BB9">
        <w:t xml:space="preserve"> quarter</w:t>
      </w:r>
      <w:r w:rsidR="0069122E" w:rsidRPr="00BC13CC">
        <w:t>.</w:t>
      </w:r>
    </w:p>
    <w:p w14:paraId="149D5F00" w14:textId="1C020C37" w:rsidR="003E4ACB" w:rsidRPr="00BC13CC" w:rsidRDefault="00D04F3A" w:rsidP="00E528F7">
      <w:pPr>
        <w:pStyle w:val="ListParagraph"/>
        <w:numPr>
          <w:ilvl w:val="0"/>
          <w:numId w:val="3"/>
        </w:numPr>
      </w:pPr>
      <w:r>
        <w:lastRenderedPageBreak/>
        <w:t>New</w:t>
      </w:r>
      <w:r w:rsidRPr="0094654A">
        <w:t xml:space="preserve"> home starts</w:t>
      </w:r>
      <w:r>
        <w:rPr>
          <w:rStyle w:val="FootnoteReference"/>
        </w:rPr>
        <w:footnoteReference w:id="4"/>
      </w:r>
      <w:r w:rsidRPr="0094654A">
        <w:t xml:space="preserve"> </w:t>
      </w:r>
      <w:r>
        <w:t xml:space="preserve">numbered 1.70 </w:t>
      </w:r>
      <w:r w:rsidRPr="0094654A">
        <w:t>million</w:t>
      </w:r>
      <w:r>
        <w:t xml:space="preserve"> in December, up 9.8% over </w:t>
      </w:r>
      <w:r w:rsidR="00D23A93">
        <w:t>September</w:t>
      </w:r>
      <w:r>
        <w:t xml:space="preserve"> amid a severe shortage</w:t>
      </w:r>
      <w:r w:rsidRPr="00341282">
        <w:t xml:space="preserve"> </w:t>
      </w:r>
      <w:r>
        <w:t>of housing supply</w:t>
      </w:r>
      <w:r w:rsidR="0035542E" w:rsidRPr="00BC13CC">
        <w:t>.</w:t>
      </w:r>
      <w:r w:rsidR="00BC13CC" w:rsidRPr="00BC13CC">
        <w:t xml:space="preserve"> </w:t>
      </w:r>
    </w:p>
    <w:p w14:paraId="149D5F03" w14:textId="4ED42AC9" w:rsidR="00867D68" w:rsidRDefault="00254F79" w:rsidP="00F94484">
      <w:pPr>
        <w:pStyle w:val="ListParagraph"/>
        <w:numPr>
          <w:ilvl w:val="0"/>
          <w:numId w:val="3"/>
        </w:numPr>
      </w:pPr>
      <w:r>
        <w:rPr>
          <w:noProof/>
        </w:rPr>
        <w:t>The S&amp;P 500 rose 10.6% during the 4</w:t>
      </w:r>
      <w:r w:rsidRPr="009E14E6">
        <w:rPr>
          <w:noProof/>
          <w:vertAlign w:val="superscript"/>
        </w:rPr>
        <w:t>th</w:t>
      </w:r>
      <w:r>
        <w:rPr>
          <w:noProof/>
        </w:rPr>
        <w:t xml:space="preserve"> quarter of 2021. The Dow Jones Industrial Average climbed 7.4% during the quarter </w:t>
      </w:r>
      <w:r w:rsidR="00D800BC">
        <w:rPr>
          <w:noProof/>
        </w:rPr>
        <w:t>while</w:t>
      </w:r>
      <w:r>
        <w:rPr>
          <w:noProof/>
        </w:rPr>
        <w:t xml:space="preserve"> the Dow Jones Transportation and Composite Indexes jumped 17.7% and 10.7%, respectively</w:t>
      </w:r>
      <w:r w:rsidR="00867D68">
        <w:t xml:space="preserve">. </w:t>
      </w:r>
    </w:p>
    <w:p w14:paraId="149D5F04" w14:textId="77777777" w:rsidR="00057711" w:rsidRDefault="00057711" w:rsidP="00057711">
      <w:pPr>
        <w:pStyle w:val="Heading1"/>
      </w:pPr>
      <w:r>
        <w:t>Business Activity</w:t>
      </w:r>
    </w:p>
    <w:p w14:paraId="25413EE4" w14:textId="762CA779" w:rsidR="00A96A6A" w:rsidRPr="00B36811" w:rsidRDefault="00142F71" w:rsidP="00057711">
      <w:r>
        <w:t>R</w:t>
      </w:r>
      <w:r w:rsidR="0080028D" w:rsidRPr="00B36811">
        <w:t>eal gross domestic product (GDP)</w:t>
      </w:r>
      <w:r w:rsidR="00A8559D" w:rsidRPr="00B36811">
        <w:rPr>
          <w:rStyle w:val="FootnoteReference"/>
        </w:rPr>
        <w:footnoteReference w:id="5"/>
      </w:r>
      <w:r w:rsidR="0080028D" w:rsidRPr="00B36811">
        <w:t xml:space="preserve"> </w:t>
      </w:r>
      <w:r w:rsidR="00BD0BA8" w:rsidRPr="00B36811">
        <w:t xml:space="preserve">for the </w:t>
      </w:r>
      <w:r w:rsidR="0079151F">
        <w:t>4</w:t>
      </w:r>
      <w:r w:rsidR="0079151F" w:rsidRPr="0079151F">
        <w:rPr>
          <w:vertAlign w:val="superscript"/>
        </w:rPr>
        <w:t>th</w:t>
      </w:r>
      <w:r w:rsidR="0079151F">
        <w:t xml:space="preserve"> </w:t>
      </w:r>
      <w:r w:rsidR="00B91356" w:rsidRPr="00B36811">
        <w:t>quarter of 2021</w:t>
      </w:r>
      <w:r w:rsidR="00700166" w:rsidRPr="00B36811">
        <w:t xml:space="preserve"> </w:t>
      </w:r>
      <w:r w:rsidR="004B2DF4" w:rsidRPr="00B36811">
        <w:t>grew</w:t>
      </w:r>
      <w:r w:rsidR="00BD0BA8" w:rsidRPr="00B36811">
        <w:t xml:space="preserve"> </w:t>
      </w:r>
      <w:r w:rsidR="0080028D" w:rsidRPr="00B36811">
        <w:t>at an annual</w:t>
      </w:r>
      <w:r w:rsidR="009140B9" w:rsidRPr="00B36811">
        <w:t>ized</w:t>
      </w:r>
      <w:r w:rsidR="0080028D" w:rsidRPr="00B36811">
        <w:t xml:space="preserve"> rate of </w:t>
      </w:r>
      <w:r w:rsidR="0079151F">
        <w:t>6.9</w:t>
      </w:r>
      <w:r w:rsidR="00321AA2" w:rsidRPr="00B36811">
        <w:t>%</w:t>
      </w:r>
      <w:r w:rsidR="001756EC" w:rsidRPr="00B36811">
        <w:t>,</w:t>
      </w:r>
      <w:r w:rsidR="0080028D" w:rsidRPr="00B36811">
        <w:t xml:space="preserve"> </w:t>
      </w:r>
      <w:r w:rsidR="0079151F">
        <w:t>bouncing back from a 2.3</w:t>
      </w:r>
      <w:r w:rsidR="009140B9" w:rsidRPr="00B36811">
        <w:t>%</w:t>
      </w:r>
      <w:r w:rsidR="0079151F">
        <w:t xml:space="preserve"> showing in the 3</w:t>
      </w:r>
      <w:r w:rsidR="0079151F" w:rsidRPr="0079151F">
        <w:rPr>
          <w:vertAlign w:val="superscript"/>
        </w:rPr>
        <w:t>rd</w:t>
      </w:r>
      <w:r w:rsidR="0079151F">
        <w:t xml:space="preserve"> quarter</w:t>
      </w:r>
      <w:r w:rsidR="005650CD" w:rsidRPr="00B36811">
        <w:t>.</w:t>
      </w:r>
      <w:r w:rsidR="002F1660" w:rsidRPr="00B36811">
        <w:t xml:space="preserve"> </w:t>
      </w:r>
      <w:r w:rsidR="00B36811" w:rsidRPr="00540D2B">
        <w:t xml:space="preserve">The </w:t>
      </w:r>
      <w:r w:rsidR="0079151F" w:rsidRPr="00540D2B">
        <w:t>4</w:t>
      </w:r>
      <w:r w:rsidR="0079151F" w:rsidRPr="00540D2B">
        <w:rPr>
          <w:vertAlign w:val="superscript"/>
        </w:rPr>
        <w:t>th</w:t>
      </w:r>
      <w:r w:rsidR="0079151F" w:rsidRPr="00540D2B">
        <w:t xml:space="preserve"> </w:t>
      </w:r>
      <w:r w:rsidR="00B36811" w:rsidRPr="00540D2B">
        <w:t xml:space="preserve">quarter built on </w:t>
      </w:r>
      <w:r w:rsidR="0079151F" w:rsidRPr="00540D2B">
        <w:t xml:space="preserve">more than </w:t>
      </w:r>
      <w:r w:rsidR="00B36811" w:rsidRPr="00540D2B">
        <w:t xml:space="preserve">a year’s worth of gains to push real GDP to record levels for the </w:t>
      </w:r>
      <w:r w:rsidR="0079151F" w:rsidRPr="00540D2B">
        <w:t>third</w:t>
      </w:r>
      <w:r w:rsidR="00B36811" w:rsidRPr="00540D2B">
        <w:t xml:space="preserve"> consecutive quarter</w:t>
      </w:r>
      <w:r w:rsidR="00B36811" w:rsidRPr="00134929">
        <w:t>.</w:t>
      </w:r>
    </w:p>
    <w:p w14:paraId="7810A9C6" w14:textId="235DC09B" w:rsidR="00A96A6A" w:rsidRPr="006B166E" w:rsidRDefault="00C76463" w:rsidP="005117CA">
      <w:pPr>
        <w:jc w:val="center"/>
        <w:rPr>
          <w:highlight w:val="yellow"/>
        </w:rPr>
      </w:pPr>
      <w:r w:rsidRPr="00C76463">
        <w:rPr>
          <w:noProof/>
        </w:rPr>
        <w:drawing>
          <wp:inline distT="0" distB="0" distL="0" distR="0" wp14:anchorId="08251547" wp14:editId="1761F0C0">
            <wp:extent cx="4097020" cy="2603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603500"/>
                    </a:xfrm>
                    <a:prstGeom prst="rect">
                      <a:avLst/>
                    </a:prstGeom>
                    <a:noFill/>
                  </pic:spPr>
                </pic:pic>
              </a:graphicData>
            </a:graphic>
          </wp:inline>
        </w:drawing>
      </w:r>
    </w:p>
    <w:p w14:paraId="55F703EC" w14:textId="7C7CA735" w:rsidR="006B1EB1" w:rsidRDefault="009A15D9" w:rsidP="006B1EB1">
      <w:r>
        <w:t xml:space="preserve">The leading contributor was </w:t>
      </w:r>
      <w:r w:rsidR="00137248">
        <w:t>gross domestic private investment</w:t>
      </w:r>
      <w:r w:rsidR="00137248">
        <w:rPr>
          <w:rStyle w:val="FootnoteReference"/>
        </w:rPr>
        <w:footnoteReference w:id="6"/>
      </w:r>
      <w:r w:rsidR="00137248">
        <w:t xml:space="preserve">, boosting the overall figure by 5.2%, </w:t>
      </w:r>
      <w:r w:rsidR="00A202A9">
        <w:t xml:space="preserve">attributable mainly to </w:t>
      </w:r>
      <w:r w:rsidR="00FF6DD2" w:rsidRPr="00A202A9">
        <w:t xml:space="preserve">nonfarm </w:t>
      </w:r>
      <w:r w:rsidRPr="00A202A9">
        <w:t xml:space="preserve">private </w:t>
      </w:r>
      <w:r w:rsidR="0079151F" w:rsidRPr="00A202A9">
        <w:t xml:space="preserve">inventory </w:t>
      </w:r>
      <w:r w:rsidRPr="00A202A9">
        <w:t>investment</w:t>
      </w:r>
      <w:r w:rsidR="006B1EB1" w:rsidRPr="00134929">
        <w:t>.</w:t>
      </w:r>
      <w:r w:rsidR="00FF6DD2">
        <w:t xml:space="preserve"> </w:t>
      </w:r>
      <w:r>
        <w:t>Personal consumption expenditures</w:t>
      </w:r>
      <w:r>
        <w:rPr>
          <w:rStyle w:val="FootnoteReference"/>
        </w:rPr>
        <w:footnoteReference w:id="7"/>
      </w:r>
      <w:r>
        <w:t xml:space="preserve"> (PCE) contributed </w:t>
      </w:r>
      <w:r w:rsidR="00FF6DD2">
        <w:t>2.3</w:t>
      </w:r>
      <w:r>
        <w:t xml:space="preserve">% of the growth in real GDP in the </w:t>
      </w:r>
      <w:r w:rsidR="00FF6DD2">
        <w:t>4</w:t>
      </w:r>
      <w:r w:rsidR="00FF6DD2" w:rsidRPr="00FF6DD2">
        <w:rPr>
          <w:vertAlign w:val="superscript"/>
        </w:rPr>
        <w:t>th</w:t>
      </w:r>
      <w:r w:rsidR="00FF6DD2">
        <w:t xml:space="preserve"> </w:t>
      </w:r>
      <w:r>
        <w:t>quarter</w:t>
      </w:r>
      <w:r w:rsidR="006B1EB1">
        <w:t xml:space="preserve">, </w:t>
      </w:r>
      <w:r w:rsidR="00FF6DD2">
        <w:t>led by</w:t>
      </w:r>
      <w:r w:rsidR="006B1EB1">
        <w:t xml:space="preserve"> broad increases in household services consumption</w:t>
      </w:r>
      <w:r w:rsidR="00FF6DD2">
        <w:t xml:space="preserve"> including health care, recreation, and transportation</w:t>
      </w:r>
      <w:r w:rsidR="006B1EB1">
        <w:t>.</w:t>
      </w:r>
    </w:p>
    <w:p w14:paraId="2A485ADE" w14:textId="39F1476B" w:rsidR="006B1EB1" w:rsidRDefault="009A15D9" w:rsidP="006B1EB1">
      <w:r w:rsidRPr="00134929">
        <w:lastRenderedPageBreak/>
        <w:t>Government expenditures</w:t>
      </w:r>
      <w:r>
        <w:rPr>
          <w:rStyle w:val="FootnoteReference"/>
        </w:rPr>
        <w:footnoteReference w:id="8"/>
      </w:r>
      <w:r w:rsidRPr="00134929">
        <w:t xml:space="preserve"> </w:t>
      </w:r>
      <w:r w:rsidR="00FF6DD2">
        <w:t xml:space="preserve">constrained </w:t>
      </w:r>
      <w:r w:rsidR="00142F71">
        <w:t>4</w:t>
      </w:r>
      <w:r w:rsidR="00142F71" w:rsidRPr="00142F71">
        <w:rPr>
          <w:vertAlign w:val="superscript"/>
        </w:rPr>
        <w:t>th</w:t>
      </w:r>
      <w:r w:rsidR="00D800BC">
        <w:t xml:space="preserve"> </w:t>
      </w:r>
      <w:r w:rsidR="00142F71">
        <w:t xml:space="preserve">quarter </w:t>
      </w:r>
      <w:r w:rsidR="00967B10">
        <w:t xml:space="preserve">real </w:t>
      </w:r>
      <w:r w:rsidR="00FF6DD2">
        <w:t>GDP growth with a negative effect of 0.5%</w:t>
      </w:r>
      <w:r w:rsidR="006B1EB1">
        <w:t xml:space="preserve">. </w:t>
      </w:r>
      <w:r w:rsidR="00FF6DD2">
        <w:t>Government consumption dropped at both the federal and s</w:t>
      </w:r>
      <w:r w:rsidR="006B1EB1">
        <w:t xml:space="preserve">tate and local </w:t>
      </w:r>
      <w:r w:rsidR="00FF6DD2">
        <w:t>levels</w:t>
      </w:r>
      <w:r w:rsidR="006B1EB1" w:rsidRPr="00134929">
        <w:t>.</w:t>
      </w:r>
      <w:r w:rsidR="00967B10">
        <w:t xml:space="preserve"> In the 4</w:t>
      </w:r>
      <w:r w:rsidR="00967B10" w:rsidRPr="00967B10">
        <w:rPr>
          <w:vertAlign w:val="superscript"/>
        </w:rPr>
        <w:t>th</w:t>
      </w:r>
      <w:r w:rsidR="00967B10">
        <w:t xml:space="preserve"> quarter of 2021, federally</w:t>
      </w:r>
      <w:r w:rsidR="00967B10" w:rsidRPr="00967B10">
        <w:t xml:space="preserve"> </w:t>
      </w:r>
      <w:r w:rsidR="00967B10">
        <w:t>funded pandemic assistance</w:t>
      </w:r>
      <w:r w:rsidR="00967B10" w:rsidRPr="00967B10">
        <w:t xml:space="preserve"> </w:t>
      </w:r>
      <w:r w:rsidR="00967B10">
        <w:t>such as</w:t>
      </w:r>
      <w:r w:rsidR="00967B10" w:rsidRPr="00967B10">
        <w:t xml:space="preserve"> </w:t>
      </w:r>
      <w:r w:rsidR="00967B10">
        <w:t xml:space="preserve">forgivable </w:t>
      </w:r>
      <w:r w:rsidR="00967B10" w:rsidRPr="00967B10">
        <w:t>business</w:t>
      </w:r>
      <w:r w:rsidR="00967B10">
        <w:t xml:space="preserve"> loans,</w:t>
      </w:r>
      <w:r w:rsidR="00967B10" w:rsidRPr="00967B10">
        <w:t xml:space="preserve"> grants </w:t>
      </w:r>
      <w:r w:rsidR="00967B10">
        <w:t>for</w:t>
      </w:r>
      <w:r w:rsidR="00967B10" w:rsidRPr="00967B10">
        <w:t xml:space="preserve"> state and local governments, and </w:t>
      </w:r>
      <w:r w:rsidR="00967B10">
        <w:t>household benefits</w:t>
      </w:r>
      <w:r w:rsidR="00967B10" w:rsidRPr="00967B10">
        <w:t xml:space="preserve"> </w:t>
      </w:r>
      <w:r w:rsidR="00967B10">
        <w:t>expired or wound down</w:t>
      </w:r>
      <w:r w:rsidR="00967B10" w:rsidRPr="00967B10">
        <w:t>.</w:t>
      </w:r>
    </w:p>
    <w:p w14:paraId="74EC7CAF" w14:textId="0DFEC57A" w:rsidR="004D1C9D" w:rsidRDefault="009A15D9" w:rsidP="006B1EB1">
      <w:r>
        <w:t>Net exports</w:t>
      </w:r>
      <w:r>
        <w:rPr>
          <w:rStyle w:val="FootnoteReference"/>
        </w:rPr>
        <w:footnoteReference w:id="9"/>
      </w:r>
      <w:r>
        <w:t xml:space="preserve"> </w:t>
      </w:r>
      <w:r w:rsidR="00967B10">
        <w:t>had a neutral effect on overall real GDP in the 4</w:t>
      </w:r>
      <w:r w:rsidR="00967B10" w:rsidRPr="00967B10">
        <w:rPr>
          <w:vertAlign w:val="superscript"/>
        </w:rPr>
        <w:t>th</w:t>
      </w:r>
      <w:r w:rsidR="00967B10">
        <w:t xml:space="preserve"> quarter, as both exports and imports increased</w:t>
      </w:r>
      <w:r w:rsidR="006B1EB1" w:rsidRPr="00134929">
        <w:t>.</w:t>
      </w:r>
      <w:r w:rsidR="006B1EB1">
        <w:t xml:space="preserve"> </w:t>
      </w:r>
      <w:r w:rsidR="008744EA">
        <w:t xml:space="preserve"> </w:t>
      </w:r>
    </w:p>
    <w:p w14:paraId="3014DE71" w14:textId="475F8538" w:rsidR="00B66CB7" w:rsidRPr="006B166E" w:rsidRDefault="003E114D" w:rsidP="005117CA">
      <w:pPr>
        <w:jc w:val="center"/>
        <w:rPr>
          <w:highlight w:val="yellow"/>
        </w:rPr>
      </w:pPr>
      <w:r w:rsidRPr="003E114D">
        <w:rPr>
          <w:noProof/>
        </w:rPr>
        <w:drawing>
          <wp:inline distT="0" distB="0" distL="0" distR="0" wp14:anchorId="110278CB" wp14:editId="29CA0CF3">
            <wp:extent cx="4231005" cy="337121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3371215"/>
                    </a:xfrm>
                    <a:prstGeom prst="rect">
                      <a:avLst/>
                    </a:prstGeom>
                    <a:noFill/>
                  </pic:spPr>
                </pic:pic>
              </a:graphicData>
            </a:graphic>
          </wp:inline>
        </w:drawing>
      </w:r>
    </w:p>
    <w:p w14:paraId="31033888" w14:textId="5093BF81" w:rsidR="004D1C9D" w:rsidRPr="006B1EB1" w:rsidRDefault="00D03164" w:rsidP="00174BCD">
      <w:pPr>
        <w:rPr>
          <w:strike/>
        </w:rPr>
      </w:pPr>
      <w:r w:rsidRPr="006B1EB1">
        <w:t>The Industrial Production Index</w:t>
      </w:r>
      <w:r w:rsidRPr="006B1EB1">
        <w:rPr>
          <w:rStyle w:val="FootnoteReference"/>
        </w:rPr>
        <w:footnoteReference w:id="10"/>
      </w:r>
      <w:r w:rsidRPr="006B1EB1">
        <w:t xml:space="preserve"> is an economic indicator that measures real output for all facilities located in the United States manufacturing, mining, and electric, and gas utilities. The index stood at 10</w:t>
      </w:r>
      <w:r w:rsidR="00967B10">
        <w:t>1</w:t>
      </w:r>
      <w:r w:rsidRPr="006B1EB1">
        <w:t>.</w:t>
      </w:r>
      <w:r w:rsidR="00967B10">
        <w:t>9</w:t>
      </w:r>
      <w:r w:rsidRPr="006B1EB1">
        <w:t xml:space="preserve"> at the end of </w:t>
      </w:r>
      <w:r w:rsidR="006B1EB1" w:rsidRPr="006B1EB1">
        <w:t xml:space="preserve">the </w:t>
      </w:r>
      <w:r w:rsidR="00967B10">
        <w:t>4</w:t>
      </w:r>
      <w:r w:rsidR="00967B10" w:rsidRPr="00967B10">
        <w:rPr>
          <w:vertAlign w:val="superscript"/>
        </w:rPr>
        <w:t>th</w:t>
      </w:r>
      <w:r w:rsidR="00967B10">
        <w:t xml:space="preserve"> </w:t>
      </w:r>
      <w:r w:rsidR="006B1EB1" w:rsidRPr="006B1EB1">
        <w:t>quarter</w:t>
      </w:r>
      <w:r w:rsidRPr="006B1EB1">
        <w:t xml:space="preserve">, </w:t>
      </w:r>
      <w:r w:rsidR="00967B10">
        <w:t>up 1.9</w:t>
      </w:r>
      <w:r w:rsidRPr="006B1EB1">
        <w:t xml:space="preserve">% </w:t>
      </w:r>
      <w:r w:rsidR="006B1EB1" w:rsidRPr="006B1EB1">
        <w:t>since the previous quarter</w:t>
      </w:r>
      <w:r w:rsidRPr="006B1EB1">
        <w:t>.</w:t>
      </w:r>
    </w:p>
    <w:p w14:paraId="149D5F1F" w14:textId="230925D4" w:rsidR="00172307" w:rsidRPr="006B166E" w:rsidRDefault="00CA72D5" w:rsidP="00BA7A2C">
      <w:pPr>
        <w:jc w:val="center"/>
        <w:rPr>
          <w:highlight w:val="yellow"/>
        </w:rPr>
      </w:pPr>
      <w:r>
        <w:rPr>
          <w:noProof/>
          <w:highlight w:val="yellow"/>
        </w:rPr>
        <w:lastRenderedPageBreak/>
        <w:drawing>
          <wp:inline distT="0" distB="0" distL="0" distR="0" wp14:anchorId="42841B52" wp14:editId="7C5D5169">
            <wp:extent cx="3816350" cy="2597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597150"/>
                    </a:xfrm>
                    <a:prstGeom prst="rect">
                      <a:avLst/>
                    </a:prstGeom>
                    <a:noFill/>
                  </pic:spPr>
                </pic:pic>
              </a:graphicData>
            </a:graphic>
          </wp:inline>
        </w:drawing>
      </w:r>
    </w:p>
    <w:p w14:paraId="5A38C44B" w14:textId="490774B9" w:rsidR="007A05AD" w:rsidRPr="006B1EB1" w:rsidRDefault="007A05AD" w:rsidP="007A05AD">
      <w:r w:rsidRPr="006B1EB1">
        <w:t>The Capacity Utilization Index</w:t>
      </w:r>
      <w:r w:rsidRPr="006B1EB1">
        <w:rPr>
          <w:rStyle w:val="FootnoteReference"/>
        </w:rPr>
        <w:footnoteReference w:id="11"/>
      </w:r>
      <w:r w:rsidRPr="006B1EB1">
        <w:t>, which attempts to capture industrial output as a percentage of the economy’s maximum production capacity, increased to 7</w:t>
      </w:r>
      <w:r w:rsidR="00137248">
        <w:t>7</w:t>
      </w:r>
      <w:r w:rsidR="006B1EB1" w:rsidRPr="006B1EB1">
        <w:t>.2</w:t>
      </w:r>
      <w:r w:rsidRPr="006B1EB1">
        <w:t>%</w:t>
      </w:r>
      <w:r w:rsidR="00137248">
        <w:t xml:space="preserve"> during the 4</w:t>
      </w:r>
      <w:r w:rsidR="00137248" w:rsidRPr="00137248">
        <w:rPr>
          <w:vertAlign w:val="superscript"/>
        </w:rPr>
        <w:t>th</w:t>
      </w:r>
      <w:r w:rsidR="00137248">
        <w:t xml:space="preserve"> quarter</w:t>
      </w:r>
      <w:r w:rsidRPr="006B1EB1">
        <w:t xml:space="preserve">, </w:t>
      </w:r>
      <w:r w:rsidR="00137248">
        <w:t>exceeding its pre-pandemic level. Capacity utilization reached a nearly 3-year high in November 2021 and remained near that peak in December</w:t>
      </w:r>
      <w:r w:rsidRPr="006B1EB1">
        <w:t>. The 10-year high for the metric was 78.</w:t>
      </w:r>
      <w:r w:rsidR="00D03164" w:rsidRPr="006B1EB1">
        <w:t>4</w:t>
      </w:r>
      <w:r w:rsidRPr="006B1EB1">
        <w:t>% in August of 2018.</w:t>
      </w:r>
    </w:p>
    <w:p w14:paraId="2B52197D" w14:textId="28E86ED8" w:rsidR="007A05AD" w:rsidRDefault="00CA72D5" w:rsidP="00BA7A2C">
      <w:pPr>
        <w:jc w:val="center"/>
      </w:pPr>
      <w:r>
        <w:rPr>
          <w:noProof/>
        </w:rPr>
        <w:drawing>
          <wp:inline distT="0" distB="0" distL="0" distR="0" wp14:anchorId="262EAE99" wp14:editId="28503AB1">
            <wp:extent cx="3816350" cy="2597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2597150"/>
                    </a:xfrm>
                    <a:prstGeom prst="rect">
                      <a:avLst/>
                    </a:prstGeom>
                    <a:noFill/>
                  </pic:spPr>
                </pic:pic>
              </a:graphicData>
            </a:graphic>
          </wp:inline>
        </w:drawing>
      </w:r>
    </w:p>
    <w:p w14:paraId="149D5F20" w14:textId="72147876" w:rsidR="00005111" w:rsidRPr="005261C1" w:rsidRDefault="00005111" w:rsidP="005261C1">
      <w:pPr>
        <w:pStyle w:val="Heading1"/>
      </w:pPr>
      <w:r w:rsidRPr="005261C1">
        <w:lastRenderedPageBreak/>
        <w:t>Interest Rates</w:t>
      </w:r>
    </w:p>
    <w:p w14:paraId="472CBB47" w14:textId="755A6AD6" w:rsidR="00A96A6A" w:rsidRPr="003F4CDB" w:rsidRDefault="004005A4" w:rsidP="00952E0A">
      <w:pPr>
        <w:rPr>
          <w:color w:val="000000" w:themeColor="text1"/>
        </w:rPr>
      </w:pPr>
      <w:r>
        <w:t>T</w:t>
      </w:r>
      <w:r w:rsidR="00231BB2" w:rsidRPr="003F4CDB">
        <w:t xml:space="preserve">he effective </w:t>
      </w:r>
      <w:r w:rsidR="00814E45" w:rsidRPr="003F4CDB">
        <w:t>federal f</w:t>
      </w:r>
      <w:r w:rsidR="00231BB2" w:rsidRPr="003F4CDB">
        <w:t>unds rate</w:t>
      </w:r>
      <w:r w:rsidR="00814E45" w:rsidRPr="003F4CDB">
        <w:rPr>
          <w:rStyle w:val="FootnoteReference"/>
        </w:rPr>
        <w:footnoteReference w:id="12"/>
      </w:r>
      <w:r w:rsidR="00231BB2" w:rsidRPr="003F4CDB">
        <w:t xml:space="preserve"> </w:t>
      </w:r>
      <w:r>
        <w:t>remained steady throughout</w:t>
      </w:r>
      <w:r w:rsidR="00814E45" w:rsidRPr="003F4CDB">
        <w:t xml:space="preserve"> </w:t>
      </w:r>
      <w:r w:rsidR="006C7BEF" w:rsidRPr="003F4CDB">
        <w:t xml:space="preserve">the </w:t>
      </w:r>
      <w:r>
        <w:t>4</w:t>
      </w:r>
      <w:r w:rsidRPr="004005A4">
        <w:rPr>
          <w:vertAlign w:val="superscript"/>
        </w:rPr>
        <w:t>th</w:t>
      </w:r>
      <w:r>
        <w:t xml:space="preserve"> </w:t>
      </w:r>
      <w:r w:rsidR="006C7BEF" w:rsidRPr="003F4CDB">
        <w:t xml:space="preserve">quarter </w:t>
      </w:r>
      <w:r w:rsidR="00814E45" w:rsidRPr="003F4CDB">
        <w:t>at 0.08%, near</w:t>
      </w:r>
      <w:r w:rsidR="00231BB2" w:rsidRPr="003F4CDB">
        <w:t xml:space="preserve"> its all-time low</w:t>
      </w:r>
      <w:r w:rsidR="00814E45" w:rsidRPr="003F4CDB">
        <w:t xml:space="preserve">. </w:t>
      </w:r>
      <w:r w:rsidR="00231BB2" w:rsidRPr="003F4CDB">
        <w:t xml:space="preserve"> </w:t>
      </w:r>
      <w:r w:rsidR="006C7BEF" w:rsidRPr="003F4CDB">
        <w:t>S</w:t>
      </w:r>
      <w:r w:rsidR="00231BB2" w:rsidRPr="003F4CDB">
        <w:t xml:space="preserve">hort-term treasury </w:t>
      </w:r>
      <w:r w:rsidR="003F4CDB">
        <w:t>bond yields</w:t>
      </w:r>
      <w:r w:rsidR="005A0EC4">
        <w:rPr>
          <w:rStyle w:val="FootnoteReference"/>
        </w:rPr>
        <w:footnoteReference w:id="13"/>
      </w:r>
      <w:r w:rsidR="00A73A66" w:rsidRPr="003F4CDB">
        <w:t xml:space="preserve"> </w:t>
      </w:r>
      <w:r w:rsidR="006C7BEF" w:rsidRPr="003F4CDB">
        <w:t xml:space="preserve">were little changed during the </w:t>
      </w:r>
      <w:r w:rsidR="00D04F3A">
        <w:t>4</w:t>
      </w:r>
      <w:r w:rsidR="00D04F3A" w:rsidRPr="00D04F3A">
        <w:rPr>
          <w:vertAlign w:val="superscript"/>
        </w:rPr>
        <w:t>th</w:t>
      </w:r>
      <w:r w:rsidR="00D04F3A">
        <w:t xml:space="preserve"> </w:t>
      </w:r>
      <w:r w:rsidR="006C7BEF" w:rsidRPr="003F4CDB">
        <w:t>quarter</w:t>
      </w:r>
      <w:r w:rsidR="00231BB2" w:rsidRPr="003F4CDB">
        <w:t>. L</w:t>
      </w:r>
      <w:r w:rsidR="00022BB4" w:rsidRPr="003F4CDB">
        <w:t>ong-term treasury yields</w:t>
      </w:r>
      <w:r w:rsidR="006C7BEF" w:rsidRPr="003F4CDB">
        <w:t xml:space="preserve"> fell </w:t>
      </w:r>
      <w:r w:rsidR="00952E0A">
        <w:t>in November upon speculation about a change in Federal Reserve leadership, then climbed after Jerome Powell was renominated and Fed plans to raise target rates and taper bond-buying programs</w:t>
      </w:r>
      <w:r w:rsidR="00952E0A" w:rsidRPr="00952E0A">
        <w:t xml:space="preserve"> </w:t>
      </w:r>
      <w:r w:rsidR="00952E0A">
        <w:t>proceeded</w:t>
      </w:r>
      <w:r w:rsidR="00231BB2" w:rsidRPr="003F4CDB">
        <w:t>.</w:t>
      </w:r>
      <w:r w:rsidR="0092287E" w:rsidRPr="003F4CDB">
        <w:t xml:space="preserve"> </w:t>
      </w:r>
      <w:r w:rsidR="003F4CDB" w:rsidRPr="003F4CDB">
        <w:t>The</w:t>
      </w:r>
      <w:r w:rsidR="008844A2" w:rsidRPr="003F4CDB">
        <w:t xml:space="preserve"> 1</w:t>
      </w:r>
      <w:r w:rsidR="005E7A94" w:rsidRPr="003F4CDB">
        <w:t xml:space="preserve">-year and 2-year annual treasury yields </w:t>
      </w:r>
      <w:r w:rsidR="00B65667" w:rsidRPr="003F4CDB">
        <w:t xml:space="preserve">ended the </w:t>
      </w:r>
      <w:r w:rsidR="00952E0A">
        <w:t>4</w:t>
      </w:r>
      <w:r w:rsidR="00952E0A" w:rsidRPr="00952E0A">
        <w:rPr>
          <w:vertAlign w:val="superscript"/>
        </w:rPr>
        <w:t>th</w:t>
      </w:r>
      <w:r w:rsidR="00952E0A">
        <w:t xml:space="preserve"> </w:t>
      </w:r>
      <w:r w:rsidR="00B65667" w:rsidRPr="003F4CDB">
        <w:t>quarter</w:t>
      </w:r>
      <w:r w:rsidR="005E7A94" w:rsidRPr="003F4CDB">
        <w:t xml:space="preserve"> at </w:t>
      </w:r>
      <w:r w:rsidR="00B65667" w:rsidRPr="003F4CDB">
        <w:t>0.</w:t>
      </w:r>
      <w:r w:rsidR="00A702F9">
        <w:t>39</w:t>
      </w:r>
      <w:r w:rsidR="005E7A94" w:rsidRPr="003F4CDB">
        <w:t>%</w:t>
      </w:r>
      <w:r w:rsidR="008844A2" w:rsidRPr="003F4CDB">
        <w:t xml:space="preserve"> and 0.</w:t>
      </w:r>
      <w:r w:rsidR="00952E0A">
        <w:t>73</w:t>
      </w:r>
      <w:r w:rsidR="006E6EAA" w:rsidRPr="003F4CDB">
        <w:t>%, respectively</w:t>
      </w:r>
      <w:r w:rsidR="005E7A94" w:rsidRPr="003F4CDB">
        <w:t>.</w:t>
      </w:r>
      <w:r w:rsidR="00231BB2" w:rsidRPr="003F4CDB">
        <w:t xml:space="preserve"> The </w:t>
      </w:r>
      <w:r w:rsidR="005E7A94" w:rsidRPr="003F4CDB">
        <w:t xml:space="preserve">benchmark </w:t>
      </w:r>
      <w:r w:rsidR="00022BB4" w:rsidRPr="003F4CDB">
        <w:t>1</w:t>
      </w:r>
      <w:r w:rsidR="0061080D" w:rsidRPr="003F4CDB">
        <w:t xml:space="preserve">0-year treasury </w:t>
      </w:r>
      <w:r w:rsidR="005E7A94" w:rsidRPr="003F4CDB">
        <w:t>yielded</w:t>
      </w:r>
      <w:r w:rsidR="0061080D" w:rsidRPr="003F4CDB">
        <w:t xml:space="preserve"> </w:t>
      </w:r>
      <w:r w:rsidR="008844A2" w:rsidRPr="003F4CDB">
        <w:t>1.</w:t>
      </w:r>
      <w:r w:rsidR="003F4CDB" w:rsidRPr="003F4CDB">
        <w:t>52</w:t>
      </w:r>
      <w:r w:rsidR="0061080D" w:rsidRPr="003F4CDB">
        <w:t>%</w:t>
      </w:r>
      <w:r w:rsidR="005E7A94" w:rsidRPr="003F4CDB">
        <w:t xml:space="preserve"> annually at the</w:t>
      </w:r>
      <w:r w:rsidR="00B65667" w:rsidRPr="003F4CDB">
        <w:t xml:space="preserve"> end of </w:t>
      </w:r>
      <w:r w:rsidR="008844A2" w:rsidRPr="003F4CDB">
        <w:t>the quarter</w:t>
      </w:r>
      <w:r w:rsidR="005E7A94" w:rsidRPr="003F4CDB">
        <w:t xml:space="preserve">, while </w:t>
      </w:r>
      <w:r w:rsidR="00D851AB" w:rsidRPr="003F4CDB">
        <w:t xml:space="preserve">the </w:t>
      </w:r>
      <w:r w:rsidR="00022BB4" w:rsidRPr="003F4CDB">
        <w:t>3</w:t>
      </w:r>
      <w:r w:rsidR="00D851AB" w:rsidRPr="003F4CDB">
        <w:t xml:space="preserve">0-year treasury </w:t>
      </w:r>
      <w:r w:rsidR="00B65667" w:rsidRPr="003F4CDB">
        <w:t>yielded</w:t>
      </w:r>
      <w:r w:rsidR="00D851AB" w:rsidRPr="003F4CDB">
        <w:t xml:space="preserve"> </w:t>
      </w:r>
      <w:r w:rsidR="00952E0A">
        <w:t>1.90</w:t>
      </w:r>
      <w:r w:rsidR="00D851AB" w:rsidRPr="003F4CDB">
        <w:t>%</w:t>
      </w:r>
      <w:r w:rsidR="00AE64EF" w:rsidRPr="003F4CDB">
        <w:rPr>
          <w:color w:val="000000" w:themeColor="text1"/>
        </w:rPr>
        <w:t>.</w:t>
      </w:r>
      <w:r w:rsidR="002301AB" w:rsidRPr="003F4CDB">
        <w:rPr>
          <w:color w:val="000000" w:themeColor="text1"/>
        </w:rPr>
        <w:t xml:space="preserve"> See </w:t>
      </w:r>
      <w:r w:rsidR="002301AB" w:rsidRPr="003F4CDB">
        <w:rPr>
          <w:i/>
          <w:iCs/>
          <w:color w:val="000000" w:themeColor="text1"/>
        </w:rPr>
        <w:t>Appendix – Selected Interest Rates</w:t>
      </w:r>
      <w:r w:rsidR="002301AB" w:rsidRPr="003F4CDB">
        <w:rPr>
          <w:color w:val="000000" w:themeColor="text1"/>
        </w:rPr>
        <w:t xml:space="preserve"> for detailed interest rate data. </w:t>
      </w:r>
    </w:p>
    <w:p w14:paraId="0614E8BB" w14:textId="634AF31F" w:rsidR="004D1C9D" w:rsidRPr="004B5284" w:rsidRDefault="00CA72D5" w:rsidP="005117CA">
      <w:pPr>
        <w:jc w:val="center"/>
      </w:pPr>
      <w:r>
        <w:rPr>
          <w:noProof/>
        </w:rPr>
        <w:drawing>
          <wp:inline distT="0" distB="0" distL="0" distR="0" wp14:anchorId="5284C977" wp14:editId="61B47720">
            <wp:extent cx="3505200" cy="26276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7630"/>
                    </a:xfrm>
                    <a:prstGeom prst="rect">
                      <a:avLst/>
                    </a:prstGeom>
                    <a:noFill/>
                  </pic:spPr>
                </pic:pic>
              </a:graphicData>
            </a:graphic>
          </wp:inline>
        </w:drawing>
      </w:r>
    </w:p>
    <w:p w14:paraId="031CA932" w14:textId="3166CBB7" w:rsidR="00B00681" w:rsidRPr="004B5284" w:rsidRDefault="00171C8E" w:rsidP="00005111">
      <w:r w:rsidRPr="004B5284">
        <w:t xml:space="preserve">In </w:t>
      </w:r>
      <w:r w:rsidR="00B34926" w:rsidRPr="004B5284">
        <w:t xml:space="preserve">the </w:t>
      </w:r>
      <w:r w:rsidR="00952E0A">
        <w:t>4</w:t>
      </w:r>
      <w:r w:rsidR="00952E0A" w:rsidRPr="00952E0A">
        <w:rPr>
          <w:vertAlign w:val="superscript"/>
        </w:rPr>
        <w:t>th</w:t>
      </w:r>
      <w:r w:rsidR="00952E0A">
        <w:t xml:space="preserve"> </w:t>
      </w:r>
      <w:r w:rsidR="00B34926" w:rsidRPr="004B5284">
        <w:t>quarter of 202</w:t>
      </w:r>
      <w:r w:rsidR="005A0EC4" w:rsidRPr="004B5284">
        <w:t>1</w:t>
      </w:r>
      <w:r w:rsidR="00FE4D42" w:rsidRPr="004B5284">
        <w:t>,</w:t>
      </w:r>
      <w:r w:rsidRPr="004B5284">
        <w:t xml:space="preserve"> the Federal Reserve </w:t>
      </w:r>
      <w:r w:rsidR="006B3D25" w:rsidRPr="004B5284">
        <w:t>continued to keep</w:t>
      </w:r>
      <w:r w:rsidR="003376CD" w:rsidRPr="004B5284">
        <w:t xml:space="preserve"> </w:t>
      </w:r>
      <w:r w:rsidR="00D851AB" w:rsidRPr="004B5284">
        <w:t>the federal funds target rate</w:t>
      </w:r>
      <w:r w:rsidR="00740863" w:rsidRPr="004B5284">
        <w:t xml:space="preserve"> </w:t>
      </w:r>
      <w:r w:rsidR="00B34926" w:rsidRPr="004B5284">
        <w:t>steady at</w:t>
      </w:r>
      <w:r w:rsidR="004709B0" w:rsidRPr="004B5284">
        <w:t xml:space="preserve"> </w:t>
      </w:r>
      <w:r w:rsidR="00624AEF" w:rsidRPr="004B5284">
        <w:t xml:space="preserve">a range of </w:t>
      </w:r>
      <w:r w:rsidR="00B65667" w:rsidRPr="004B5284">
        <w:t>0.0</w:t>
      </w:r>
      <w:r w:rsidR="005E7A94" w:rsidRPr="004B5284">
        <w:t>0</w:t>
      </w:r>
      <w:r w:rsidR="00455D78">
        <w:t>%</w:t>
      </w:r>
      <w:r w:rsidR="00624AEF" w:rsidRPr="004B5284">
        <w:t xml:space="preserve"> to </w:t>
      </w:r>
      <w:r w:rsidR="00B65667" w:rsidRPr="004B5284">
        <w:t>0.2</w:t>
      </w:r>
      <w:r w:rsidR="005E7A94" w:rsidRPr="004B5284">
        <w:t>5</w:t>
      </w:r>
      <w:r w:rsidR="00455D78">
        <w:t xml:space="preserve">% </w:t>
      </w:r>
      <w:r w:rsidR="005A0EC4" w:rsidRPr="004B5284">
        <w:t xml:space="preserve">but </w:t>
      </w:r>
      <w:r w:rsidR="00455D78">
        <w:t>reiterated its</w:t>
      </w:r>
      <w:r w:rsidR="001945EC">
        <w:t xml:space="preserve"> plans to</w:t>
      </w:r>
      <w:r w:rsidR="004B5284" w:rsidRPr="004B5284">
        <w:t xml:space="preserve"> increase rates</w:t>
      </w:r>
      <w:r w:rsidR="00455D78">
        <w:t xml:space="preserve"> and phase down</w:t>
      </w:r>
      <w:r w:rsidR="004B5284" w:rsidRPr="004B5284">
        <w:t xml:space="preserve"> its aggressive bond-buying program</w:t>
      </w:r>
      <w:r w:rsidR="00455D78">
        <w:t xml:space="preserve"> in 2022</w:t>
      </w:r>
      <w:r w:rsidR="00A73A66" w:rsidRPr="004B5284">
        <w:t>.</w:t>
      </w:r>
      <w:r w:rsidR="00455D78">
        <w:t xml:space="preserve"> Investors expect the target rates to begin rising in March of 2022.</w:t>
      </w:r>
      <w:r w:rsidR="000B0583" w:rsidRPr="004B5284">
        <w:t xml:space="preserve"> </w:t>
      </w:r>
      <w:r w:rsidR="003F5061" w:rsidRPr="004B5284">
        <w:t>The effective federal funds rate</w:t>
      </w:r>
      <w:r w:rsidR="003F5061" w:rsidRPr="004B5284">
        <w:rPr>
          <w:rStyle w:val="FootnoteReference"/>
        </w:rPr>
        <w:footnoteReference w:id="14"/>
      </w:r>
      <w:r w:rsidR="003F5061" w:rsidRPr="004B5284">
        <w:t xml:space="preserve"> </w:t>
      </w:r>
      <w:r w:rsidR="00455D78">
        <w:t>was unchanged throughout</w:t>
      </w:r>
      <w:r w:rsidR="00A73A66" w:rsidRPr="004B5284">
        <w:t xml:space="preserve"> </w:t>
      </w:r>
      <w:r w:rsidR="005A0EC4" w:rsidRPr="004B5284">
        <w:t xml:space="preserve">the </w:t>
      </w:r>
      <w:r w:rsidR="00455D78">
        <w:t>4</w:t>
      </w:r>
      <w:r w:rsidR="00455D78" w:rsidRPr="00455D78">
        <w:rPr>
          <w:vertAlign w:val="superscript"/>
        </w:rPr>
        <w:t>th</w:t>
      </w:r>
      <w:r w:rsidR="00455D78">
        <w:t xml:space="preserve"> </w:t>
      </w:r>
      <w:r w:rsidR="005A0EC4" w:rsidRPr="004B5284">
        <w:t>quarter</w:t>
      </w:r>
      <w:r w:rsidR="00A73A66" w:rsidRPr="004B5284">
        <w:t xml:space="preserve"> </w:t>
      </w:r>
      <w:r w:rsidR="00455D78">
        <w:t>at</w:t>
      </w:r>
      <w:r w:rsidR="00A73A66" w:rsidRPr="004B5284">
        <w:t xml:space="preserve"> 0.08</w:t>
      </w:r>
      <w:r w:rsidR="00455D78">
        <w:t>%</w:t>
      </w:r>
      <w:r w:rsidR="00A73A66" w:rsidRPr="004B5284">
        <w:t xml:space="preserve">. </w:t>
      </w:r>
    </w:p>
    <w:p w14:paraId="515AD2F7" w14:textId="14EA93A9" w:rsidR="004D1C9D" w:rsidRPr="00D62169" w:rsidRDefault="00B15DE1" w:rsidP="00166C08">
      <w:pPr>
        <w:jc w:val="center"/>
        <w:rPr>
          <w:highlight w:val="yellow"/>
        </w:rPr>
      </w:pPr>
      <w:r w:rsidRPr="00B15DE1">
        <w:rPr>
          <w:noProof/>
        </w:rPr>
        <w:lastRenderedPageBreak/>
        <w:drawing>
          <wp:inline distT="0" distB="0" distL="0" distR="0" wp14:anchorId="77A24C75" wp14:editId="34B8142B">
            <wp:extent cx="3493135" cy="2603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7D026DBE" w14:textId="0635E24B" w:rsidR="004D1C9D" w:rsidRPr="004B5284" w:rsidRDefault="005117CA" w:rsidP="005261C1">
      <w:r w:rsidRPr="004B5284">
        <w:t>T</w:t>
      </w:r>
      <w:r w:rsidR="002978F9" w:rsidRPr="004B5284">
        <w:t xml:space="preserve">he yield on the </w:t>
      </w:r>
      <w:r w:rsidR="0039196F" w:rsidRPr="004B5284">
        <w:t xml:space="preserve">benchmark </w:t>
      </w:r>
      <w:r w:rsidR="002978F9" w:rsidRPr="004B5284">
        <w:t>10-year U.S. treasury</w:t>
      </w:r>
      <w:r w:rsidR="004759DB" w:rsidRPr="004B5284">
        <w:rPr>
          <w:rStyle w:val="FootnoteReference"/>
        </w:rPr>
        <w:footnoteReference w:id="15"/>
      </w:r>
      <w:r w:rsidR="002978F9" w:rsidRPr="004B5284">
        <w:t xml:space="preserve"> </w:t>
      </w:r>
      <w:r w:rsidR="00455D78">
        <w:t>ended the 4</w:t>
      </w:r>
      <w:r w:rsidR="00455D78" w:rsidRPr="00455D78">
        <w:rPr>
          <w:vertAlign w:val="superscript"/>
        </w:rPr>
        <w:t>th</w:t>
      </w:r>
      <w:r w:rsidR="00455D78">
        <w:t xml:space="preserve"> </w:t>
      </w:r>
      <w:r w:rsidRPr="004B5284">
        <w:t>quarter</w:t>
      </w:r>
      <w:r w:rsidR="00A73A66" w:rsidRPr="004B5284">
        <w:t xml:space="preserve"> </w:t>
      </w:r>
      <w:r w:rsidR="00455D78">
        <w:t>at</w:t>
      </w:r>
      <w:r w:rsidR="00A73A66" w:rsidRPr="004B5284">
        <w:t xml:space="preserve"> 1.</w:t>
      </w:r>
      <w:r w:rsidR="004B5284" w:rsidRPr="004B5284">
        <w:t>52</w:t>
      </w:r>
      <w:r w:rsidR="00A73A66" w:rsidRPr="004B5284">
        <w:t xml:space="preserve">%, </w:t>
      </w:r>
      <w:r w:rsidR="00455D78">
        <w:t xml:space="preserve">unchanged from the previous quarter, but </w:t>
      </w:r>
      <w:r w:rsidR="00D22D6A" w:rsidRPr="004B5284">
        <w:t xml:space="preserve">well </w:t>
      </w:r>
      <w:r w:rsidR="00071875" w:rsidRPr="004B5284">
        <w:t xml:space="preserve">below the average yield of </w:t>
      </w:r>
      <w:r w:rsidR="003376CD" w:rsidRPr="004B5284">
        <w:t>4.</w:t>
      </w:r>
      <w:r w:rsidR="004B5284" w:rsidRPr="004B5284">
        <w:t>0</w:t>
      </w:r>
      <w:r w:rsidR="00D23A93">
        <w:t>5</w:t>
      </w:r>
      <w:r w:rsidR="004965CE" w:rsidRPr="004B5284">
        <w:t>% over the last 30 years</w:t>
      </w:r>
      <w:r w:rsidR="00CB629F" w:rsidRPr="004B5284">
        <w:t>.</w:t>
      </w:r>
      <w:r w:rsidR="00A73A66" w:rsidRPr="004B5284">
        <w:t xml:space="preserve"> </w:t>
      </w:r>
    </w:p>
    <w:p w14:paraId="67433862" w14:textId="0711DC7F" w:rsidR="004D1C9D" w:rsidRPr="004B5284" w:rsidRDefault="00B15DE1" w:rsidP="005117CA">
      <w:pPr>
        <w:jc w:val="center"/>
      </w:pPr>
      <w:r>
        <w:rPr>
          <w:noProof/>
        </w:rPr>
        <w:drawing>
          <wp:inline distT="0" distB="0" distL="0" distR="0" wp14:anchorId="54A889B2" wp14:editId="524A4A51">
            <wp:extent cx="3499485" cy="2603500"/>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75A11124" w14:textId="6FAE4574" w:rsidR="001945EC" w:rsidRDefault="00F02B3A" w:rsidP="00460436">
      <w:r w:rsidRPr="001945EC">
        <w:t>Moody’s Baa Corpor</w:t>
      </w:r>
      <w:r w:rsidR="00102080" w:rsidRPr="001945EC">
        <w:t xml:space="preserve">ate Bond Yield </w:t>
      </w:r>
      <w:r w:rsidR="004E3393" w:rsidRPr="001945EC">
        <w:t>Index</w:t>
      </w:r>
      <w:r w:rsidR="004E5EC0" w:rsidRPr="001945EC">
        <w:rPr>
          <w:rStyle w:val="FootnoteReference"/>
        </w:rPr>
        <w:footnoteReference w:id="16"/>
      </w:r>
      <w:r w:rsidR="004E3393" w:rsidRPr="001945EC">
        <w:t xml:space="preserve"> </w:t>
      </w:r>
      <w:r w:rsidR="009D42AA" w:rsidRPr="001945EC">
        <w:t xml:space="preserve">ended the </w:t>
      </w:r>
      <w:r w:rsidR="00455D78">
        <w:t>4</w:t>
      </w:r>
      <w:r w:rsidR="00455D78" w:rsidRPr="00455D78">
        <w:rPr>
          <w:vertAlign w:val="superscript"/>
        </w:rPr>
        <w:t>th</w:t>
      </w:r>
      <w:r w:rsidR="00455D78">
        <w:t xml:space="preserve"> </w:t>
      </w:r>
      <w:r w:rsidR="009D42AA" w:rsidRPr="001945EC">
        <w:t xml:space="preserve">quarter at </w:t>
      </w:r>
      <w:r w:rsidR="009D42AA" w:rsidRPr="00E73654">
        <w:t>3.</w:t>
      </w:r>
      <w:r w:rsidR="00E97314" w:rsidRPr="00E73654">
        <w:t>3</w:t>
      </w:r>
      <w:r w:rsidR="00263EBD" w:rsidRPr="00E73654">
        <w:t>7</w:t>
      </w:r>
      <w:r w:rsidR="009D42AA" w:rsidRPr="00E73654">
        <w:t>%</w:t>
      </w:r>
      <w:r w:rsidR="00F72263" w:rsidRPr="00E73654">
        <w:t>,</w:t>
      </w:r>
      <w:r w:rsidR="009D42AA" w:rsidRPr="001945EC">
        <w:t xml:space="preserve"> </w:t>
      </w:r>
      <w:r w:rsidR="00455D78">
        <w:t>matching</w:t>
      </w:r>
      <w:r w:rsidR="009D42AA" w:rsidRPr="001945EC">
        <w:t xml:space="preserve"> its </w:t>
      </w:r>
      <w:r w:rsidR="00455D78">
        <w:t>3</w:t>
      </w:r>
      <w:r w:rsidR="00F34E7B">
        <w:rPr>
          <w:vertAlign w:val="superscript"/>
        </w:rPr>
        <w:t>rd</w:t>
      </w:r>
      <w:r w:rsidR="00D800BC">
        <w:t xml:space="preserve"> </w:t>
      </w:r>
      <w:r w:rsidR="009D42AA" w:rsidRPr="001945EC">
        <w:t>quarter level</w:t>
      </w:r>
      <w:r w:rsidR="00823E2B" w:rsidRPr="001945EC">
        <w:t xml:space="preserve">. </w:t>
      </w:r>
      <w:r w:rsidR="00261A6E" w:rsidRPr="001945EC">
        <w:t xml:space="preserve">Moody’s </w:t>
      </w:r>
      <w:proofErr w:type="spellStart"/>
      <w:r w:rsidR="00261A6E" w:rsidRPr="001945EC">
        <w:t>Aaa</w:t>
      </w:r>
      <w:proofErr w:type="spellEnd"/>
      <w:r w:rsidR="009D42AA" w:rsidRPr="001945EC">
        <w:rPr>
          <w:rStyle w:val="FootnoteReference"/>
        </w:rPr>
        <w:footnoteReference w:id="17"/>
      </w:r>
      <w:r w:rsidR="00261A6E" w:rsidRPr="001945EC">
        <w:t xml:space="preserve"> Index </w:t>
      </w:r>
      <w:r w:rsidR="00F34E7B">
        <w:t>was similarly little changed,</w:t>
      </w:r>
      <w:r w:rsidR="009D42AA" w:rsidRPr="001945EC">
        <w:t xml:space="preserve"> end</w:t>
      </w:r>
      <w:r w:rsidR="00F34E7B">
        <w:t>ing</w:t>
      </w:r>
      <w:r w:rsidR="009D42AA" w:rsidRPr="001945EC">
        <w:t xml:space="preserve"> the </w:t>
      </w:r>
      <w:r w:rsidR="00D800BC">
        <w:t>4</w:t>
      </w:r>
      <w:r w:rsidR="00D800BC" w:rsidRPr="00D800BC">
        <w:rPr>
          <w:vertAlign w:val="superscript"/>
        </w:rPr>
        <w:t>th</w:t>
      </w:r>
      <w:r w:rsidR="00D800BC">
        <w:t xml:space="preserve"> </w:t>
      </w:r>
      <w:r w:rsidR="009D42AA" w:rsidRPr="001945EC">
        <w:t>quarter at 2.</w:t>
      </w:r>
      <w:r w:rsidR="00263EBD">
        <w:t>7</w:t>
      </w:r>
      <w:r w:rsidR="00F34E7B">
        <w:t>1</w:t>
      </w:r>
      <w:r w:rsidR="00261A6E" w:rsidRPr="001945EC">
        <w:t>%</w:t>
      </w:r>
      <w:r w:rsidR="009D42AA" w:rsidRPr="001945EC">
        <w:t>, compared to 2.</w:t>
      </w:r>
      <w:r w:rsidR="00F34E7B">
        <w:t>70</w:t>
      </w:r>
      <w:r w:rsidR="009D42AA" w:rsidRPr="001945EC">
        <w:t>% in the previous quarter</w:t>
      </w:r>
      <w:r w:rsidR="00261A6E" w:rsidRPr="001945EC">
        <w:t>.</w:t>
      </w:r>
    </w:p>
    <w:p w14:paraId="62B8B6AA" w14:textId="6A983A98" w:rsidR="00A96A6A" w:rsidRDefault="00261A6E" w:rsidP="00460436">
      <w:r w:rsidRPr="001945EC">
        <w:t>Starting in March of 2020, the Federal Reserve took the unprecedented measure of</w:t>
      </w:r>
      <w:r w:rsidR="003412DA" w:rsidRPr="001945EC">
        <w:t xml:space="preserve"> building</w:t>
      </w:r>
      <w:r w:rsidRPr="001945EC">
        <w:t xml:space="preserve"> a portfolio of corporate bonds, effectively </w:t>
      </w:r>
      <w:r w:rsidR="007A4896" w:rsidRPr="001945EC">
        <w:t xml:space="preserve">backstopping </w:t>
      </w:r>
      <w:r w:rsidRPr="001945EC">
        <w:t xml:space="preserve">the corporate bond market. Shortly after doing so, the riskier Baa index reversed its yield spike and began to fall lower. The move was </w:t>
      </w:r>
      <w:r w:rsidRPr="001945EC">
        <w:lastRenderedPageBreak/>
        <w:t xml:space="preserve">less dramatic for </w:t>
      </w:r>
      <w:proofErr w:type="spellStart"/>
      <w:r w:rsidRPr="001945EC">
        <w:t>Aaa</w:t>
      </w:r>
      <w:proofErr w:type="spellEnd"/>
      <w:r w:rsidRPr="001945EC">
        <w:t xml:space="preserve">, but both markets </w:t>
      </w:r>
      <w:r w:rsidR="003412DA" w:rsidRPr="001945EC">
        <w:t>were</w:t>
      </w:r>
      <w:r w:rsidRPr="001945EC">
        <w:t xml:space="preserve"> affected </w:t>
      </w:r>
      <w:r w:rsidR="003412DA" w:rsidRPr="001945EC">
        <w:t xml:space="preserve">directly </w:t>
      </w:r>
      <w:r w:rsidRPr="001945EC">
        <w:t xml:space="preserve">by the Fed’s </w:t>
      </w:r>
      <w:r w:rsidR="003412DA" w:rsidRPr="001945EC">
        <w:t xml:space="preserve">$13 billion portfolio, as well as by its expansionary operations in 2020. </w:t>
      </w:r>
      <w:r w:rsidR="001945EC" w:rsidRPr="00132201">
        <w:t>T</w:t>
      </w:r>
      <w:r w:rsidR="003412DA" w:rsidRPr="00132201">
        <w:t xml:space="preserve">he Fed </w:t>
      </w:r>
      <w:r w:rsidR="00F34E7B">
        <w:t>indicated in December 2021</w:t>
      </w:r>
      <w:r w:rsidR="001945EC" w:rsidRPr="00132201">
        <w:t xml:space="preserve"> </w:t>
      </w:r>
      <w:r w:rsidR="003412DA" w:rsidRPr="00132201">
        <w:t>that it</w:t>
      </w:r>
      <w:r w:rsidR="001945EC" w:rsidRPr="00132201">
        <w:t xml:space="preserve">s gradual sell-off of </w:t>
      </w:r>
      <w:r w:rsidR="003412DA" w:rsidRPr="00132201">
        <w:t>its bond holdings</w:t>
      </w:r>
      <w:r w:rsidR="001945EC" w:rsidRPr="00132201">
        <w:t xml:space="preserve"> </w:t>
      </w:r>
      <w:r w:rsidR="00F34E7B">
        <w:t>would likely begin shortly after its first target rate increase, widely expected in early 2022. The tapering</w:t>
      </w:r>
      <w:r w:rsidR="003412DA" w:rsidRPr="00132201">
        <w:t xml:space="preserve"> could put </w:t>
      </w:r>
      <w:r w:rsidR="001945EC" w:rsidRPr="00132201">
        <w:t>temporary</w:t>
      </w:r>
      <w:r w:rsidR="003412DA" w:rsidRPr="00132201">
        <w:t xml:space="preserve"> upward pressure on yields, especially for the riskier Baa index.</w:t>
      </w:r>
    </w:p>
    <w:p w14:paraId="7CE57D35" w14:textId="6D3EA53F" w:rsidR="005117CA" w:rsidRDefault="00D77292" w:rsidP="005117CA">
      <w:pPr>
        <w:jc w:val="center"/>
      </w:pPr>
      <w:r>
        <w:rPr>
          <w:noProof/>
        </w:rPr>
        <w:drawing>
          <wp:inline distT="0" distB="0" distL="0" distR="0" wp14:anchorId="6ABFE210" wp14:editId="30ACB8EA">
            <wp:extent cx="3493135" cy="26035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149D5F2F" w14:textId="479C442E" w:rsidR="00005111" w:rsidRDefault="00005111" w:rsidP="005261C1">
      <w:pPr>
        <w:pStyle w:val="Heading1"/>
      </w:pPr>
      <w:r>
        <w:t>Employment</w:t>
      </w:r>
    </w:p>
    <w:p w14:paraId="6A12E6BF" w14:textId="1B9DE956" w:rsidR="003412DA" w:rsidRDefault="003412DA" w:rsidP="003412DA">
      <w:r w:rsidRPr="003412DA">
        <w:t>The official unemployment rate</w:t>
      </w:r>
      <w:r w:rsidR="009D7CB0">
        <w:rPr>
          <w:rStyle w:val="FootnoteReference"/>
        </w:rPr>
        <w:footnoteReference w:id="18"/>
      </w:r>
      <w:r w:rsidRPr="003412DA">
        <w:t xml:space="preserve"> </w:t>
      </w:r>
      <w:r w:rsidR="00D62169">
        <w:t xml:space="preserve">fell to </w:t>
      </w:r>
      <w:r w:rsidR="00F34E7B">
        <w:t>3.9</w:t>
      </w:r>
      <w:r w:rsidRPr="003412DA">
        <w:t>%</w:t>
      </w:r>
      <w:r w:rsidR="00D62169">
        <w:t xml:space="preserve"> in </w:t>
      </w:r>
      <w:r w:rsidR="00F34E7B">
        <w:t>December</w:t>
      </w:r>
      <w:r w:rsidR="00D62169">
        <w:t xml:space="preserve"> 2021</w:t>
      </w:r>
      <w:r w:rsidR="006F1876">
        <w:t xml:space="preserve">, continuing its downward trend toward </w:t>
      </w:r>
      <w:r w:rsidR="00A83C79">
        <w:t xml:space="preserve">its </w:t>
      </w:r>
      <w:r w:rsidR="006F1876">
        <w:t xml:space="preserve">pre-pandemic level and outperforming its 30-year average of 5.9%. </w:t>
      </w:r>
      <w:r w:rsidR="006859BA">
        <w:t>However, the labor force</w:t>
      </w:r>
      <w:r w:rsidR="006859BA">
        <w:rPr>
          <w:rStyle w:val="FootnoteReference"/>
        </w:rPr>
        <w:footnoteReference w:id="19"/>
      </w:r>
      <w:r w:rsidR="006859BA">
        <w:t xml:space="preserve"> remained </w:t>
      </w:r>
      <w:r w:rsidR="006F1876">
        <w:t>2.3</w:t>
      </w:r>
      <w:r w:rsidR="006859BA">
        <w:t xml:space="preserve"> million workers smaller since February 2020, with a labor force participation rate</w:t>
      </w:r>
      <w:r w:rsidR="006859BA">
        <w:rPr>
          <w:rStyle w:val="FootnoteReference"/>
        </w:rPr>
        <w:footnoteReference w:id="20"/>
      </w:r>
      <w:r w:rsidR="006859BA">
        <w:t xml:space="preserve"> of just 61.</w:t>
      </w:r>
      <w:r w:rsidR="006F1876">
        <w:t>9</w:t>
      </w:r>
      <w:r w:rsidR="00A83C79">
        <w:t>%</w:t>
      </w:r>
      <w:r w:rsidR="006859BA">
        <w:t xml:space="preserve">. Prior to the COVID-19 pandemic, the last time labor force participation was that low in the U.S. was </w:t>
      </w:r>
      <w:r w:rsidR="006F1876">
        <w:t>February</w:t>
      </w:r>
      <w:r w:rsidR="006859BA">
        <w:t xml:space="preserve"> 1977. </w:t>
      </w:r>
      <w:r w:rsidR="00D62169">
        <w:t>E</w:t>
      </w:r>
      <w:r w:rsidRPr="003412DA">
        <w:t xml:space="preserve">conomists </w:t>
      </w:r>
      <w:r w:rsidR="006859BA">
        <w:t>polled by</w:t>
      </w:r>
      <w:r w:rsidR="00D62169">
        <w:t xml:space="preserve"> </w:t>
      </w:r>
      <w:r w:rsidRPr="003412DA">
        <w:t>the Livingston Survey</w:t>
      </w:r>
      <w:r w:rsidR="00C7535D">
        <w:rPr>
          <w:rStyle w:val="FootnoteReference"/>
        </w:rPr>
        <w:footnoteReference w:id="21"/>
      </w:r>
      <w:r w:rsidRPr="003412DA">
        <w:t xml:space="preserve"> </w:t>
      </w:r>
      <w:r w:rsidR="00D62169">
        <w:t xml:space="preserve">in </w:t>
      </w:r>
      <w:r w:rsidR="006F1876">
        <w:t>December</w:t>
      </w:r>
      <w:r w:rsidR="00D62169">
        <w:t xml:space="preserve"> projected</w:t>
      </w:r>
      <w:r w:rsidRPr="003412DA">
        <w:t xml:space="preserve"> </w:t>
      </w:r>
      <w:r w:rsidR="006F1876">
        <w:t>an unemployment rate of</w:t>
      </w:r>
      <w:r w:rsidRPr="003412DA">
        <w:t xml:space="preserve"> 4.</w:t>
      </w:r>
      <w:r w:rsidR="00D800BC">
        <w:t>0</w:t>
      </w:r>
      <w:r w:rsidRPr="003412DA">
        <w:t>%</w:t>
      </w:r>
      <w:r w:rsidR="00D62169">
        <w:t xml:space="preserve"> </w:t>
      </w:r>
      <w:r w:rsidR="006F1876">
        <w:t>in</w:t>
      </w:r>
      <w:r w:rsidR="00D62169">
        <w:t xml:space="preserve"> </w:t>
      </w:r>
      <w:r w:rsidR="00D800BC">
        <w:t>June</w:t>
      </w:r>
      <w:r w:rsidR="00D62169">
        <w:t xml:space="preserve"> 202</w:t>
      </w:r>
      <w:r w:rsidR="00D800BC">
        <w:t>2</w:t>
      </w:r>
      <w:r w:rsidR="006F1876">
        <w:t xml:space="preserve">, </w:t>
      </w:r>
      <w:r w:rsidR="00D62169">
        <w:t xml:space="preserve">declining to </w:t>
      </w:r>
      <w:r w:rsidR="006F1876">
        <w:t>3.8</w:t>
      </w:r>
      <w:r w:rsidRPr="003412DA">
        <w:t xml:space="preserve">% in </w:t>
      </w:r>
      <w:r w:rsidR="006F1876">
        <w:t>December</w:t>
      </w:r>
      <w:r w:rsidRPr="003412DA">
        <w:t xml:space="preserve"> 202</w:t>
      </w:r>
      <w:r w:rsidR="00D62169">
        <w:t>2</w:t>
      </w:r>
      <w:r w:rsidRPr="003412DA">
        <w:t xml:space="preserve">. </w:t>
      </w:r>
    </w:p>
    <w:p w14:paraId="4B4FCC94" w14:textId="19998967" w:rsidR="00D029B3" w:rsidRDefault="00F361C0" w:rsidP="003412DA">
      <w:r>
        <w:t>In what is becoming known as The Great Resignation, n</w:t>
      </w:r>
      <w:r w:rsidR="00D029B3">
        <w:t>onfarm worker quits</w:t>
      </w:r>
      <w:r w:rsidR="00D029B3">
        <w:rPr>
          <w:rStyle w:val="FootnoteReference"/>
        </w:rPr>
        <w:footnoteReference w:id="22"/>
      </w:r>
      <w:r w:rsidR="00D029B3">
        <w:t xml:space="preserve"> set their fifth record in eight months in November 2021, with 4.5 million workers handing in their notice. The number of quits jumped 8.9% from the prior month and </w:t>
      </w:r>
      <w:r>
        <w:t xml:space="preserve">37.3% from November 2020. The unprecedented level of resignations has been attributed to disparate reasons, with burnout, </w:t>
      </w:r>
      <w:r>
        <w:lastRenderedPageBreak/>
        <w:t xml:space="preserve">anxiety, and dissatisfaction arising from the COVID-19 pandemic on the one hand, and increased opportunities on the other. Even as quits set record highs, job openings outnumber </w:t>
      </w:r>
      <w:proofErr w:type="gramStart"/>
      <w:r>
        <w:t>job-seekers</w:t>
      </w:r>
      <w:proofErr w:type="gramEnd"/>
      <w:r>
        <w:t xml:space="preserve"> by approximately 1.5 times, according to some estimates.</w:t>
      </w:r>
    </w:p>
    <w:p w14:paraId="799A9D83" w14:textId="7B5795CB" w:rsidR="009526E8" w:rsidRDefault="00D77292" w:rsidP="009526E8">
      <w:pPr>
        <w:jc w:val="center"/>
      </w:pPr>
      <w:r>
        <w:rPr>
          <w:noProof/>
        </w:rPr>
        <w:drawing>
          <wp:inline distT="0" distB="0" distL="0" distR="0" wp14:anchorId="5757D31C" wp14:editId="6540A06E">
            <wp:extent cx="3493135" cy="26035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51205F54" w14:textId="7D5F4CF7" w:rsidR="007A4896" w:rsidRDefault="007A4896" w:rsidP="007A4896">
      <w:r w:rsidRPr="003412DA">
        <w:t xml:space="preserve">The U-6 </w:t>
      </w:r>
      <w:r w:rsidR="00895002">
        <w:t xml:space="preserve">unemployment </w:t>
      </w:r>
      <w:r w:rsidRPr="003412DA">
        <w:t>rate</w:t>
      </w:r>
      <w:r w:rsidR="009D7CB0">
        <w:rPr>
          <w:rStyle w:val="FootnoteReference"/>
        </w:rPr>
        <w:footnoteReference w:id="23"/>
      </w:r>
      <w:r w:rsidRPr="003412DA">
        <w:t xml:space="preserve"> is an alternative measure of unemployment with a broader definition, </w:t>
      </w:r>
      <w:r w:rsidR="001F297B">
        <w:t>including such groups</w:t>
      </w:r>
      <w:r w:rsidRPr="003412DA">
        <w:t xml:space="preserve"> as discouraged workers who are not actively searching for jobs but want full-time work and part-time workers who want full-time work. The U</w:t>
      </w:r>
      <w:r w:rsidRPr="003412DA">
        <w:noBreakHyphen/>
        <w:t xml:space="preserve">6 </w:t>
      </w:r>
      <w:r w:rsidR="00895002">
        <w:t xml:space="preserve">unemployment </w:t>
      </w:r>
      <w:r w:rsidRPr="003412DA">
        <w:t>rate has generally followed the same pattern as the official rate</w:t>
      </w:r>
      <w:r w:rsidR="001F297B">
        <w:t xml:space="preserve">; it fell to </w:t>
      </w:r>
      <w:r w:rsidR="006528B7">
        <w:t>7.3</w:t>
      </w:r>
      <w:r w:rsidR="001F297B">
        <w:t xml:space="preserve">% in </w:t>
      </w:r>
      <w:r w:rsidR="006528B7">
        <w:t>December</w:t>
      </w:r>
      <w:r w:rsidR="001F297B">
        <w:t xml:space="preserve"> 2021, its lowest level since February 2020, prior to the onset of the COVID-19 pandemic</w:t>
      </w:r>
      <w:r w:rsidRPr="003412DA">
        <w:t>.</w:t>
      </w:r>
    </w:p>
    <w:p w14:paraId="6B09010C" w14:textId="052855D3" w:rsidR="007A4896" w:rsidRDefault="00D77292" w:rsidP="004846E4">
      <w:pPr>
        <w:jc w:val="center"/>
      </w:pPr>
      <w:r>
        <w:rPr>
          <w:noProof/>
        </w:rPr>
        <w:drawing>
          <wp:inline distT="0" distB="0" distL="0" distR="0" wp14:anchorId="7F014DB1" wp14:editId="1248927C">
            <wp:extent cx="3493135" cy="2603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603500"/>
                    </a:xfrm>
                    <a:prstGeom prst="rect">
                      <a:avLst/>
                    </a:prstGeom>
                    <a:noFill/>
                  </pic:spPr>
                </pic:pic>
              </a:graphicData>
            </a:graphic>
          </wp:inline>
        </w:drawing>
      </w:r>
    </w:p>
    <w:p w14:paraId="2A158EAA" w14:textId="69154686" w:rsidR="003412DA" w:rsidRPr="003412DA" w:rsidRDefault="009D7CB0" w:rsidP="003412DA">
      <w:r>
        <w:lastRenderedPageBreak/>
        <w:t>Nonfarm p</w:t>
      </w:r>
      <w:r w:rsidR="003412DA">
        <w:t>ayrolls</w:t>
      </w:r>
      <w:r>
        <w:rPr>
          <w:rStyle w:val="FootnoteReference"/>
        </w:rPr>
        <w:footnoteReference w:id="24"/>
      </w:r>
      <w:r w:rsidR="003412DA">
        <w:t xml:space="preserve"> grew by </w:t>
      </w:r>
      <w:r w:rsidR="00A14C86">
        <w:t>1.</w:t>
      </w:r>
      <w:r w:rsidR="006528B7">
        <w:t>1</w:t>
      </w:r>
      <w:r w:rsidR="003412DA">
        <w:t xml:space="preserve"> million jobs in </w:t>
      </w:r>
      <w:r w:rsidR="008A7107">
        <w:t xml:space="preserve">the </w:t>
      </w:r>
      <w:r w:rsidR="006528B7">
        <w:t>4</w:t>
      </w:r>
      <w:r w:rsidR="006528B7" w:rsidRPr="006528B7">
        <w:rPr>
          <w:vertAlign w:val="superscript"/>
        </w:rPr>
        <w:t>th</w:t>
      </w:r>
      <w:r w:rsidR="006528B7">
        <w:t xml:space="preserve"> </w:t>
      </w:r>
      <w:r w:rsidR="008A7107">
        <w:t>quarter,</w:t>
      </w:r>
      <w:r w:rsidR="00A14C86">
        <w:t xml:space="preserve"> </w:t>
      </w:r>
      <w:r w:rsidR="008A7107">
        <w:t xml:space="preserve">although the job gains slowed later in the quarter. </w:t>
      </w:r>
      <w:r w:rsidR="00BD4FA3">
        <w:t>U.S.</w:t>
      </w:r>
      <w:r w:rsidR="008A7107">
        <w:t xml:space="preserve"> nonfarm payrolls </w:t>
      </w:r>
      <w:r w:rsidR="00F72263">
        <w:t xml:space="preserve">in </w:t>
      </w:r>
      <w:r w:rsidR="006528B7">
        <w:t>December</w:t>
      </w:r>
      <w:r w:rsidR="00F72263">
        <w:t xml:space="preserve"> 2021 totaled</w:t>
      </w:r>
      <w:r w:rsidR="008A7107">
        <w:t xml:space="preserve"> </w:t>
      </w:r>
      <w:r w:rsidR="006528B7">
        <w:t>149.0</w:t>
      </w:r>
      <w:r w:rsidR="008A7107">
        <w:t>, up</w:t>
      </w:r>
      <w:r w:rsidR="00A14C86">
        <w:t xml:space="preserve"> </w:t>
      </w:r>
      <w:r w:rsidR="006528B7">
        <w:t>6.4</w:t>
      </w:r>
      <w:r w:rsidR="00A14C86">
        <w:t xml:space="preserve"> million compared to the same period last year</w:t>
      </w:r>
      <w:r w:rsidR="003412DA">
        <w:t>,</w:t>
      </w:r>
      <w:r w:rsidR="008A7107">
        <w:t xml:space="preserve"> yet still </w:t>
      </w:r>
      <w:r w:rsidR="006528B7">
        <w:t>3.6</w:t>
      </w:r>
      <w:r w:rsidR="00F72263">
        <w:t xml:space="preserve"> </w:t>
      </w:r>
      <w:r w:rsidR="008A7107">
        <w:t>million jobs below</w:t>
      </w:r>
      <w:r w:rsidR="003412DA">
        <w:t xml:space="preserve"> </w:t>
      </w:r>
      <w:r w:rsidR="008A7107">
        <w:t>their pre-pandemic (</w:t>
      </w:r>
      <w:r w:rsidR="00F72263">
        <w:t>Feb</w:t>
      </w:r>
      <w:r w:rsidR="008A7107">
        <w:t>r</w:t>
      </w:r>
      <w:r w:rsidR="00F72263">
        <w:t>uary</w:t>
      </w:r>
      <w:r w:rsidR="008A7107">
        <w:t xml:space="preserve"> 2020) levels</w:t>
      </w:r>
      <w:r w:rsidR="003412DA">
        <w:t xml:space="preserve">. </w:t>
      </w:r>
    </w:p>
    <w:p w14:paraId="1926EEEC" w14:textId="42CAC701" w:rsidR="0017576B" w:rsidRDefault="00ED2A9A" w:rsidP="009526E8">
      <w:pPr>
        <w:jc w:val="center"/>
      </w:pPr>
      <w:r>
        <w:rPr>
          <w:noProof/>
        </w:rPr>
        <w:drawing>
          <wp:inline distT="0" distB="0" distL="0" distR="0" wp14:anchorId="2E7E54F2" wp14:editId="69CEEF9A">
            <wp:extent cx="3858895" cy="2603500"/>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895" cy="2603500"/>
                    </a:xfrm>
                    <a:prstGeom prst="rect">
                      <a:avLst/>
                    </a:prstGeom>
                    <a:noFill/>
                  </pic:spPr>
                </pic:pic>
              </a:graphicData>
            </a:graphic>
          </wp:inline>
        </w:drawing>
      </w:r>
    </w:p>
    <w:p w14:paraId="149D5F38" w14:textId="77777777" w:rsidR="00005111" w:rsidRDefault="00005111" w:rsidP="001475FF">
      <w:pPr>
        <w:pStyle w:val="Heading1"/>
      </w:pPr>
      <w:r>
        <w:t>Inflation</w:t>
      </w:r>
    </w:p>
    <w:p w14:paraId="52A0C1E8" w14:textId="495BD4A3" w:rsidR="00176F91" w:rsidRDefault="00152215" w:rsidP="00005111">
      <w:r>
        <w:t>After</w:t>
      </w:r>
      <w:r w:rsidR="000D4AF1">
        <w:t xml:space="preserve"> many </w:t>
      </w:r>
      <w:r>
        <w:t xml:space="preserve">tame </w:t>
      </w:r>
      <w:r w:rsidR="000D4AF1">
        <w:t xml:space="preserve">years, inflation is </w:t>
      </w:r>
      <w:r w:rsidR="006528B7">
        <w:t>now at the forefront of the economic conversation</w:t>
      </w:r>
      <w:r w:rsidR="000D4AF1">
        <w:t xml:space="preserve">. </w:t>
      </w:r>
      <w:r w:rsidR="00661AA7">
        <w:t>The Consumer Price Index</w:t>
      </w:r>
      <w:r w:rsidR="009B52AF">
        <w:rPr>
          <w:rStyle w:val="FootnoteReference"/>
        </w:rPr>
        <w:footnoteReference w:id="25"/>
      </w:r>
      <w:r w:rsidR="00661AA7">
        <w:t xml:space="preserve"> </w:t>
      </w:r>
      <w:r w:rsidR="004E1574">
        <w:t>rose</w:t>
      </w:r>
      <w:r w:rsidR="000D4AF1">
        <w:t xml:space="preserve"> </w:t>
      </w:r>
      <w:r w:rsidR="006528B7">
        <w:t>7.1</w:t>
      </w:r>
      <w:r w:rsidR="000D4AF1">
        <w:t xml:space="preserve">% year-over-year in </w:t>
      </w:r>
      <w:r w:rsidR="006528B7">
        <w:t>December</w:t>
      </w:r>
      <w:r w:rsidR="00B36811">
        <w:t xml:space="preserve">, its fastest growth </w:t>
      </w:r>
      <w:r w:rsidR="006528B7">
        <w:t>since June of 1982</w:t>
      </w:r>
      <w:r w:rsidR="002E0F29">
        <w:t>. Excluding volatile energy prices</w:t>
      </w:r>
      <w:r w:rsidR="00EF1F20">
        <w:rPr>
          <w:rStyle w:val="FootnoteReference"/>
        </w:rPr>
        <w:footnoteReference w:id="26"/>
      </w:r>
      <w:r w:rsidR="002E0F29">
        <w:t>, the index rose</w:t>
      </w:r>
      <w:r w:rsidR="003A2900">
        <w:t xml:space="preserve"> </w:t>
      </w:r>
      <w:r w:rsidR="00EF1F20">
        <w:t>5.6</w:t>
      </w:r>
      <w:r w:rsidR="000D4AF1">
        <w:t>%. Notably, the price</w:t>
      </w:r>
      <w:r w:rsidR="005C22CA">
        <w:t xml:space="preserve"> of a gallon of gas</w:t>
      </w:r>
      <w:r w:rsidR="003A2900">
        <w:rPr>
          <w:rStyle w:val="FootnoteReference"/>
        </w:rPr>
        <w:footnoteReference w:id="27"/>
      </w:r>
      <w:r w:rsidR="005C22CA">
        <w:t xml:space="preserve"> </w:t>
      </w:r>
      <w:r w:rsidR="00A83C79">
        <w:t>jumped</w:t>
      </w:r>
      <w:r w:rsidR="000D4AF1">
        <w:t xml:space="preserve"> </w:t>
      </w:r>
      <w:r w:rsidR="00EF1F20">
        <w:t>57</w:t>
      </w:r>
      <w:r w:rsidR="000D4AF1">
        <w:t>%</w:t>
      </w:r>
      <w:r w:rsidR="003A2900">
        <w:t xml:space="preserve"> from a national average of $2.1</w:t>
      </w:r>
      <w:r w:rsidR="00EF1F20">
        <w:t>7</w:t>
      </w:r>
      <w:r w:rsidR="003A2900">
        <w:t xml:space="preserve"> in </w:t>
      </w:r>
      <w:r w:rsidR="00EF1F20">
        <w:t>December</w:t>
      </w:r>
      <w:r w:rsidR="003A2900">
        <w:t xml:space="preserve"> 2020 to $3.</w:t>
      </w:r>
      <w:r w:rsidR="00EF1F20">
        <w:t>41</w:t>
      </w:r>
      <w:r w:rsidR="003A2900">
        <w:t xml:space="preserve"> in </w:t>
      </w:r>
      <w:r w:rsidR="00EF1F20">
        <w:t>December</w:t>
      </w:r>
      <w:r w:rsidR="003A2900">
        <w:t xml:space="preserve"> 2021</w:t>
      </w:r>
      <w:r w:rsidR="000D4AF1">
        <w:t>.</w:t>
      </w:r>
      <w:r w:rsidR="004E1574">
        <w:t xml:space="preserve"> </w:t>
      </w:r>
      <w:r w:rsidR="000D4AF1">
        <w:t>The Federal Reserve</w:t>
      </w:r>
      <w:r w:rsidR="00EF1F20">
        <w:t>, attributing the inflationary pressure to ebullient demand outpacing constrained supply chains</w:t>
      </w:r>
      <w:r w:rsidR="002E0F29">
        <w:t>,</w:t>
      </w:r>
      <w:r w:rsidR="000D4AF1">
        <w:t xml:space="preserve"> </w:t>
      </w:r>
      <w:r w:rsidR="00EF1F20">
        <w:t>further developed plans to</w:t>
      </w:r>
      <w:r w:rsidR="002E0F29">
        <w:t xml:space="preserve"> withdraw economic supports in the coming </w:t>
      </w:r>
      <w:r w:rsidR="00EF1F20">
        <w:t>year</w:t>
      </w:r>
      <w:r w:rsidR="00450276">
        <w:t xml:space="preserve">. </w:t>
      </w:r>
      <w:r w:rsidR="00F376E4">
        <w:t>Currently the Fed’s main tools are the target interest rates and a gradual selloff of its massive bond holdings</w:t>
      </w:r>
      <w:r w:rsidR="00A83C79">
        <w:t xml:space="preserve">, </w:t>
      </w:r>
      <w:r w:rsidR="00A94F52">
        <w:t>in contrast to historical inflationary spikes when the Fed relied on blunter and less predictable tools such as manipulating the supply of circulating currency.</w:t>
      </w:r>
    </w:p>
    <w:p w14:paraId="3ED812A9" w14:textId="3FEA2593" w:rsidR="00176F91" w:rsidRDefault="00ED2A9A" w:rsidP="009526E8">
      <w:pPr>
        <w:jc w:val="center"/>
      </w:pPr>
      <w:r>
        <w:rPr>
          <w:noProof/>
        </w:rPr>
        <w:lastRenderedPageBreak/>
        <w:drawing>
          <wp:inline distT="0" distB="0" distL="0" distR="0" wp14:anchorId="7D3F7294" wp14:editId="77EFA717">
            <wp:extent cx="3499485" cy="2603500"/>
            <wp:effectExtent l="0" t="0" r="571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3E" w14:textId="24F7B3BC" w:rsidR="00A11CAC" w:rsidRDefault="00A17C3A" w:rsidP="006F7FB2">
      <w:r w:rsidRPr="00507B5A">
        <w:t>The Producer Price Index</w:t>
      </w:r>
      <w:r w:rsidR="009B52AF" w:rsidRPr="00507B5A">
        <w:rPr>
          <w:rStyle w:val="FootnoteReference"/>
        </w:rPr>
        <w:footnoteReference w:id="28"/>
      </w:r>
      <w:r w:rsidRPr="00507B5A">
        <w:t xml:space="preserve"> </w:t>
      </w:r>
      <w:r w:rsidR="00A94F52">
        <w:t>fell 0.9% in December, the first o</w:t>
      </w:r>
      <w:r w:rsidRPr="00507B5A">
        <w:t>ver</w:t>
      </w:r>
      <w:r w:rsidR="00A94F52">
        <w:t>-</w:t>
      </w:r>
      <w:r w:rsidRPr="00507B5A">
        <w:t>the</w:t>
      </w:r>
      <w:r w:rsidR="00A94F52">
        <w:t>-</w:t>
      </w:r>
      <w:r w:rsidR="00235B28" w:rsidRPr="00507B5A">
        <w:t xml:space="preserve">month </w:t>
      </w:r>
      <w:r w:rsidR="00A94F52">
        <w:t>decline since April 2020</w:t>
      </w:r>
      <w:r w:rsidRPr="00507B5A">
        <w:t>.</w:t>
      </w:r>
      <w:r w:rsidR="00235B28" w:rsidRPr="00507B5A">
        <w:t xml:space="preserve"> </w:t>
      </w:r>
      <w:r w:rsidR="00A94F52">
        <w:t>Still, t</w:t>
      </w:r>
      <w:r w:rsidR="00235B28" w:rsidRPr="00507B5A">
        <w:t>he PPI was 20.</w:t>
      </w:r>
      <w:r w:rsidR="00A94F52">
        <w:t>2</w:t>
      </w:r>
      <w:r w:rsidR="00235B28" w:rsidRPr="00507B5A">
        <w:t xml:space="preserve">% higher in </w:t>
      </w:r>
      <w:r w:rsidR="00A94F52">
        <w:t>December</w:t>
      </w:r>
      <w:r w:rsidR="00235B28" w:rsidRPr="00507B5A">
        <w:t xml:space="preserve"> than one year prior, well above the </w:t>
      </w:r>
      <w:r w:rsidR="00507B5A" w:rsidRPr="00507B5A">
        <w:t>2.</w:t>
      </w:r>
      <w:r w:rsidR="00981BE4">
        <w:t>4</w:t>
      </w:r>
      <w:r w:rsidR="00507B5A" w:rsidRPr="00507B5A">
        <w:t xml:space="preserve">% </w:t>
      </w:r>
      <w:r w:rsidR="00235B28" w:rsidRPr="00507B5A">
        <w:t>average annual increase over the last 30 years.</w:t>
      </w:r>
    </w:p>
    <w:p w14:paraId="149D5F40" w14:textId="51FA11CA" w:rsidR="00B94E68" w:rsidRPr="005232D6" w:rsidRDefault="00ED2A9A" w:rsidP="00166C08">
      <w:pPr>
        <w:jc w:val="center"/>
      </w:pPr>
      <w:r>
        <w:rPr>
          <w:noProof/>
        </w:rPr>
        <w:drawing>
          <wp:inline distT="0" distB="0" distL="0" distR="0" wp14:anchorId="2466852F" wp14:editId="784D8BD3">
            <wp:extent cx="3499485" cy="2603500"/>
            <wp:effectExtent l="0" t="0" r="571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49137979" w14:textId="5E170D0C" w:rsidR="00661AA7" w:rsidRPr="005232D6" w:rsidRDefault="00661AA7" w:rsidP="00661AA7">
      <w:pPr>
        <w:rPr>
          <w:color w:val="000000" w:themeColor="text1"/>
        </w:rPr>
      </w:pPr>
      <w:r w:rsidRPr="005232D6">
        <w:rPr>
          <w:color w:val="000000" w:themeColor="text1"/>
        </w:rPr>
        <w:t>Treasury Inflation-Protected Securities (TIPS) are a longer-term Treasury debt instrument which pays a fixed interest rate but adjusts the principal value according to inflation, effectively indexing interest payments to inflation. TIPS have continued to sell at a premium, reflecting higher inflation expectations for the future</w:t>
      </w:r>
      <w:r w:rsidR="005232D6" w:rsidRPr="005232D6">
        <w:rPr>
          <w:color w:val="000000" w:themeColor="text1"/>
        </w:rPr>
        <w:t xml:space="preserve">; however, rising supply and falling demand are expected once the Fed moves to combat inflation through bond </w:t>
      </w:r>
      <w:r w:rsidR="00B6639B" w:rsidRPr="005232D6">
        <w:rPr>
          <w:color w:val="000000" w:themeColor="text1"/>
        </w:rPr>
        <w:t>selloffs</w:t>
      </w:r>
      <w:r w:rsidRPr="005232D6">
        <w:rPr>
          <w:color w:val="000000" w:themeColor="text1"/>
        </w:rPr>
        <w:t xml:space="preserve">. The 5-year </w:t>
      </w:r>
      <w:r w:rsidR="00031DA4" w:rsidRPr="005232D6">
        <w:rPr>
          <w:color w:val="000000" w:themeColor="text1"/>
        </w:rPr>
        <w:t>breakeven</w:t>
      </w:r>
      <w:r w:rsidRPr="005232D6">
        <w:rPr>
          <w:color w:val="000000" w:themeColor="text1"/>
        </w:rPr>
        <w:t xml:space="preserve"> </w:t>
      </w:r>
      <w:r w:rsidRPr="005232D6">
        <w:rPr>
          <w:color w:val="000000" w:themeColor="text1"/>
        </w:rPr>
        <w:lastRenderedPageBreak/>
        <w:t>inflation rate</w:t>
      </w:r>
      <w:r w:rsidRPr="005232D6">
        <w:rPr>
          <w:rStyle w:val="FootnoteReference"/>
          <w:color w:val="000000" w:themeColor="text1"/>
        </w:rPr>
        <w:footnoteReference w:id="29"/>
      </w:r>
      <w:r w:rsidRPr="005232D6">
        <w:rPr>
          <w:color w:val="000000" w:themeColor="text1"/>
        </w:rPr>
        <w:t xml:space="preserve">, an indicator for the market’s inflation expectations for the period, </w:t>
      </w:r>
      <w:r w:rsidR="00981BE4">
        <w:rPr>
          <w:color w:val="000000" w:themeColor="text1"/>
        </w:rPr>
        <w:t>rose to 2.87</w:t>
      </w:r>
      <w:r w:rsidRPr="005232D6">
        <w:rPr>
          <w:color w:val="000000" w:themeColor="text1"/>
        </w:rPr>
        <w:t>%</w:t>
      </w:r>
      <w:r w:rsidR="00981BE4">
        <w:rPr>
          <w:color w:val="000000" w:themeColor="text1"/>
        </w:rPr>
        <w:t xml:space="preserve"> to end the 4</w:t>
      </w:r>
      <w:r w:rsidR="00981BE4" w:rsidRPr="00981BE4">
        <w:rPr>
          <w:color w:val="000000" w:themeColor="text1"/>
          <w:vertAlign w:val="superscript"/>
        </w:rPr>
        <w:t>th</w:t>
      </w:r>
      <w:r w:rsidR="00981BE4">
        <w:rPr>
          <w:color w:val="000000" w:themeColor="text1"/>
        </w:rPr>
        <w:t xml:space="preserve"> quarter</w:t>
      </w:r>
      <w:r w:rsidRPr="005232D6">
        <w:rPr>
          <w:color w:val="000000" w:themeColor="text1"/>
        </w:rPr>
        <w:t xml:space="preserve">, </w:t>
      </w:r>
      <w:r w:rsidR="005232D6" w:rsidRPr="005232D6">
        <w:rPr>
          <w:color w:val="000000" w:themeColor="text1"/>
        </w:rPr>
        <w:t xml:space="preserve">slightly higher than </w:t>
      </w:r>
      <w:r w:rsidR="00981BE4">
        <w:rPr>
          <w:color w:val="000000" w:themeColor="text1"/>
        </w:rPr>
        <w:t>the 2.51</w:t>
      </w:r>
      <w:r w:rsidR="005232D6">
        <w:rPr>
          <w:color w:val="000000" w:themeColor="text1"/>
        </w:rPr>
        <w:t xml:space="preserve">% </w:t>
      </w:r>
      <w:r w:rsidR="005232D6" w:rsidRPr="005232D6">
        <w:rPr>
          <w:color w:val="000000" w:themeColor="text1"/>
        </w:rPr>
        <w:t>rate</w:t>
      </w:r>
      <w:r w:rsidR="00981BE4">
        <w:rPr>
          <w:color w:val="000000" w:themeColor="text1"/>
        </w:rPr>
        <w:t xml:space="preserve"> at the end of the 3</w:t>
      </w:r>
      <w:r w:rsidR="00981BE4" w:rsidRPr="00981BE4">
        <w:rPr>
          <w:color w:val="000000" w:themeColor="text1"/>
          <w:vertAlign w:val="superscript"/>
        </w:rPr>
        <w:t>rd</w:t>
      </w:r>
      <w:r w:rsidR="00981BE4">
        <w:rPr>
          <w:color w:val="000000" w:themeColor="text1"/>
        </w:rPr>
        <w:t xml:space="preserve"> quarter</w:t>
      </w:r>
      <w:r w:rsidRPr="005232D6">
        <w:rPr>
          <w:color w:val="000000" w:themeColor="text1"/>
        </w:rPr>
        <w:t>.</w:t>
      </w:r>
    </w:p>
    <w:p w14:paraId="2FA7F119" w14:textId="59F2C178" w:rsidR="00A83597" w:rsidRPr="005469DE" w:rsidRDefault="00ED2A9A" w:rsidP="00A83597">
      <w:pPr>
        <w:jc w:val="center"/>
        <w:rPr>
          <w:highlight w:val="yellow"/>
        </w:rPr>
      </w:pPr>
      <w:r w:rsidRPr="00ED2A9A">
        <w:rPr>
          <w:noProof/>
        </w:rPr>
        <w:drawing>
          <wp:inline distT="0" distB="0" distL="0" distR="0" wp14:anchorId="651F272E" wp14:editId="047A1135">
            <wp:extent cx="3499485" cy="2603500"/>
            <wp:effectExtent l="0" t="0" r="571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491A6E5E" w14:textId="26441EA7" w:rsidR="00F03302" w:rsidRPr="007E1BB9" w:rsidRDefault="0074137C" w:rsidP="00A83597">
      <w:r w:rsidRPr="007E1BB9">
        <w:t>U.S. crude oil</w:t>
      </w:r>
      <w:r w:rsidRPr="007E1BB9">
        <w:rPr>
          <w:rStyle w:val="FootnoteReference"/>
        </w:rPr>
        <w:footnoteReference w:id="30"/>
      </w:r>
      <w:r w:rsidRPr="007E1BB9">
        <w:t xml:space="preserve"> </w:t>
      </w:r>
      <w:r w:rsidR="00660C7A" w:rsidRPr="007E1BB9">
        <w:t xml:space="preserve">prices </w:t>
      </w:r>
      <w:r w:rsidR="00694585">
        <w:t>peaked</w:t>
      </w:r>
      <w:r w:rsidR="00B6639B" w:rsidRPr="007E1BB9">
        <w:t xml:space="preserve"> in </w:t>
      </w:r>
      <w:r w:rsidR="00694585">
        <w:t>October</w:t>
      </w:r>
      <w:r w:rsidR="00B6639B" w:rsidRPr="007E1BB9">
        <w:t xml:space="preserve"> at their highest value </w:t>
      </w:r>
      <w:r w:rsidR="00694585">
        <w:t xml:space="preserve">in seven years, the result of a global shortfall in energy supply. </w:t>
      </w:r>
      <w:r w:rsidR="00245B33">
        <w:t>In November and December, prices fell nearly back to prior-quarter levels amid speculations about the release of reserve oil in multiple countries and lockdowns in response to the spread of the Omicron variant</w:t>
      </w:r>
      <w:r w:rsidR="00B6639B" w:rsidRPr="007E1BB9">
        <w:t>. Crude prices ended the period</w:t>
      </w:r>
      <w:r w:rsidR="00F03302" w:rsidRPr="007E1BB9">
        <w:t xml:space="preserve"> at </w:t>
      </w:r>
      <w:r w:rsidRPr="007E1BB9">
        <w:t>$</w:t>
      </w:r>
      <w:r w:rsidR="00A17C3A" w:rsidRPr="007E1BB9">
        <w:t>7</w:t>
      </w:r>
      <w:r w:rsidR="00981BE4">
        <w:t>1.71</w:t>
      </w:r>
      <w:r w:rsidRPr="007E1BB9">
        <w:t xml:space="preserve"> </w:t>
      </w:r>
      <w:r w:rsidR="00F03302" w:rsidRPr="007E1BB9">
        <w:t>per barrel</w:t>
      </w:r>
      <w:r w:rsidR="00B6639B" w:rsidRPr="007E1BB9">
        <w:t xml:space="preserve">, </w:t>
      </w:r>
      <w:r w:rsidR="00694585">
        <w:t>0.1</w:t>
      </w:r>
      <w:r w:rsidR="00B6639B" w:rsidRPr="007E1BB9">
        <w:t>% higher than one quarter earlier</w:t>
      </w:r>
      <w:r w:rsidR="002E3E26" w:rsidRPr="007E1BB9">
        <w:t xml:space="preserve">.  </w:t>
      </w:r>
    </w:p>
    <w:p w14:paraId="51050840" w14:textId="4CDEBB2D" w:rsidR="00F03302" w:rsidRPr="005469DE" w:rsidRDefault="00DB0D35" w:rsidP="00166C08">
      <w:pPr>
        <w:jc w:val="center"/>
        <w:rPr>
          <w:highlight w:val="yellow"/>
        </w:rPr>
      </w:pPr>
      <w:r w:rsidRPr="00DB0D35">
        <w:rPr>
          <w:noProof/>
        </w:rPr>
        <w:drawing>
          <wp:inline distT="0" distB="0" distL="0" distR="0" wp14:anchorId="45578661" wp14:editId="45043129">
            <wp:extent cx="3609340" cy="2603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603500"/>
                    </a:xfrm>
                    <a:prstGeom prst="rect">
                      <a:avLst/>
                    </a:prstGeom>
                    <a:noFill/>
                  </pic:spPr>
                </pic:pic>
              </a:graphicData>
            </a:graphic>
          </wp:inline>
        </w:drawing>
      </w:r>
    </w:p>
    <w:p w14:paraId="149D5F41" w14:textId="77777777" w:rsidR="00005111" w:rsidRDefault="00005111" w:rsidP="001475FF">
      <w:pPr>
        <w:pStyle w:val="Heading1"/>
      </w:pPr>
      <w:r>
        <w:lastRenderedPageBreak/>
        <w:t>Housing</w:t>
      </w:r>
    </w:p>
    <w:p w14:paraId="7135DBE1" w14:textId="3B161C94" w:rsidR="00A96A6A" w:rsidRDefault="00976B7D">
      <w:r w:rsidRPr="00540D2B">
        <w:t>The housing market</w:t>
      </w:r>
      <w:r w:rsidR="00540D2B">
        <w:t xml:space="preserve"> was characterized by renewed efforts to meet pent-</w:t>
      </w:r>
      <w:r w:rsidR="00A37DC4">
        <w:t>up demand despite the continued challenges of soaring materials costs and an ongoing labor shortage</w:t>
      </w:r>
      <w:r w:rsidR="003F007D">
        <w:t>.</w:t>
      </w:r>
      <w:r w:rsidR="00894CA7">
        <w:t xml:space="preserve"> </w:t>
      </w:r>
      <w:r w:rsidR="003F007D">
        <w:t>New</w:t>
      </w:r>
      <w:r w:rsidR="00B0395F" w:rsidRPr="0094654A">
        <w:t xml:space="preserve"> home starts</w:t>
      </w:r>
      <w:r w:rsidR="00C828B0">
        <w:rPr>
          <w:rStyle w:val="FootnoteReference"/>
        </w:rPr>
        <w:footnoteReference w:id="31"/>
      </w:r>
      <w:r w:rsidR="00B0395F" w:rsidRPr="0094654A">
        <w:t xml:space="preserve"> </w:t>
      </w:r>
      <w:r w:rsidR="00675122">
        <w:t>numbered</w:t>
      </w:r>
      <w:r w:rsidR="00BC04D5">
        <w:t xml:space="preserve"> 1.</w:t>
      </w:r>
      <w:r w:rsidR="00D37EF8">
        <w:t>70</w:t>
      </w:r>
      <w:r w:rsidR="003F007D">
        <w:t xml:space="preserve"> </w:t>
      </w:r>
      <w:r w:rsidR="00B0395F" w:rsidRPr="0094654A">
        <w:t>million</w:t>
      </w:r>
      <w:r w:rsidR="00675122">
        <w:t xml:space="preserve"> in </w:t>
      </w:r>
      <w:r w:rsidR="00D37EF8">
        <w:t>December</w:t>
      </w:r>
      <w:r w:rsidR="00516EDD">
        <w:t xml:space="preserve">, </w:t>
      </w:r>
      <w:r w:rsidR="00D37EF8">
        <w:t>up 9.8</w:t>
      </w:r>
      <w:r w:rsidR="00675122">
        <w:t xml:space="preserve">% over </w:t>
      </w:r>
      <w:r w:rsidR="00D23A93">
        <w:t>September</w:t>
      </w:r>
      <w:r w:rsidR="005D3FB8">
        <w:t xml:space="preserve"> </w:t>
      </w:r>
      <w:r w:rsidR="00341282">
        <w:t>amid a severe shortage</w:t>
      </w:r>
      <w:r w:rsidR="00341282" w:rsidRPr="00341282">
        <w:t xml:space="preserve"> </w:t>
      </w:r>
      <w:r w:rsidR="00341282">
        <w:t>of housing supply</w:t>
      </w:r>
      <w:r w:rsidR="003C2173">
        <w:t xml:space="preserve">. </w:t>
      </w:r>
      <w:r w:rsidR="00341282">
        <w:t>Multifamily units led the climb, while single family home starts fluctuated over the quarter. Prices of construction materials remain markedly elevated</w:t>
      </w:r>
      <w:r w:rsidR="00B403A1">
        <w:t>, with an increase in duties on Canadian softwood helping to push lumber prices up 15.5% in December.</w:t>
      </w:r>
      <w:r w:rsidR="00341282">
        <w:t xml:space="preserve"> </w:t>
      </w:r>
      <w:r w:rsidR="00B403A1">
        <w:t>H</w:t>
      </w:r>
      <w:r w:rsidR="005D3FB8">
        <w:t xml:space="preserve">ousing starts were </w:t>
      </w:r>
      <w:r w:rsidR="00B403A1">
        <w:t>2.5</w:t>
      </w:r>
      <w:r w:rsidR="005D3FB8">
        <w:t>% higher than last year and well above their 30-year average of 1.3</w:t>
      </w:r>
      <w:r w:rsidR="00B403A1">
        <w:t>3</w:t>
      </w:r>
      <w:r w:rsidR="005D3FB8">
        <w:t xml:space="preserve"> million</w:t>
      </w:r>
      <w:r w:rsidR="005D3FB8" w:rsidRPr="0094654A">
        <w:t>.</w:t>
      </w:r>
    </w:p>
    <w:p w14:paraId="149D5F44" w14:textId="619FCEB8" w:rsidR="00B5315D" w:rsidRDefault="00DB0D35" w:rsidP="001B4B76">
      <w:pPr>
        <w:jc w:val="center"/>
      </w:pPr>
      <w:r>
        <w:rPr>
          <w:noProof/>
        </w:rPr>
        <w:drawing>
          <wp:inline distT="0" distB="0" distL="0" distR="0" wp14:anchorId="78ACBA3A" wp14:editId="06540DBD">
            <wp:extent cx="3816350" cy="26035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0" cy="2603500"/>
                    </a:xfrm>
                    <a:prstGeom prst="rect">
                      <a:avLst/>
                    </a:prstGeom>
                    <a:noFill/>
                  </pic:spPr>
                </pic:pic>
              </a:graphicData>
            </a:graphic>
          </wp:inline>
        </w:drawing>
      </w:r>
    </w:p>
    <w:p w14:paraId="149D5F46" w14:textId="5F86B023" w:rsidR="00A96795" w:rsidRDefault="00A223EC" w:rsidP="000A1224">
      <w:r>
        <w:t xml:space="preserve">The cost </w:t>
      </w:r>
      <w:r w:rsidR="00BC00A7">
        <w:t xml:space="preserve">of financing </w:t>
      </w:r>
      <w:r>
        <w:t xml:space="preserve">for </w:t>
      </w:r>
      <w:r w:rsidR="001B4B76">
        <w:t xml:space="preserve">would-be homebuyers </w:t>
      </w:r>
      <w:r w:rsidR="0055033B">
        <w:t>remained near record lows</w:t>
      </w:r>
      <w:r w:rsidR="0026329B">
        <w:t xml:space="preserve"> </w:t>
      </w:r>
      <w:r w:rsidR="009206A6">
        <w:t xml:space="preserve">in the </w:t>
      </w:r>
      <w:r w:rsidR="00B403A1">
        <w:t>4</w:t>
      </w:r>
      <w:r w:rsidR="00B403A1" w:rsidRPr="00B403A1">
        <w:rPr>
          <w:vertAlign w:val="superscript"/>
        </w:rPr>
        <w:t>th</w:t>
      </w:r>
      <w:r w:rsidR="00B403A1">
        <w:t xml:space="preserve"> </w:t>
      </w:r>
      <w:r w:rsidR="009206A6">
        <w:t>quarter</w:t>
      </w:r>
      <w:r w:rsidR="00B403A1">
        <w:t xml:space="preserve">, with </w:t>
      </w:r>
      <w:r w:rsidR="001B4B76">
        <w:t>the 30-year fixed-rate mortgage</w:t>
      </w:r>
      <w:r w:rsidR="00250313">
        <w:rPr>
          <w:rStyle w:val="FootnoteReference"/>
        </w:rPr>
        <w:footnoteReference w:id="32"/>
      </w:r>
      <w:r w:rsidR="0081792D">
        <w:t xml:space="preserve"> </w:t>
      </w:r>
      <w:r w:rsidR="00B403A1">
        <w:t>ending the quarter at</w:t>
      </w:r>
      <w:r w:rsidR="0055033B">
        <w:t xml:space="preserve"> 3.</w:t>
      </w:r>
      <w:r w:rsidR="00B403A1">
        <w:t>1</w:t>
      </w:r>
      <w:r w:rsidR="009206A6">
        <w:t>1</w:t>
      </w:r>
      <w:r w:rsidR="0055033B">
        <w:t>%</w:t>
      </w:r>
      <w:r w:rsidR="001B4B76">
        <w:t>.</w:t>
      </w:r>
      <w:r w:rsidR="00A730DC">
        <w:t xml:space="preserve"> </w:t>
      </w:r>
    </w:p>
    <w:p w14:paraId="0D0A69F6" w14:textId="417177E8" w:rsidR="00A96A6A" w:rsidRDefault="00661E51" w:rsidP="00453708">
      <w:pPr>
        <w:jc w:val="center"/>
      </w:pPr>
      <w:r>
        <w:rPr>
          <w:noProof/>
        </w:rPr>
        <w:lastRenderedPageBreak/>
        <w:drawing>
          <wp:inline distT="0" distB="0" distL="0" distR="0" wp14:anchorId="03B6C642" wp14:editId="71616BCC">
            <wp:extent cx="3816350" cy="2603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0" cy="2603500"/>
                    </a:xfrm>
                    <a:prstGeom prst="rect">
                      <a:avLst/>
                    </a:prstGeom>
                    <a:noFill/>
                  </pic:spPr>
                </pic:pic>
              </a:graphicData>
            </a:graphic>
          </wp:inline>
        </w:drawing>
      </w:r>
    </w:p>
    <w:p w14:paraId="1D2DE37C" w14:textId="76FD465B" w:rsidR="00A96A6A" w:rsidRDefault="00B767AE" w:rsidP="00773B5B">
      <w:r w:rsidRPr="00976B7D">
        <w:t>The S&amp;</w:t>
      </w:r>
      <w:r w:rsidR="00BD1AF4" w:rsidRPr="00976B7D">
        <w:t>P Case-Shiller Home Price Index (20-city)</w:t>
      </w:r>
      <w:r w:rsidR="00B2585A" w:rsidRPr="00976B7D">
        <w:rPr>
          <w:rStyle w:val="FootnoteReference"/>
        </w:rPr>
        <w:footnoteReference w:id="33"/>
      </w:r>
      <w:r w:rsidR="00BD1AF4" w:rsidRPr="00976B7D">
        <w:t xml:space="preserve"> </w:t>
      </w:r>
      <w:r w:rsidR="00BE4FA9" w:rsidRPr="00976B7D">
        <w:t>for</w:t>
      </w:r>
      <w:r w:rsidR="00BD1AF4" w:rsidRPr="00976B7D">
        <w:t xml:space="preserve"> </w:t>
      </w:r>
      <w:r w:rsidR="00B403A1">
        <w:t>November</w:t>
      </w:r>
      <w:r w:rsidR="0055033B" w:rsidRPr="00976B7D">
        <w:t xml:space="preserve"> 2021</w:t>
      </w:r>
      <w:r w:rsidR="00BD1AF4" w:rsidRPr="00976B7D">
        <w:t xml:space="preserve"> </w:t>
      </w:r>
      <w:r w:rsidR="00A1037F" w:rsidRPr="00976B7D">
        <w:t>rose</w:t>
      </w:r>
      <w:r w:rsidR="001868CB" w:rsidRPr="00976B7D">
        <w:t xml:space="preserve"> </w:t>
      </w:r>
      <w:r w:rsidR="00B403A1">
        <w:t>18.3</w:t>
      </w:r>
      <w:r w:rsidR="00E2306A" w:rsidRPr="00976B7D">
        <w:t>%</w:t>
      </w:r>
      <w:r w:rsidR="0055033B" w:rsidRPr="00976B7D">
        <w:t xml:space="preserve"> </w:t>
      </w:r>
      <w:r w:rsidR="00A1037F" w:rsidRPr="00976B7D">
        <w:t xml:space="preserve">since the previous </w:t>
      </w:r>
      <w:r w:rsidR="00B403A1">
        <w:t>November</w:t>
      </w:r>
      <w:r w:rsidR="00933213" w:rsidRPr="00976B7D">
        <w:t xml:space="preserve"> </w:t>
      </w:r>
      <w:r w:rsidR="00A1037F" w:rsidRPr="00976B7D">
        <w:t xml:space="preserve">with </w:t>
      </w:r>
      <w:r w:rsidR="006F49C7" w:rsidRPr="00976B7D">
        <w:t xml:space="preserve">Phoenix, </w:t>
      </w:r>
      <w:r w:rsidR="00A1037F" w:rsidRPr="00976B7D">
        <w:t>Tampa</w:t>
      </w:r>
      <w:r w:rsidR="00B403A1">
        <w:t xml:space="preserve">, and Miami </w:t>
      </w:r>
      <w:r w:rsidR="005933D9">
        <w:t>reporting the largest increases</w:t>
      </w:r>
      <w:r w:rsidR="0096732C" w:rsidRPr="00976B7D">
        <w:t>.</w:t>
      </w:r>
      <w:r w:rsidR="00933213" w:rsidRPr="00976B7D">
        <w:t xml:space="preserve"> </w:t>
      </w:r>
      <w:r w:rsidR="005933D9">
        <w:t xml:space="preserve">Supply constraints, combined with </w:t>
      </w:r>
      <w:r w:rsidR="00105A55" w:rsidRPr="00976B7D">
        <w:t xml:space="preserve">mortgage rates </w:t>
      </w:r>
      <w:r w:rsidR="005933D9">
        <w:t>continuing to hover</w:t>
      </w:r>
      <w:r w:rsidR="00896D03" w:rsidRPr="00976B7D">
        <w:t xml:space="preserve"> </w:t>
      </w:r>
      <w:r w:rsidR="005933D9">
        <w:t xml:space="preserve">near record lows, </w:t>
      </w:r>
      <w:r w:rsidR="00661AA7" w:rsidRPr="00976B7D">
        <w:t>push</w:t>
      </w:r>
      <w:r w:rsidR="005933D9">
        <w:t>ed</w:t>
      </w:r>
      <w:r w:rsidR="00661AA7" w:rsidRPr="00976B7D">
        <w:t xml:space="preserve"> home</w:t>
      </w:r>
      <w:r w:rsidR="00896D03" w:rsidRPr="00976B7D">
        <w:t xml:space="preserve"> prices </w:t>
      </w:r>
      <w:r w:rsidR="005933D9">
        <w:t xml:space="preserve">even </w:t>
      </w:r>
      <w:r w:rsidR="00896D03" w:rsidRPr="00976B7D">
        <w:t>higher</w:t>
      </w:r>
      <w:r w:rsidR="0055033B" w:rsidRPr="00976B7D">
        <w:t>, a dynamic seen since the pandemic began</w:t>
      </w:r>
      <w:r w:rsidR="00B432FD" w:rsidRPr="00976B7D">
        <w:t>.</w:t>
      </w:r>
      <w:r w:rsidR="006A656A">
        <w:t xml:space="preserve"> </w:t>
      </w:r>
    </w:p>
    <w:p w14:paraId="149D5F4C" w14:textId="3843BB06" w:rsidR="0064538F" w:rsidRDefault="00661E51" w:rsidP="002775DB">
      <w:pPr>
        <w:jc w:val="center"/>
      </w:pPr>
      <w:r>
        <w:rPr>
          <w:noProof/>
        </w:rPr>
        <w:drawing>
          <wp:inline distT="0" distB="0" distL="0" distR="0" wp14:anchorId="333836D5" wp14:editId="2B8213F0">
            <wp:extent cx="3499485" cy="2603500"/>
            <wp:effectExtent l="0" t="0" r="571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75DED6F3" w:rsidR="0079609A" w:rsidRDefault="0079609A" w:rsidP="00A04AD3">
      <w:r w:rsidRPr="00282C6E">
        <w:t>Personal Consumption Expenditures (PCE)</w:t>
      </w:r>
      <w:r w:rsidR="00421F60" w:rsidRPr="00282C6E">
        <w:rPr>
          <w:rStyle w:val="FootnoteReference"/>
        </w:rPr>
        <w:footnoteReference w:id="34"/>
      </w:r>
      <w:r w:rsidRPr="00282C6E">
        <w:t xml:space="preserve"> </w:t>
      </w:r>
      <w:r w:rsidR="00282C6E" w:rsidRPr="00282C6E">
        <w:t xml:space="preserve">rose </w:t>
      </w:r>
      <w:r w:rsidR="00D23A93">
        <w:t>2</w:t>
      </w:r>
      <w:r w:rsidR="00282C6E" w:rsidRPr="00282C6E">
        <w:t>.</w:t>
      </w:r>
      <w:r w:rsidR="00D23A93">
        <w:t>4</w:t>
      </w:r>
      <w:r w:rsidR="00282C6E" w:rsidRPr="00282C6E">
        <w:t xml:space="preserve">% in the </w:t>
      </w:r>
      <w:r w:rsidR="006A656A">
        <w:t>4</w:t>
      </w:r>
      <w:r w:rsidR="006A656A" w:rsidRPr="006A656A">
        <w:rPr>
          <w:vertAlign w:val="superscript"/>
        </w:rPr>
        <w:t>th</w:t>
      </w:r>
      <w:r w:rsidR="006A656A">
        <w:t xml:space="preserve"> </w:t>
      </w:r>
      <w:r w:rsidR="00282C6E" w:rsidRPr="00282C6E">
        <w:t>quarter to</w:t>
      </w:r>
      <w:r w:rsidR="00381A81" w:rsidRPr="00282C6E">
        <w:t xml:space="preserve"> </w:t>
      </w:r>
      <w:r w:rsidR="00AA74C1" w:rsidRPr="00282C6E">
        <w:t>$1</w:t>
      </w:r>
      <w:r w:rsidR="00F72263">
        <w:t>6.</w:t>
      </w:r>
      <w:r w:rsidR="00D23A93">
        <w:t>3</w:t>
      </w:r>
      <w:r w:rsidR="00AA74C1" w:rsidRPr="00282C6E">
        <w:t xml:space="preserve"> trillion</w:t>
      </w:r>
      <w:r w:rsidR="00E37950" w:rsidRPr="00282C6E">
        <w:t xml:space="preserve">. PCE </w:t>
      </w:r>
      <w:r w:rsidR="006A656A">
        <w:t xml:space="preserve">were up </w:t>
      </w:r>
      <w:r w:rsidR="00282C6E" w:rsidRPr="00282C6E">
        <w:t>1</w:t>
      </w:r>
      <w:r w:rsidR="000F7F33">
        <w:t>3</w:t>
      </w:r>
      <w:r w:rsidR="00282C6E" w:rsidRPr="00282C6E">
        <w:t>.</w:t>
      </w:r>
      <w:r w:rsidR="00D23A93">
        <w:t>0</w:t>
      </w:r>
      <w:r w:rsidR="0081792D" w:rsidRPr="00282C6E">
        <w:t xml:space="preserve">% </w:t>
      </w:r>
      <w:r w:rsidR="00282C6E" w:rsidRPr="00282C6E">
        <w:t xml:space="preserve">since the </w:t>
      </w:r>
      <w:r w:rsidR="006A656A">
        <w:t>4</w:t>
      </w:r>
      <w:r w:rsidR="006A656A" w:rsidRPr="006A656A">
        <w:rPr>
          <w:vertAlign w:val="superscript"/>
        </w:rPr>
        <w:t>th</w:t>
      </w:r>
      <w:r w:rsidR="006A656A">
        <w:t xml:space="preserve"> quarter</w:t>
      </w:r>
      <w:r w:rsidR="0081792D" w:rsidRPr="00282C6E">
        <w:t xml:space="preserve"> </w:t>
      </w:r>
      <w:r w:rsidR="00AA74C1" w:rsidRPr="00282C6E">
        <w:t>last yea</w:t>
      </w:r>
      <w:r w:rsidR="0081792D" w:rsidRPr="00282C6E">
        <w:t>r</w:t>
      </w:r>
      <w:r w:rsidR="002A0B80" w:rsidRPr="00282C6E">
        <w:t>.</w:t>
      </w:r>
      <w:r w:rsidR="00F04BC9">
        <w:t xml:space="preserve"> </w:t>
      </w:r>
      <w:r w:rsidR="00282C6E">
        <w:t xml:space="preserve">Spending on services grew on broad increases in household services consumption, </w:t>
      </w:r>
      <w:r w:rsidR="006A656A">
        <w:t>led by health care and recreation services. S</w:t>
      </w:r>
      <w:r w:rsidR="00282C6E">
        <w:t>pending for goods</w:t>
      </w:r>
      <w:r w:rsidR="006A656A">
        <w:t xml:space="preserve"> </w:t>
      </w:r>
      <w:r w:rsidR="006A656A">
        <w:lastRenderedPageBreak/>
        <w:t>increased more moderately</w:t>
      </w:r>
      <w:r w:rsidR="00282C6E">
        <w:t xml:space="preserve">, </w:t>
      </w:r>
      <w:r w:rsidR="006A656A">
        <w:t>with scattered increases led by recreational goods and vehicles</w:t>
      </w:r>
      <w:r w:rsidR="00282C6E">
        <w:t xml:space="preserve"> </w:t>
      </w:r>
      <w:r w:rsidR="006A656A">
        <w:t xml:space="preserve">outpacing various declines led by </w:t>
      </w:r>
      <w:r w:rsidR="00282C6E">
        <w:t>motor vehicles and parts</w:t>
      </w:r>
      <w:r w:rsidR="00282C6E" w:rsidRPr="00134929">
        <w:t>.</w:t>
      </w:r>
    </w:p>
    <w:p w14:paraId="419D69CE" w14:textId="20AA554F" w:rsidR="00A96A6A" w:rsidRDefault="00661E51" w:rsidP="00CF06AE">
      <w:pPr>
        <w:jc w:val="center"/>
      </w:pPr>
      <w:r>
        <w:rPr>
          <w:noProof/>
        </w:rPr>
        <w:drawing>
          <wp:inline distT="0" distB="0" distL="0" distR="0" wp14:anchorId="2DE93621" wp14:editId="7B12F0BC">
            <wp:extent cx="3499485" cy="2603500"/>
            <wp:effectExtent l="0" t="0" r="571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14:paraId="149D5F53" w14:textId="3C658A5C" w:rsidR="0079609A" w:rsidRDefault="00D148FE" w:rsidP="00F92FD1">
      <w:r>
        <w:t xml:space="preserve">Auto manufacturers </w:t>
      </w:r>
      <w:r w:rsidR="00695980">
        <w:t xml:space="preserve">reported </w:t>
      </w:r>
      <w:r w:rsidR="00210DB1">
        <w:t>1</w:t>
      </w:r>
      <w:r w:rsidR="00976B7D">
        <w:t>2.</w:t>
      </w:r>
      <w:r w:rsidR="006A656A">
        <w:t>4</w:t>
      </w:r>
      <w:r w:rsidR="00210DB1">
        <w:t xml:space="preserve"> </w:t>
      </w:r>
      <w:r w:rsidR="0079609A" w:rsidRPr="008B37F0">
        <w:t>million autos and light trucks sold</w:t>
      </w:r>
      <w:r w:rsidR="00933E80">
        <w:rPr>
          <w:rStyle w:val="FootnoteReference"/>
        </w:rPr>
        <w:footnoteReference w:id="35"/>
      </w:r>
      <w:r w:rsidR="0079609A" w:rsidRPr="008B37F0">
        <w:t xml:space="preserve"> in </w:t>
      </w:r>
      <w:r w:rsidR="006A656A">
        <w:t>December</w:t>
      </w:r>
      <w:r w:rsidR="00210DB1">
        <w:t xml:space="preserve"> 2021</w:t>
      </w:r>
      <w:r w:rsidR="008B3E4E">
        <w:t>,</w:t>
      </w:r>
      <w:r w:rsidR="005B40E5">
        <w:t xml:space="preserve"> </w:t>
      </w:r>
      <w:r w:rsidR="006A656A">
        <w:t>up 1.2% from September</w:t>
      </w:r>
      <w:r w:rsidR="00140B44">
        <w:t xml:space="preserve">. </w:t>
      </w:r>
      <w:r w:rsidR="00B92952">
        <w:t>The lingering impacts of a</w:t>
      </w:r>
      <w:r w:rsidR="00140B44">
        <w:t xml:space="preserve"> semiconductor chip shortage</w:t>
      </w:r>
      <w:r w:rsidR="00B92952">
        <w:t xml:space="preserve"> held</w:t>
      </w:r>
      <w:r w:rsidR="00140B44">
        <w:t xml:space="preserve"> inventories </w:t>
      </w:r>
      <w:r w:rsidR="00B92952">
        <w:t>near</w:t>
      </w:r>
      <w:r w:rsidR="00140B44">
        <w:t xml:space="preserve"> record lows</w:t>
      </w:r>
      <w:r w:rsidR="00D822BB" w:rsidRPr="00D822BB">
        <w:t xml:space="preserve"> </w:t>
      </w:r>
      <w:r w:rsidR="00D822BB">
        <w:t xml:space="preserve">and continued to </w:t>
      </w:r>
      <w:r w:rsidR="00B92952">
        <w:t>prop up prices for</w:t>
      </w:r>
      <w:r w:rsidR="00D822BB">
        <w:t xml:space="preserve"> new vehicle prices</w:t>
      </w:r>
      <w:r w:rsidR="00D822BB">
        <w:rPr>
          <w:rStyle w:val="FootnoteReference"/>
        </w:rPr>
        <w:footnoteReference w:id="36"/>
      </w:r>
      <w:r w:rsidR="00D822BB">
        <w:t xml:space="preserve">, which in </w:t>
      </w:r>
      <w:r w:rsidR="00B92952">
        <w:t>December</w:t>
      </w:r>
      <w:r w:rsidR="00D822BB">
        <w:t xml:space="preserve"> stood at an all-time high after rising </w:t>
      </w:r>
      <w:r w:rsidR="00B92952">
        <w:t>4.0</w:t>
      </w:r>
      <w:r w:rsidR="00D822BB">
        <w:t xml:space="preserve">% during the </w:t>
      </w:r>
      <w:r w:rsidR="00B92952">
        <w:t>4</w:t>
      </w:r>
      <w:r w:rsidR="00B92952" w:rsidRPr="00B92952">
        <w:rPr>
          <w:vertAlign w:val="superscript"/>
        </w:rPr>
        <w:t>th</w:t>
      </w:r>
      <w:r w:rsidR="00B92952">
        <w:t xml:space="preserve"> </w:t>
      </w:r>
      <w:r w:rsidR="00D822BB">
        <w:t>quarter</w:t>
      </w:r>
      <w:r w:rsidR="002530D7">
        <w:t>. Used car</w:t>
      </w:r>
      <w:r w:rsidR="00340262">
        <w:t xml:space="preserve"> prices</w:t>
      </w:r>
      <w:r w:rsidR="002530D7">
        <w:rPr>
          <w:rStyle w:val="FootnoteReference"/>
        </w:rPr>
        <w:footnoteReference w:id="37"/>
      </w:r>
      <w:r w:rsidR="002530D7">
        <w:t xml:space="preserve"> </w:t>
      </w:r>
      <w:r w:rsidR="00B92952">
        <w:t>also stood at a record high in December after rising 8.8% over the quarter</w:t>
      </w:r>
      <w:r w:rsidR="002530D7">
        <w:t xml:space="preserve">. </w:t>
      </w:r>
    </w:p>
    <w:p w14:paraId="571A905C" w14:textId="6CBAD157" w:rsidR="002E3647" w:rsidRDefault="00C1548C" w:rsidP="003A679B">
      <w:pPr>
        <w:jc w:val="center"/>
      </w:pPr>
      <w:r>
        <w:rPr>
          <w:noProof/>
        </w:rPr>
        <w:drawing>
          <wp:inline distT="0" distB="0" distL="0" distR="0" wp14:anchorId="50495849" wp14:editId="58CA8771">
            <wp:extent cx="4090670" cy="265176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2651760"/>
                    </a:xfrm>
                    <a:prstGeom prst="rect">
                      <a:avLst/>
                    </a:prstGeom>
                    <a:noFill/>
                  </pic:spPr>
                </pic:pic>
              </a:graphicData>
            </a:graphic>
          </wp:inline>
        </w:drawing>
      </w:r>
    </w:p>
    <w:p w14:paraId="59B475FF" w14:textId="7491B03A" w:rsidR="002E3647" w:rsidRDefault="008A581A" w:rsidP="00354195">
      <w:r w:rsidRPr="002E3647">
        <w:lastRenderedPageBreak/>
        <w:t xml:space="preserve">The </w:t>
      </w:r>
      <w:r w:rsidR="00661AA7">
        <w:t xml:space="preserve">University of Michigan’s </w:t>
      </w:r>
      <w:r w:rsidRPr="002E3647">
        <w:t>c</w:t>
      </w:r>
      <w:r w:rsidR="008C5503" w:rsidRPr="002E3647">
        <w:t>onsumer sentiment</w:t>
      </w:r>
      <w:r w:rsidR="00661AA7">
        <w:t xml:space="preserve"> index</w:t>
      </w:r>
      <w:r w:rsidR="00291FFB" w:rsidRPr="002E3647">
        <w:rPr>
          <w:rStyle w:val="FootnoteReference"/>
        </w:rPr>
        <w:footnoteReference w:id="38"/>
      </w:r>
      <w:r w:rsidR="008C5503" w:rsidRPr="002E3647">
        <w:t xml:space="preserve"> </w:t>
      </w:r>
      <w:r w:rsidRPr="002E3647">
        <w:t>ended</w:t>
      </w:r>
      <w:r w:rsidR="008C5503" w:rsidRPr="002E3647">
        <w:t xml:space="preserve"> </w:t>
      </w:r>
      <w:r w:rsidR="00E71440">
        <w:t xml:space="preserve">the </w:t>
      </w:r>
      <w:r w:rsidR="00A37DC4">
        <w:t>4</w:t>
      </w:r>
      <w:r w:rsidR="00A37DC4" w:rsidRPr="00A37DC4">
        <w:rPr>
          <w:vertAlign w:val="superscript"/>
        </w:rPr>
        <w:t>th</w:t>
      </w:r>
      <w:r w:rsidR="00A37DC4">
        <w:t xml:space="preserve"> </w:t>
      </w:r>
      <w:r w:rsidR="00E71440">
        <w:t>quarter</w:t>
      </w:r>
      <w:r w:rsidR="0036641E">
        <w:t xml:space="preserve"> </w:t>
      </w:r>
      <w:r w:rsidRPr="002E3647">
        <w:t xml:space="preserve">at </w:t>
      </w:r>
      <w:r w:rsidR="00D822BB">
        <w:t>7</w:t>
      </w:r>
      <w:r w:rsidR="00A37DC4">
        <w:t>0</w:t>
      </w:r>
      <w:r w:rsidR="00D822BB">
        <w:t>.</w:t>
      </w:r>
      <w:r w:rsidR="00A37DC4">
        <w:t>6</w:t>
      </w:r>
      <w:r w:rsidR="006C6752">
        <w:t>,</w:t>
      </w:r>
      <w:r w:rsidR="00B973A1">
        <w:t xml:space="preserve"> </w:t>
      </w:r>
      <w:r w:rsidR="00071A81">
        <w:t xml:space="preserve">after </w:t>
      </w:r>
      <w:r w:rsidR="00A37DC4">
        <w:t>dropping</w:t>
      </w:r>
      <w:r w:rsidR="00071A81">
        <w:t xml:space="preserve"> to </w:t>
      </w:r>
      <w:r w:rsidR="00A37DC4">
        <w:t>67</w:t>
      </w:r>
      <w:r w:rsidR="00071A81">
        <w:t>.</w:t>
      </w:r>
      <w:r w:rsidR="00A37DC4">
        <w:t>4 in November</w:t>
      </w:r>
      <w:r w:rsidR="00071A81">
        <w:t>,</w:t>
      </w:r>
      <w:r w:rsidR="00D66022">
        <w:t xml:space="preserve"> its</w:t>
      </w:r>
      <w:r w:rsidR="00D822BB">
        <w:t xml:space="preserve"> lowest </w:t>
      </w:r>
      <w:r w:rsidR="00D66022">
        <w:t xml:space="preserve">level </w:t>
      </w:r>
      <w:r w:rsidR="00071A81">
        <w:t>in 10 years</w:t>
      </w:r>
      <w:r w:rsidR="00B1397B">
        <w:t xml:space="preserve">. </w:t>
      </w:r>
      <w:r w:rsidR="00FD1259">
        <w:t>The decline reflected consumers’ outlooks on skyrocketing inflation combined with waning confidence in policymakers’ ability to curb price pressures</w:t>
      </w:r>
      <w:r w:rsidR="00B973A1" w:rsidRPr="00B973A1">
        <w:t xml:space="preserve">. </w:t>
      </w:r>
      <w:r w:rsidR="00FD1259">
        <w:t>Additionally</w:t>
      </w:r>
      <w:r w:rsidR="00D029B3">
        <w:t>,</w:t>
      </w:r>
      <w:r w:rsidR="00FD1259">
        <w:t xml:space="preserve"> labor turnover continued its intensified churn</w:t>
      </w:r>
      <w:r w:rsidR="00D029B3">
        <w:t xml:space="preserve">, with worker quits setting a </w:t>
      </w:r>
      <w:proofErr w:type="gramStart"/>
      <w:r w:rsidR="00D029B3">
        <w:t>new record</w:t>
      </w:r>
      <w:proofErr w:type="gramEnd"/>
      <w:r w:rsidR="00D029B3">
        <w:t>.</w:t>
      </w:r>
      <w:r w:rsidR="00FD1259">
        <w:t xml:space="preserve"> </w:t>
      </w:r>
      <w:r w:rsidR="00BF72BA">
        <w:t>The</w:t>
      </w:r>
      <w:r w:rsidR="006970E9" w:rsidRPr="002E3647">
        <w:t xml:space="preserve"> </w:t>
      </w:r>
      <w:r w:rsidR="00D029B3">
        <w:t xml:space="preserve">consumer sentiment </w:t>
      </w:r>
      <w:r w:rsidR="00BF72BA">
        <w:t xml:space="preserve">index </w:t>
      </w:r>
      <w:r w:rsidR="00071A81">
        <w:t xml:space="preserve">remains well above its previous </w:t>
      </w:r>
      <w:r w:rsidR="00D23A93">
        <w:t>low</w:t>
      </w:r>
      <w:r w:rsidR="00071A81">
        <w:t xml:space="preserve"> of 55.8 in August 2011</w:t>
      </w:r>
      <w:r w:rsidR="00173FBF">
        <w:t xml:space="preserve"> but</w:t>
      </w:r>
      <w:r w:rsidR="00D465D5" w:rsidRPr="002E3647">
        <w:t xml:space="preserve"> </w:t>
      </w:r>
      <w:r w:rsidR="00071A81">
        <w:t xml:space="preserve">far </w:t>
      </w:r>
      <w:r w:rsidR="00B973A1">
        <w:t xml:space="preserve">short of its </w:t>
      </w:r>
      <w:r w:rsidR="006970E9" w:rsidRPr="002E3647">
        <w:t xml:space="preserve">30-year average of </w:t>
      </w:r>
      <w:r w:rsidRPr="002E3647">
        <w:t>87.</w:t>
      </w:r>
      <w:r w:rsidR="00D23A93">
        <w:t>6</w:t>
      </w:r>
      <w:r w:rsidR="00291FFB" w:rsidRPr="002E3647">
        <w:t>.</w:t>
      </w:r>
      <w:r w:rsidR="00B973A1">
        <w:t xml:space="preserve"> </w:t>
      </w:r>
    </w:p>
    <w:p w14:paraId="182CF22B" w14:textId="01109E7D" w:rsidR="000D5719" w:rsidRDefault="00C1548C" w:rsidP="002E3647">
      <w:pPr>
        <w:jc w:val="center"/>
      </w:pPr>
      <w:r>
        <w:rPr>
          <w:noProof/>
        </w:rPr>
        <w:drawing>
          <wp:inline distT="0" distB="0" distL="0" distR="0" wp14:anchorId="5026D829" wp14:editId="20F5642C">
            <wp:extent cx="4090670" cy="265176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0670" cy="2651760"/>
                    </a:xfrm>
                    <a:prstGeom prst="rect">
                      <a:avLst/>
                    </a:prstGeom>
                    <a:noFill/>
                  </pic:spPr>
                </pic:pic>
              </a:graphicData>
            </a:graphic>
          </wp:inline>
        </w:drawing>
      </w:r>
    </w:p>
    <w:p w14:paraId="149D5F56" w14:textId="77777777" w:rsidR="0091664E" w:rsidRDefault="0091664E" w:rsidP="0091664E">
      <w:pPr>
        <w:pStyle w:val="Heading1"/>
      </w:pPr>
      <w:r>
        <w:t>Capital Markets</w:t>
      </w:r>
    </w:p>
    <w:p w14:paraId="0F5E50D3" w14:textId="0C507917" w:rsidR="00855C4E" w:rsidRDefault="003D1D39" w:rsidP="00B875CA">
      <w:pPr>
        <w:rPr>
          <w:noProof/>
        </w:rPr>
      </w:pPr>
      <w:r>
        <w:rPr>
          <w:noProof/>
        </w:rPr>
        <w:t xml:space="preserve">The table below shows the </w:t>
      </w:r>
      <w:r w:rsidR="00C427E3">
        <w:rPr>
          <w:noProof/>
        </w:rPr>
        <w:t>quarterly, year-to-date,</w:t>
      </w:r>
      <w:r>
        <w:rPr>
          <w:noProof/>
        </w:rPr>
        <w:t xml:space="preserve"> and 12-month performance of major </w:t>
      </w:r>
      <w:r w:rsidR="00BD4FA3">
        <w:rPr>
          <w:noProof/>
        </w:rPr>
        <w:t>U.S.</w:t>
      </w:r>
      <w:r>
        <w:rPr>
          <w:noProof/>
        </w:rPr>
        <w:t xml:space="preserve"> equity indices. </w:t>
      </w:r>
      <w:r w:rsidR="009E14E6">
        <w:rPr>
          <w:noProof/>
        </w:rPr>
        <w:t>Capital markets made a strong showing in the 4</w:t>
      </w:r>
      <w:r w:rsidR="009E14E6" w:rsidRPr="009E14E6">
        <w:rPr>
          <w:noProof/>
          <w:vertAlign w:val="superscript"/>
        </w:rPr>
        <w:t>th</w:t>
      </w:r>
      <w:r w:rsidR="009E14E6">
        <w:rPr>
          <w:noProof/>
        </w:rPr>
        <w:t xml:space="preserve"> quarter of 2021 to cap a year of strong corporate earnings growth and highly supportive pandemic-era monetary policy</w:t>
      </w:r>
      <w:r>
        <w:rPr>
          <w:noProof/>
        </w:rPr>
        <w:t xml:space="preserve">. </w:t>
      </w:r>
      <w:r w:rsidR="00753854">
        <w:rPr>
          <w:noProof/>
        </w:rPr>
        <w:t>T</w:t>
      </w:r>
      <w:r>
        <w:rPr>
          <w:noProof/>
        </w:rPr>
        <w:t xml:space="preserve">he </w:t>
      </w:r>
      <w:r w:rsidR="009E14E6">
        <w:rPr>
          <w:noProof/>
        </w:rPr>
        <w:t>S&amp;P 500 rose 10.6% during the 4</w:t>
      </w:r>
      <w:r w:rsidR="009E14E6" w:rsidRPr="009E14E6">
        <w:rPr>
          <w:noProof/>
          <w:vertAlign w:val="superscript"/>
        </w:rPr>
        <w:t>th</w:t>
      </w:r>
      <w:r w:rsidR="009E14E6">
        <w:rPr>
          <w:noProof/>
        </w:rPr>
        <w:t xml:space="preserve"> quarter of 2021. The </w:t>
      </w:r>
      <w:r>
        <w:rPr>
          <w:noProof/>
        </w:rPr>
        <w:t xml:space="preserve">Dow </w:t>
      </w:r>
      <w:r w:rsidR="00182738">
        <w:rPr>
          <w:noProof/>
        </w:rPr>
        <w:t>J</w:t>
      </w:r>
      <w:r>
        <w:rPr>
          <w:noProof/>
        </w:rPr>
        <w:t>ones</w:t>
      </w:r>
      <w:r w:rsidR="00C427E3">
        <w:rPr>
          <w:noProof/>
        </w:rPr>
        <w:t xml:space="preserve"> </w:t>
      </w:r>
      <w:r w:rsidR="00182738">
        <w:rPr>
          <w:noProof/>
        </w:rPr>
        <w:t>Industrial</w:t>
      </w:r>
      <w:r>
        <w:rPr>
          <w:noProof/>
        </w:rPr>
        <w:t xml:space="preserve"> Average </w:t>
      </w:r>
      <w:r w:rsidR="009E14E6">
        <w:rPr>
          <w:noProof/>
        </w:rPr>
        <w:t>climbed 7.4</w:t>
      </w:r>
      <w:r w:rsidR="00C427E3">
        <w:rPr>
          <w:noProof/>
        </w:rPr>
        <w:t>%</w:t>
      </w:r>
      <w:r w:rsidR="00B45117">
        <w:rPr>
          <w:noProof/>
        </w:rPr>
        <w:t xml:space="preserve"> </w:t>
      </w:r>
      <w:r w:rsidR="00182738">
        <w:rPr>
          <w:noProof/>
        </w:rPr>
        <w:t>during the quarter</w:t>
      </w:r>
      <w:r w:rsidR="00B45117">
        <w:rPr>
          <w:noProof/>
        </w:rPr>
        <w:t xml:space="preserve"> </w:t>
      </w:r>
      <w:r w:rsidR="003658B3">
        <w:rPr>
          <w:noProof/>
        </w:rPr>
        <w:t>while</w:t>
      </w:r>
      <w:r>
        <w:rPr>
          <w:noProof/>
        </w:rPr>
        <w:t xml:space="preserve"> the </w:t>
      </w:r>
      <w:r w:rsidR="00182738">
        <w:rPr>
          <w:noProof/>
        </w:rPr>
        <w:t xml:space="preserve">Dow Jones Transportation and Composite Indexes </w:t>
      </w:r>
      <w:r w:rsidR="009E14E6">
        <w:rPr>
          <w:noProof/>
        </w:rPr>
        <w:t>jumped 17.7% and 10.7%</w:t>
      </w:r>
      <w:r w:rsidR="00182738">
        <w:rPr>
          <w:noProof/>
        </w:rPr>
        <w:t>, respectively</w:t>
      </w:r>
      <w:r>
        <w:rPr>
          <w:noProof/>
        </w:rPr>
        <w:t>.</w:t>
      </w:r>
    </w:p>
    <w:p w14:paraId="79C54A89" w14:textId="22929E48" w:rsidR="002E3647" w:rsidRDefault="00C573E8" w:rsidP="00855C4E">
      <w:pPr>
        <w:jc w:val="center"/>
        <w:rPr>
          <w:noProof/>
        </w:rPr>
      </w:pPr>
      <w:r w:rsidRPr="00C573E8">
        <w:drawing>
          <wp:inline distT="0" distB="0" distL="0" distR="0" wp14:anchorId="28BAC773" wp14:editId="54C19C36">
            <wp:extent cx="5591175" cy="14763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1476375"/>
                    </a:xfrm>
                    <a:prstGeom prst="rect">
                      <a:avLst/>
                    </a:prstGeom>
                    <a:noFill/>
                    <a:ln>
                      <a:noFill/>
                    </a:ln>
                  </pic:spPr>
                </pic:pic>
              </a:graphicData>
            </a:graphic>
          </wp:inline>
        </w:drawing>
      </w:r>
      <w:r w:rsidR="003D1D39">
        <w:br/>
      </w:r>
    </w:p>
    <w:p w14:paraId="3743084E" w14:textId="6009B7B6" w:rsidR="00857079" w:rsidRDefault="00C573E8" w:rsidP="00BB3B04">
      <w:pPr>
        <w:jc w:val="center"/>
        <w:rPr>
          <w:color w:val="FF0000"/>
        </w:rPr>
      </w:pPr>
      <w:r>
        <w:rPr>
          <w:noProof/>
          <w:color w:val="FF0000"/>
        </w:rPr>
        <w:lastRenderedPageBreak/>
        <w:drawing>
          <wp:inline distT="0" distB="0" distL="0" distR="0" wp14:anchorId="528C66EB" wp14:editId="2E89302B">
            <wp:extent cx="4097020" cy="26581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0420E509" w14:textId="0324B823" w:rsidR="00100DF8" w:rsidRDefault="00100DF8" w:rsidP="003D1D39">
      <w:pPr>
        <w:rPr>
          <w:noProof/>
        </w:rPr>
      </w:pPr>
      <w:r>
        <w:t>Stock market v</w:t>
      </w:r>
      <w:r w:rsidR="0007515A">
        <w:t>olatility</w:t>
      </w:r>
      <w:r w:rsidR="00A1419D">
        <w:t>, as measured by the VIX</w:t>
      </w:r>
      <w:r w:rsidR="00A1419D">
        <w:rPr>
          <w:rStyle w:val="FootnoteReference"/>
        </w:rPr>
        <w:t xml:space="preserve"> </w:t>
      </w:r>
      <w:r w:rsidR="0007515A">
        <w:rPr>
          <w:rStyle w:val="FootnoteReference"/>
        </w:rPr>
        <w:footnoteReference w:id="39"/>
      </w:r>
      <w:r w:rsidR="005573A8">
        <w:t>,</w:t>
      </w:r>
      <w:r>
        <w:t xml:space="preserve"> ended the </w:t>
      </w:r>
      <w:r w:rsidR="00CB7F52">
        <w:t>4</w:t>
      </w:r>
      <w:r w:rsidR="00CB7F52" w:rsidRPr="00CB7F52">
        <w:rPr>
          <w:vertAlign w:val="superscript"/>
        </w:rPr>
        <w:t>th</w:t>
      </w:r>
      <w:r w:rsidR="00CB7F52">
        <w:t xml:space="preserve"> </w:t>
      </w:r>
      <w:r>
        <w:t>quarter</w:t>
      </w:r>
      <w:r w:rsidR="0036641E">
        <w:t xml:space="preserve"> </w:t>
      </w:r>
      <w:r>
        <w:t xml:space="preserve">at </w:t>
      </w:r>
      <w:r w:rsidR="00D23A93">
        <w:t>17.2</w:t>
      </w:r>
      <w:r w:rsidR="00050BF6">
        <w:t xml:space="preserve">, </w:t>
      </w:r>
      <w:r w:rsidR="00D23A93">
        <w:t>down 18.6</w:t>
      </w:r>
      <w:r w:rsidR="00050BF6">
        <w:t>% since the prior quarter</w:t>
      </w:r>
      <w:r w:rsidR="003D1D39">
        <w:t>.</w:t>
      </w:r>
      <w:r w:rsidR="00B45117">
        <w:t xml:space="preserve"> </w:t>
      </w:r>
      <w:r w:rsidR="00CB7F52">
        <w:t>The index began to spike in the last week of November, reaching a peak on December 1, as concerns deepened about the ultra-contagious Omicron variant and hawkish statements by Fed chairman Jerome Powell.</w:t>
      </w:r>
    </w:p>
    <w:p w14:paraId="29D9D20D" w14:textId="7EECD391" w:rsidR="00661AA7" w:rsidRPr="00354195" w:rsidRDefault="00C573E8" w:rsidP="00404E89">
      <w:pPr>
        <w:jc w:val="center"/>
      </w:pPr>
      <w:r>
        <w:rPr>
          <w:noProof/>
        </w:rPr>
        <w:drawing>
          <wp:inline distT="0" distB="0" distL="0" distR="0" wp14:anchorId="6B402647" wp14:editId="1AF332B4">
            <wp:extent cx="4097020" cy="26581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7020" cy="2658110"/>
                    </a:xfrm>
                    <a:prstGeom prst="rect">
                      <a:avLst/>
                    </a:prstGeom>
                    <a:noFill/>
                  </pic:spPr>
                </pic:pic>
              </a:graphicData>
            </a:graphic>
          </wp:inline>
        </w:drawing>
      </w:r>
    </w:p>
    <w:p w14:paraId="149D5F93" w14:textId="77777777" w:rsidR="00E44639" w:rsidRDefault="00E44639" w:rsidP="00E44639">
      <w:pPr>
        <w:pStyle w:val="Heading1"/>
      </w:pPr>
      <w:r>
        <w:t>Outlook</w:t>
      </w:r>
    </w:p>
    <w:p w14:paraId="71C9C508" w14:textId="7CFCE39B" w:rsidR="005573A8" w:rsidRPr="0007242E" w:rsidRDefault="003071CD" w:rsidP="00E44639">
      <w:r w:rsidRPr="0007242E">
        <w:t xml:space="preserve">In </w:t>
      </w:r>
      <w:r w:rsidR="000755E2">
        <w:t>December</w:t>
      </w:r>
      <w:r w:rsidRPr="0007242E">
        <w:t xml:space="preserve"> 20</w:t>
      </w:r>
      <w:r w:rsidR="005573A8" w:rsidRPr="0007242E">
        <w:t>21</w:t>
      </w:r>
      <w:r w:rsidRPr="0007242E">
        <w:t xml:space="preserve">, the FOMC </w:t>
      </w:r>
      <w:r w:rsidR="005573A8" w:rsidRPr="0007242E">
        <w:t xml:space="preserve">revised their </w:t>
      </w:r>
      <w:r w:rsidR="000755E2">
        <w:t xml:space="preserve">near-term </w:t>
      </w:r>
      <w:r w:rsidR="005573A8" w:rsidRPr="0007242E">
        <w:t xml:space="preserve">inflation projections upward, </w:t>
      </w:r>
      <w:r w:rsidR="000755E2">
        <w:t>and both their unemployment rate and</w:t>
      </w:r>
      <w:r w:rsidR="005573A8" w:rsidRPr="0007242E">
        <w:t xml:space="preserve"> </w:t>
      </w:r>
      <w:r w:rsidR="0007242E">
        <w:t>real GDP</w:t>
      </w:r>
      <w:r w:rsidR="005573A8" w:rsidRPr="0007242E">
        <w:t xml:space="preserve"> </w:t>
      </w:r>
      <w:r w:rsidR="000755E2">
        <w:t>projections downward</w:t>
      </w:r>
      <w:r w:rsidR="0007242E">
        <w:t>. L</w:t>
      </w:r>
      <w:r w:rsidR="005573A8" w:rsidRPr="0007242E">
        <w:t>onger run projections for all three indicators</w:t>
      </w:r>
      <w:r w:rsidR="0007242E">
        <w:t xml:space="preserve"> held relatively steady</w:t>
      </w:r>
      <w:r w:rsidR="005573A8" w:rsidRPr="0007242E">
        <w:t xml:space="preserve">. </w:t>
      </w:r>
    </w:p>
    <w:p w14:paraId="1779A15E" w14:textId="606EEF78" w:rsidR="00855C4E" w:rsidRDefault="005573A8" w:rsidP="00855C4E">
      <w:r w:rsidRPr="0007242E">
        <w:lastRenderedPageBreak/>
        <w:t>The FOMC revised their projection</w:t>
      </w:r>
      <w:r w:rsidR="00F60736" w:rsidRPr="0007242E">
        <w:t xml:space="preserve"> </w:t>
      </w:r>
      <w:r w:rsidRPr="0007242E">
        <w:t xml:space="preserve">for </w:t>
      </w:r>
      <w:r w:rsidR="00F60736" w:rsidRPr="0007242E">
        <w:t>real GDP</w:t>
      </w:r>
      <w:r w:rsidR="00BF5CE2" w:rsidRPr="0007242E">
        <w:rPr>
          <w:rStyle w:val="FootnoteReference"/>
        </w:rPr>
        <w:footnoteReference w:id="40"/>
      </w:r>
      <w:r w:rsidR="00F60736" w:rsidRPr="0007242E">
        <w:t xml:space="preserve"> </w:t>
      </w:r>
      <w:r w:rsidR="0039421C" w:rsidRPr="0007242E">
        <w:t xml:space="preserve">to </w:t>
      </w:r>
      <w:r w:rsidR="00D23A93">
        <w:t>4.05</w:t>
      </w:r>
      <w:r w:rsidR="00F60736" w:rsidRPr="0007242E">
        <w:t>%</w:t>
      </w:r>
      <w:r w:rsidR="0049182B" w:rsidRPr="0007242E">
        <w:t xml:space="preserve"> growth in</w:t>
      </w:r>
      <w:r w:rsidR="00F60736" w:rsidRPr="0007242E">
        <w:t xml:space="preserve"> 20</w:t>
      </w:r>
      <w:r w:rsidR="00090DA6" w:rsidRPr="0007242E">
        <w:t>2</w:t>
      </w:r>
      <w:r w:rsidR="00D23A93">
        <w:t>2</w:t>
      </w:r>
      <w:r w:rsidR="0049182B" w:rsidRPr="0007242E">
        <w:t xml:space="preserve">, slowing to </w:t>
      </w:r>
      <w:r w:rsidR="000755E2">
        <w:t>1.9</w:t>
      </w:r>
      <w:r w:rsidR="0007242E" w:rsidRPr="0007242E">
        <w:t>0</w:t>
      </w:r>
      <w:r w:rsidR="0049182B" w:rsidRPr="0007242E">
        <w:t xml:space="preserve">% </w:t>
      </w:r>
      <w:r w:rsidR="004F307A" w:rsidRPr="0007242E">
        <w:t>by</w:t>
      </w:r>
      <w:r w:rsidR="000D646D" w:rsidRPr="0007242E">
        <w:t xml:space="preserve"> 202</w:t>
      </w:r>
      <w:r w:rsidR="0007242E" w:rsidRPr="0007242E">
        <w:t>4</w:t>
      </w:r>
      <w:r w:rsidR="00F60736" w:rsidRPr="0007242E">
        <w:t>. They expect</w:t>
      </w:r>
      <w:r w:rsidRPr="0007242E">
        <w:t>ed</w:t>
      </w:r>
      <w:r w:rsidR="00F60736" w:rsidRPr="0007242E">
        <w:t xml:space="preserve"> Personal Consumption Expendit</w:t>
      </w:r>
      <w:r w:rsidR="00090DA6" w:rsidRPr="0007242E">
        <w:t>ures (PCE)</w:t>
      </w:r>
      <w:r w:rsidR="005D3CEF" w:rsidRPr="0007242E">
        <w:rPr>
          <w:rStyle w:val="FootnoteReference"/>
        </w:rPr>
        <w:footnoteReference w:id="41"/>
      </w:r>
      <w:r w:rsidR="00090DA6" w:rsidRPr="0007242E">
        <w:t xml:space="preserve"> to </w:t>
      </w:r>
      <w:r w:rsidR="000755E2">
        <w:t>fall to 2.6</w:t>
      </w:r>
      <w:r w:rsidR="000F3008">
        <w:t>0%</w:t>
      </w:r>
      <w:r w:rsidR="000755E2">
        <w:t xml:space="preserve"> by 2022 and taper to 2.1</w:t>
      </w:r>
      <w:r w:rsidR="000F3008">
        <w:t>0%</w:t>
      </w:r>
      <w:r w:rsidR="000755E2">
        <w:t xml:space="preserve"> in 2024</w:t>
      </w:r>
      <w:r w:rsidRPr="0007242E">
        <w:t xml:space="preserve">. </w:t>
      </w:r>
      <w:r w:rsidR="00F60736" w:rsidRPr="0007242E">
        <w:t xml:space="preserve"> The</w:t>
      </w:r>
      <w:r w:rsidR="004907DA" w:rsidRPr="0007242E">
        <w:t>y</w:t>
      </w:r>
      <w:r w:rsidR="00F60736" w:rsidRPr="0007242E">
        <w:t xml:space="preserve"> forecast th</w:t>
      </w:r>
      <w:r w:rsidR="004907DA" w:rsidRPr="0007242E">
        <w:t>at th</w:t>
      </w:r>
      <w:r w:rsidR="00F60736" w:rsidRPr="0007242E">
        <w:t>e unemployment rate</w:t>
      </w:r>
      <w:r w:rsidR="00E72196" w:rsidRPr="0007242E">
        <w:rPr>
          <w:rStyle w:val="FootnoteReference"/>
        </w:rPr>
        <w:footnoteReference w:id="42"/>
      </w:r>
      <w:r w:rsidR="00F60736" w:rsidRPr="0007242E">
        <w:t xml:space="preserve"> </w:t>
      </w:r>
      <w:r w:rsidR="000755E2">
        <w:t>would</w:t>
      </w:r>
      <w:r w:rsidR="00F60736" w:rsidRPr="0007242E">
        <w:t xml:space="preserve"> </w:t>
      </w:r>
      <w:r w:rsidR="000755E2">
        <w:t>be</w:t>
      </w:r>
      <w:r w:rsidRPr="0007242E">
        <w:t xml:space="preserve"> </w:t>
      </w:r>
      <w:r w:rsidR="00D23A93">
        <w:t>3.55</w:t>
      </w:r>
      <w:r w:rsidR="00F60736" w:rsidRPr="0007242E">
        <w:t>%</w:t>
      </w:r>
      <w:r w:rsidR="0039421C" w:rsidRPr="0007242E">
        <w:t xml:space="preserve"> in 202</w:t>
      </w:r>
      <w:r w:rsidR="00D23A93">
        <w:t>2</w:t>
      </w:r>
      <w:r w:rsidR="0039421C" w:rsidRPr="0007242E">
        <w:t xml:space="preserve"> </w:t>
      </w:r>
      <w:r w:rsidR="0062444A" w:rsidRPr="0007242E">
        <w:t xml:space="preserve">and </w:t>
      </w:r>
      <w:r w:rsidRPr="0007242E">
        <w:t>3.</w:t>
      </w:r>
      <w:r w:rsidR="0007242E" w:rsidRPr="0007242E">
        <w:t>4</w:t>
      </w:r>
      <w:r w:rsidRPr="0007242E">
        <w:t>5</w:t>
      </w:r>
      <w:r w:rsidR="0049182B" w:rsidRPr="0007242E">
        <w:t xml:space="preserve">% </w:t>
      </w:r>
      <w:r w:rsidR="000755E2">
        <w:t>in</w:t>
      </w:r>
      <w:r w:rsidR="00F60736" w:rsidRPr="0007242E">
        <w:t xml:space="preserve"> 20</w:t>
      </w:r>
      <w:r w:rsidR="00090DA6" w:rsidRPr="0007242E">
        <w:t>2</w:t>
      </w:r>
      <w:r w:rsidR="0007242E" w:rsidRPr="0007242E">
        <w:t>4</w:t>
      </w:r>
      <w:r w:rsidR="003071CD" w:rsidRPr="0007242E">
        <w:t>.</w:t>
      </w:r>
      <w:r w:rsidR="005C22CA" w:rsidRPr="0007242E">
        <w:t xml:space="preserve"> Notably, the board projected </w:t>
      </w:r>
      <w:r w:rsidR="0007242E" w:rsidRPr="0007242E">
        <w:t>interest</w:t>
      </w:r>
      <w:r w:rsidR="005C22CA" w:rsidRPr="0007242E">
        <w:t xml:space="preserve"> rate hikes </w:t>
      </w:r>
      <w:r w:rsidR="0007242E" w:rsidRPr="0007242E">
        <w:t>each year through</w:t>
      </w:r>
      <w:r w:rsidR="005C22CA" w:rsidRPr="0007242E">
        <w:t xml:space="preserve"> 202</w:t>
      </w:r>
      <w:r w:rsidR="0007242E" w:rsidRPr="0007242E">
        <w:t>4</w:t>
      </w:r>
      <w:r w:rsidR="005C22CA" w:rsidRPr="0007242E">
        <w:t xml:space="preserve">, likely in response to the </w:t>
      </w:r>
      <w:r w:rsidR="0007242E">
        <w:t>continued elevation in</w:t>
      </w:r>
      <w:r w:rsidR="005C22CA" w:rsidRPr="0007242E">
        <w:t xml:space="preserve"> inflation figures.</w:t>
      </w:r>
      <w:r w:rsidR="005C22CA">
        <w:t xml:space="preserve">  </w:t>
      </w:r>
    </w:p>
    <w:p w14:paraId="4D630423" w14:textId="2BDA09B8" w:rsidR="00FD0160" w:rsidRDefault="00C573E8" w:rsidP="00855C4E">
      <w:pPr>
        <w:jc w:val="center"/>
      </w:pPr>
      <w:r w:rsidRPr="00C573E8">
        <w:drawing>
          <wp:inline distT="0" distB="0" distL="0" distR="0" wp14:anchorId="7DBD453A" wp14:editId="2B1DA89B">
            <wp:extent cx="3914775" cy="111442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1114425"/>
                    </a:xfrm>
                    <a:prstGeom prst="rect">
                      <a:avLst/>
                    </a:prstGeom>
                    <a:noFill/>
                    <a:ln>
                      <a:noFill/>
                    </a:ln>
                  </pic:spPr>
                </pic:pic>
              </a:graphicData>
            </a:graphic>
          </wp:inline>
        </w:drawing>
      </w:r>
    </w:p>
    <w:p w14:paraId="3DA5A3C9" w14:textId="4CF9E1B8" w:rsidR="002301AB" w:rsidRDefault="002308A9">
      <w:r>
        <w:br w:type="page"/>
      </w:r>
    </w:p>
    <w:p w14:paraId="71E59CEA" w14:textId="6D7E62F8" w:rsidR="002308A9" w:rsidRDefault="002301AB">
      <w:pPr>
        <w:rPr>
          <w:rFonts w:asciiTheme="majorHAnsi" w:eastAsiaTheme="majorEastAsia" w:hAnsiTheme="majorHAnsi" w:cstheme="majorBidi"/>
          <w:color w:val="008FD5"/>
          <w:sz w:val="36"/>
          <w:szCs w:val="32"/>
        </w:rPr>
      </w:pPr>
      <w:r>
        <w:rPr>
          <w:rFonts w:asciiTheme="majorHAnsi" w:eastAsiaTheme="majorEastAsia" w:hAnsiTheme="majorHAnsi" w:cstheme="majorBidi"/>
          <w:color w:val="008FD5"/>
          <w:sz w:val="36"/>
          <w:szCs w:val="32"/>
        </w:rPr>
        <w:lastRenderedPageBreak/>
        <w:t>Appendix – Selected Interest Rates</w:t>
      </w:r>
    </w:p>
    <w:p w14:paraId="6F34C406" w14:textId="0D7DA71E" w:rsidR="002301AB" w:rsidRDefault="00C573E8">
      <w:r w:rsidRPr="00C573E8">
        <w:drawing>
          <wp:inline distT="0" distB="0" distL="0" distR="0" wp14:anchorId="3DFA0E56" wp14:editId="6ED0BD46">
            <wp:extent cx="5943600" cy="76561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656195"/>
                    </a:xfrm>
                    <a:prstGeom prst="rect">
                      <a:avLst/>
                    </a:prstGeom>
                    <a:noFill/>
                    <a:ln>
                      <a:noFill/>
                    </a:ln>
                  </pic:spPr>
                </pic:pic>
              </a:graphicData>
            </a:graphic>
          </wp:inline>
        </w:drawing>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1" w:name="_Hlk31896782"/>
      <w:r>
        <w:t xml:space="preserve">About </w:t>
      </w:r>
      <w:proofErr w:type="spellStart"/>
      <w:r>
        <w:t>TagniFi</w:t>
      </w:r>
      <w:proofErr w:type="spellEnd"/>
    </w:p>
    <w:bookmarkEnd w:id="1"/>
    <w:p w14:paraId="48B0785A" w14:textId="1A8E78E5"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w:t>
      </w:r>
      <w:r w:rsidR="004846E4">
        <w:t>then,</w:t>
      </w:r>
      <w:r>
        <w:t xml:space="preserve"> our mission has remained the same: to serve our clients with the best financial data available at a reasonable price. We do this by developing innovative solutions to leverage tagged financial statements which allow us to deliver better, </w:t>
      </w:r>
      <w:r w:rsidR="004846E4">
        <w:t>faster,</w:t>
      </w:r>
      <w:r>
        <w:t xml:space="preserve"> and more detailed data at a fraction of the cost.</w:t>
      </w:r>
    </w:p>
    <w:p w14:paraId="0F1887EF" w14:textId="2A298234" w:rsidR="00964DD4" w:rsidRDefault="00964DD4" w:rsidP="00230D29">
      <w:r>
        <w:t xml:space="preserve">Today </w:t>
      </w:r>
      <w:proofErr w:type="spellStart"/>
      <w:r>
        <w:t>TagniFi</w:t>
      </w:r>
      <w:proofErr w:type="spellEnd"/>
      <w:r>
        <w:t xml:space="preserve">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campaigns.</w:t>
      </w:r>
      <w:r w:rsidR="004846E4">
        <w:t xml:space="preserve"> </w:t>
      </w:r>
      <w:r w:rsidR="00C36857" w:rsidRPr="0017465F">
        <w:t xml:space="preserve">For more information on </w:t>
      </w:r>
      <w:proofErr w:type="spellStart"/>
      <w:r w:rsidR="00C36857" w:rsidRPr="0017465F">
        <w:t>TagniFi</w:t>
      </w:r>
      <w:proofErr w:type="spellEnd"/>
      <w:r w:rsidR="00C36857" w:rsidRPr="0017465F">
        <w:t>, please visit</w:t>
      </w:r>
      <w:r w:rsidR="00230D29" w:rsidRPr="0017465F">
        <w:t xml:space="preserve"> </w:t>
      </w:r>
      <w:hyperlink r:id="rId39"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5"/>
      <w:footerReference w:type="defaul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4165D" w14:textId="77777777" w:rsidR="00035F9F" w:rsidRDefault="00035F9F" w:rsidP="00171C8E">
      <w:pPr>
        <w:spacing w:after="0" w:line="240" w:lineRule="auto"/>
      </w:pPr>
      <w:r>
        <w:separator/>
      </w:r>
    </w:p>
  </w:endnote>
  <w:endnote w:type="continuationSeparator" w:id="0">
    <w:p w14:paraId="4D5B657C" w14:textId="77777777" w:rsidR="00035F9F" w:rsidRDefault="00035F9F"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5E40A9F1" w:rsidR="00B36811" w:rsidRDefault="00B36811">
    <w:pPr>
      <w:pStyle w:val="Footer"/>
    </w:pPr>
    <w:r>
      <w:t>© 202</w:t>
    </w:r>
    <w:r w:rsidR="00CB32FC">
      <w:t>2</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B36811" w:rsidRDefault="00B36811">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6DDA1" w14:textId="77777777" w:rsidR="00035F9F" w:rsidRDefault="00035F9F" w:rsidP="00171C8E">
      <w:pPr>
        <w:spacing w:after="0" w:line="240" w:lineRule="auto"/>
      </w:pPr>
      <w:r>
        <w:separator/>
      </w:r>
    </w:p>
  </w:footnote>
  <w:footnote w:type="continuationSeparator" w:id="0">
    <w:p w14:paraId="630D62F0" w14:textId="77777777" w:rsidR="00035F9F" w:rsidRDefault="00035F9F" w:rsidP="00171C8E">
      <w:pPr>
        <w:spacing w:after="0" w:line="240" w:lineRule="auto"/>
      </w:pPr>
      <w:r>
        <w:continuationSeparator/>
      </w:r>
    </w:p>
  </w:footnote>
  <w:footnote w:id="1">
    <w:p w14:paraId="0A2FA1C7" w14:textId="5BF24161" w:rsidR="00B36811" w:rsidRDefault="00B36811" w:rsidP="00EC7CB1">
      <w:pPr>
        <w:pStyle w:val="FootnoteText"/>
      </w:pPr>
      <w:r>
        <w:rPr>
          <w:rStyle w:val="FootnoteReference"/>
        </w:rPr>
        <w:footnoteRef/>
      </w:r>
      <w: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sidR="00D73B28">
        <w:rPr>
          <w:rFonts w:cstheme="minorHAnsi"/>
          <w:i/>
          <w:iCs/>
          <w:color w:val="222222"/>
          <w:sz w:val="16"/>
          <w:szCs w:val="16"/>
          <w:shd w:val="clear" w:color="auto" w:fill="FFFFFF"/>
        </w:rPr>
        <w:t>Jan</w:t>
      </w:r>
      <w:r>
        <w:rPr>
          <w:rFonts w:cstheme="minorHAnsi"/>
          <w:i/>
          <w:iCs/>
          <w:color w:val="222222"/>
          <w:sz w:val="16"/>
          <w:szCs w:val="16"/>
          <w:shd w:val="clear" w:color="auto" w:fill="FFFFFF"/>
        </w:rPr>
        <w:t xml:space="preserve"> </w:t>
      </w:r>
      <w:r w:rsidR="00D73B28">
        <w:rPr>
          <w:rFonts w:cstheme="minorHAnsi"/>
          <w:i/>
          <w:iCs/>
          <w:color w:val="222222"/>
          <w:sz w:val="16"/>
          <w:szCs w:val="16"/>
          <w:shd w:val="clear" w:color="auto" w:fill="FFFFFF"/>
        </w:rPr>
        <w:t>27</w:t>
      </w:r>
      <w:r>
        <w:rPr>
          <w:rFonts w:cstheme="minorHAnsi"/>
          <w:i/>
          <w:iCs/>
          <w:color w:val="222222"/>
          <w:sz w:val="16"/>
          <w:szCs w:val="16"/>
          <w:shd w:val="clear" w:color="auto" w:fill="FFFFFF"/>
        </w:rPr>
        <w:t>, 202</w:t>
      </w:r>
      <w:r w:rsidR="00D73B28">
        <w:rPr>
          <w:rFonts w:cstheme="minorHAnsi"/>
          <w:i/>
          <w:iCs/>
          <w:color w:val="222222"/>
          <w:sz w:val="16"/>
          <w:szCs w:val="16"/>
          <w:shd w:val="clear" w:color="auto" w:fill="FFFFFF"/>
        </w:rPr>
        <w:t>2</w:t>
      </w:r>
      <w:r w:rsidRPr="00DA3959">
        <w:rPr>
          <w:rFonts w:cstheme="minorHAnsi"/>
          <w:i/>
          <w:iCs/>
          <w:color w:val="222222"/>
          <w:sz w:val="16"/>
          <w:szCs w:val="16"/>
          <w:shd w:val="clear" w:color="auto" w:fill="FFFFFF"/>
        </w:rPr>
        <w:t>.</w:t>
      </w:r>
    </w:p>
  </w:footnote>
  <w:footnote w:id="2">
    <w:p w14:paraId="04EBBD96" w14:textId="374017DE" w:rsidR="00B36811" w:rsidRPr="000322F4" w:rsidRDefault="00B36811">
      <w:pPr>
        <w:pStyle w:val="FootnoteText"/>
        <w:rPr>
          <w:sz w:val="16"/>
          <w:szCs w:val="16"/>
          <w:lang w:val="en-PH"/>
        </w:rPr>
      </w:pPr>
      <w:r w:rsidRPr="000322F4">
        <w:rPr>
          <w:rStyle w:val="FootnoteReference"/>
          <w:sz w:val="16"/>
          <w:szCs w:val="16"/>
        </w:rPr>
        <w:footnoteRef/>
      </w:r>
      <w:r w:rsidRPr="000322F4">
        <w:rPr>
          <w:sz w:val="16"/>
          <w:szCs w:val="16"/>
        </w:rPr>
        <w:t xml:space="preserve"> </w:t>
      </w:r>
      <w:r w:rsidRPr="006B1EB1">
        <w:rPr>
          <w:rFonts w:cstheme="minorHAnsi"/>
          <w:color w:val="222222"/>
          <w:sz w:val="16"/>
          <w:szCs w:val="16"/>
          <w:shd w:val="clear" w:color="auto" w:fill="FFFFFF"/>
        </w:rPr>
        <w:t>Board of Governors of the Federal Reserve System (US), Trade Weighted U.S. Dollar Index: Broad, Goods and Services [DTWEXBGS],</w:t>
      </w:r>
      <w:r w:rsidRPr="00DA3959">
        <w:rPr>
          <w:rFonts w:cstheme="minorHAnsi"/>
          <w:i/>
          <w:iCs/>
          <w:color w:val="222222"/>
          <w:sz w:val="16"/>
          <w:szCs w:val="16"/>
          <w:shd w:val="clear" w:color="auto" w:fill="FFFFFF"/>
        </w:rPr>
        <w:t xml:space="preserve">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79151F">
        <w:rPr>
          <w:rFonts w:cstheme="minorHAnsi"/>
          <w:i/>
          <w:iCs/>
          <w:color w:val="222222"/>
          <w:sz w:val="16"/>
          <w:szCs w:val="16"/>
          <w:shd w:val="clear" w:color="auto" w:fill="FFFFFF"/>
        </w:rPr>
        <w:t>Jan 27</w:t>
      </w:r>
      <w:r>
        <w:rPr>
          <w:rFonts w:cstheme="minorHAnsi"/>
          <w:i/>
          <w:iCs/>
          <w:color w:val="222222"/>
          <w:sz w:val="16"/>
          <w:szCs w:val="16"/>
          <w:shd w:val="clear" w:color="auto" w:fill="FFFFFF"/>
        </w:rPr>
        <w:t>, 202</w:t>
      </w:r>
      <w:r w:rsidR="0079151F">
        <w:rPr>
          <w:rFonts w:cstheme="minorHAnsi"/>
          <w:i/>
          <w:iCs/>
          <w:color w:val="222222"/>
          <w:sz w:val="16"/>
          <w:szCs w:val="16"/>
          <w:shd w:val="clear" w:color="auto" w:fill="FFFFFF"/>
        </w:rPr>
        <w:t>2</w:t>
      </w:r>
      <w:r w:rsidRPr="00DA3959">
        <w:rPr>
          <w:rFonts w:cstheme="minorHAnsi"/>
          <w:i/>
          <w:iCs/>
          <w:color w:val="222222"/>
          <w:sz w:val="16"/>
          <w:szCs w:val="16"/>
          <w:shd w:val="clear" w:color="auto" w:fill="FFFFFF"/>
        </w:rPr>
        <w:t>.</w:t>
      </w:r>
    </w:p>
  </w:footnote>
  <w:footnote w:id="3">
    <w:p w14:paraId="4CCE977E" w14:textId="013EA6BB" w:rsidR="00540D2B" w:rsidRDefault="00540D2B" w:rsidP="00540D2B">
      <w:pPr>
        <w:pStyle w:val="FootnoteText"/>
      </w:pPr>
      <w:r>
        <w:rPr>
          <w:rStyle w:val="FootnoteReference"/>
        </w:rPr>
        <w:footnoteRef/>
      </w:r>
      <w:r>
        <w:t xml:space="preserve"> </w:t>
      </w:r>
      <w:r w:rsidRPr="006B1EB1">
        <w:rPr>
          <w:rFonts w:cstheme="minorHAnsi"/>
          <w:color w:val="222222"/>
          <w:sz w:val="16"/>
          <w:szCs w:val="16"/>
          <w:shd w:val="clear" w:color="auto" w:fill="FFFFFF"/>
        </w:rPr>
        <w:t>Federal Reserve Bank of Philadelphia, Coincident Economic Activity Index for the United States [USPHCI],</w:t>
      </w:r>
      <w:r w:rsidRPr="00DA3959">
        <w:rPr>
          <w:rFonts w:cstheme="minorHAnsi"/>
          <w:i/>
          <w:iCs/>
          <w:color w:val="222222"/>
          <w:sz w:val="16"/>
          <w:szCs w:val="16"/>
          <w:shd w:val="clear" w:color="auto" w:fill="FFFFFF"/>
        </w:rPr>
        <w:t xml:space="preserve"> retrieved from FRED, Federal Reserve Bank of St. Louis; </w:t>
      </w:r>
      <w:hyperlink r:id="rId3"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28, 2022</w:t>
      </w:r>
      <w:r w:rsidRPr="00DA3959">
        <w:rPr>
          <w:rFonts w:cstheme="minorHAnsi"/>
          <w:i/>
          <w:iCs/>
          <w:color w:val="222222"/>
          <w:sz w:val="16"/>
          <w:szCs w:val="16"/>
          <w:shd w:val="clear" w:color="auto" w:fill="FFFFFF"/>
        </w:rPr>
        <w:t>.</w:t>
      </w:r>
    </w:p>
  </w:footnote>
  <w:footnote w:id="4">
    <w:p w14:paraId="6579938B" w14:textId="77777777" w:rsidR="00D04F3A" w:rsidRPr="00BF5CE2" w:rsidRDefault="00D04F3A" w:rsidP="00D04F3A">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4"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5">
    <w:p w14:paraId="517776FA" w14:textId="5CD5F63A"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5"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sidR="00967B10">
        <w:rPr>
          <w:rFonts w:cstheme="minorHAnsi"/>
          <w:i/>
          <w:iCs/>
          <w:color w:val="222222"/>
          <w:sz w:val="16"/>
          <w:szCs w:val="16"/>
          <w:shd w:val="clear" w:color="auto" w:fill="FFFFFF"/>
        </w:rPr>
        <w:t>Jan 27</w:t>
      </w:r>
      <w:r>
        <w:rPr>
          <w:rFonts w:cstheme="minorHAnsi"/>
          <w:i/>
          <w:iCs/>
          <w:color w:val="222222"/>
          <w:sz w:val="16"/>
          <w:szCs w:val="16"/>
          <w:shd w:val="clear" w:color="auto" w:fill="FFFFFF"/>
        </w:rPr>
        <w:t>, 202</w:t>
      </w:r>
      <w:r w:rsidR="00967B10">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6">
    <w:p w14:paraId="2C89D3DC" w14:textId="77777777" w:rsidR="00137248" w:rsidRPr="00967B10" w:rsidRDefault="00137248" w:rsidP="00137248">
      <w:pPr>
        <w:pStyle w:val="FootnoteText"/>
        <w:rPr>
          <w:i/>
          <w:iCs/>
          <w:sz w:val="16"/>
          <w:szCs w:val="16"/>
          <w:highlight w:val="yellow"/>
        </w:rPr>
      </w:pPr>
      <w:r w:rsidRPr="00A202A9">
        <w:rPr>
          <w:rStyle w:val="FootnoteReference"/>
        </w:rPr>
        <w:footnoteRef/>
      </w:r>
      <w:r w:rsidRPr="00A202A9">
        <w:t xml:space="preserve"> </w:t>
      </w:r>
      <w:r w:rsidRPr="00A202A9">
        <w:rPr>
          <w:sz w:val="16"/>
          <w:szCs w:val="16"/>
        </w:rPr>
        <w:t xml:space="preserve">U.S. Bureau of Economic Analysis, Contributions to percent change in real gross domestic product: Gross private domestic investment [A006RY2Q224SBEA], </w:t>
      </w:r>
      <w:r w:rsidRPr="00A202A9">
        <w:rPr>
          <w:i/>
          <w:iCs/>
          <w:sz w:val="16"/>
          <w:szCs w:val="16"/>
        </w:rPr>
        <w:t xml:space="preserve">retrieved from FRED, Federal Reserve Bank of St. Louis; </w:t>
      </w:r>
      <w:hyperlink r:id="rId6" w:history="1">
        <w:r w:rsidRPr="00A202A9">
          <w:rPr>
            <w:rStyle w:val="Hyperlink"/>
            <w:i/>
            <w:iCs/>
            <w:sz w:val="16"/>
            <w:szCs w:val="16"/>
          </w:rPr>
          <w:t>https://fred.stlouisfed.org/series/A006RY2Q224SBEA</w:t>
        </w:r>
      </w:hyperlink>
      <w:r w:rsidRPr="00A202A9">
        <w:rPr>
          <w:i/>
          <w:iCs/>
          <w:sz w:val="16"/>
          <w:szCs w:val="16"/>
        </w:rPr>
        <w:t xml:space="preserve">, </w:t>
      </w:r>
      <w:r w:rsidRPr="00A202A9">
        <w:rPr>
          <w:rFonts w:cstheme="minorHAnsi"/>
          <w:i/>
          <w:iCs/>
          <w:color w:val="222222"/>
          <w:sz w:val="16"/>
          <w:szCs w:val="16"/>
          <w:shd w:val="clear" w:color="auto" w:fill="FFFFFF"/>
        </w:rPr>
        <w:t>Jan 27, 2022</w:t>
      </w:r>
      <w:r w:rsidRPr="00A202A9">
        <w:rPr>
          <w:i/>
          <w:iCs/>
          <w:sz w:val="16"/>
          <w:szCs w:val="16"/>
        </w:rPr>
        <w:t>.</w:t>
      </w:r>
    </w:p>
  </w:footnote>
  <w:footnote w:id="7">
    <w:p w14:paraId="38368886" w14:textId="06A4C69A" w:rsidR="009A15D9" w:rsidRPr="00A202A9" w:rsidRDefault="009A15D9" w:rsidP="009A15D9">
      <w:pPr>
        <w:pStyle w:val="FootnoteText"/>
        <w:rPr>
          <w:i/>
          <w:iCs/>
          <w:sz w:val="16"/>
          <w:szCs w:val="16"/>
        </w:rPr>
      </w:pPr>
      <w:r w:rsidRPr="00A202A9">
        <w:rPr>
          <w:rStyle w:val="FootnoteReference"/>
        </w:rPr>
        <w:footnoteRef/>
      </w:r>
      <w:r w:rsidRPr="00A202A9">
        <w:t xml:space="preserve"> </w:t>
      </w:r>
      <w:r w:rsidR="00263EBD" w:rsidRPr="00A202A9">
        <w:rPr>
          <w:sz w:val="16"/>
          <w:szCs w:val="16"/>
        </w:rPr>
        <w:t xml:space="preserve">U.S. Bureau of Economic Analysis, Contributions to percent change in real gross domestic product: Personal consumption expenditures [DPCERY2Q224SBEA], </w:t>
      </w:r>
      <w:r w:rsidR="00263EBD" w:rsidRPr="00A202A9">
        <w:rPr>
          <w:i/>
          <w:iCs/>
          <w:sz w:val="16"/>
          <w:szCs w:val="16"/>
        </w:rPr>
        <w:t xml:space="preserve">retrieved from FRED, Federal Reserve Bank of St. Louis; </w:t>
      </w:r>
      <w:hyperlink r:id="rId7" w:history="1">
        <w:r w:rsidR="00F72263" w:rsidRPr="00A202A9">
          <w:rPr>
            <w:rStyle w:val="Hyperlink"/>
            <w:i/>
            <w:iCs/>
            <w:sz w:val="16"/>
            <w:szCs w:val="16"/>
          </w:rPr>
          <w:t>https://fred.stlouisfed.org/series/DPCERY2Q224SBEA</w:t>
        </w:r>
      </w:hyperlink>
      <w:r w:rsidR="00263EBD" w:rsidRPr="00A202A9">
        <w:rPr>
          <w:i/>
          <w:iCs/>
          <w:sz w:val="16"/>
          <w:szCs w:val="16"/>
        </w:rPr>
        <w:t xml:space="preserve">, </w:t>
      </w:r>
      <w:r w:rsidR="00967B10" w:rsidRPr="00A202A9">
        <w:rPr>
          <w:rFonts w:cstheme="minorHAnsi"/>
          <w:i/>
          <w:iCs/>
          <w:color w:val="222222"/>
          <w:sz w:val="16"/>
          <w:szCs w:val="16"/>
          <w:shd w:val="clear" w:color="auto" w:fill="FFFFFF"/>
        </w:rPr>
        <w:t>Jan 27, 2022</w:t>
      </w:r>
      <w:r w:rsidR="00263EBD" w:rsidRPr="00A202A9">
        <w:rPr>
          <w:i/>
          <w:iCs/>
          <w:sz w:val="16"/>
          <w:szCs w:val="16"/>
        </w:rPr>
        <w:t>.</w:t>
      </w:r>
    </w:p>
  </w:footnote>
  <w:footnote w:id="8">
    <w:p w14:paraId="5F9EEBAC" w14:textId="5CE0912A" w:rsidR="009A15D9" w:rsidRDefault="009A15D9" w:rsidP="009A15D9">
      <w:pPr>
        <w:pStyle w:val="FootnoteText"/>
      </w:pPr>
      <w:r w:rsidRPr="00A202A9">
        <w:rPr>
          <w:rStyle w:val="FootnoteReference"/>
        </w:rPr>
        <w:footnoteRef/>
      </w:r>
      <w:r w:rsidRPr="00A202A9">
        <w:t xml:space="preserve"> </w:t>
      </w:r>
      <w:r w:rsidR="00263EBD" w:rsidRPr="00A202A9">
        <w:rPr>
          <w:sz w:val="16"/>
          <w:szCs w:val="16"/>
        </w:rPr>
        <w:t xml:space="preserve">U.S. Bureau of Economic Analysis, Contributions to percent change in real gross domestic product: Government consumption expenditures and gross investment [A822RY2Q224SBEA], </w:t>
      </w:r>
      <w:r w:rsidR="00263EBD" w:rsidRPr="00A202A9">
        <w:rPr>
          <w:i/>
          <w:iCs/>
          <w:sz w:val="16"/>
          <w:szCs w:val="16"/>
        </w:rPr>
        <w:t xml:space="preserve">retrieved from FRED, Federal Reserve Bank of St. Louis; </w:t>
      </w:r>
      <w:hyperlink r:id="rId8" w:history="1">
        <w:r w:rsidR="00F72263" w:rsidRPr="00A202A9">
          <w:rPr>
            <w:rStyle w:val="Hyperlink"/>
            <w:i/>
            <w:iCs/>
            <w:sz w:val="16"/>
            <w:szCs w:val="16"/>
          </w:rPr>
          <w:t>https://fred.stlouisfed.org/series/A822RY2Q224SBEA</w:t>
        </w:r>
      </w:hyperlink>
      <w:r w:rsidR="00263EBD" w:rsidRPr="00A202A9">
        <w:rPr>
          <w:i/>
          <w:iCs/>
          <w:sz w:val="16"/>
          <w:szCs w:val="16"/>
        </w:rPr>
        <w:t xml:space="preserve">, </w:t>
      </w:r>
      <w:r w:rsidR="00967B10" w:rsidRPr="00A202A9">
        <w:rPr>
          <w:rFonts w:cstheme="minorHAnsi"/>
          <w:i/>
          <w:iCs/>
          <w:color w:val="222222"/>
          <w:sz w:val="16"/>
          <w:szCs w:val="16"/>
          <w:shd w:val="clear" w:color="auto" w:fill="FFFFFF"/>
        </w:rPr>
        <w:t>Jan 27, 2022</w:t>
      </w:r>
      <w:r w:rsidR="00263EBD" w:rsidRPr="00A202A9">
        <w:rPr>
          <w:i/>
          <w:iCs/>
          <w:sz w:val="16"/>
          <w:szCs w:val="16"/>
        </w:rPr>
        <w:t>.</w:t>
      </w:r>
    </w:p>
  </w:footnote>
  <w:footnote w:id="9">
    <w:p w14:paraId="4DEC6634" w14:textId="465AF081" w:rsidR="009A15D9" w:rsidRPr="009A15D9" w:rsidRDefault="009A15D9" w:rsidP="009A15D9">
      <w:pPr>
        <w:pStyle w:val="FootnoteText"/>
        <w:rPr>
          <w:i/>
          <w:iCs/>
          <w:sz w:val="16"/>
          <w:szCs w:val="16"/>
          <w:lang w:val="en-PH"/>
        </w:rPr>
      </w:pPr>
      <w:r w:rsidRPr="009A15D9">
        <w:rPr>
          <w:rStyle w:val="FootnoteReference"/>
          <w:szCs w:val="18"/>
        </w:rPr>
        <w:footnoteRef/>
      </w:r>
      <w:r w:rsidRPr="009A15D9">
        <w:rPr>
          <w:sz w:val="15"/>
          <w:szCs w:val="15"/>
          <w:lang w:val="en-PH"/>
        </w:rPr>
        <w:t xml:space="preserve"> </w:t>
      </w:r>
      <w:r w:rsidR="00A202A9" w:rsidRPr="00A202A9">
        <w:rPr>
          <w:sz w:val="16"/>
          <w:szCs w:val="16"/>
          <w:lang w:val="en-PH"/>
        </w:rPr>
        <w:t xml:space="preserve">U.S. Bureau of Economic Analysis, Contributions to percent change in real gross domestic product: Net exports of goods and services [A019RY2Q224SBEA], </w:t>
      </w:r>
      <w:r w:rsidR="00A202A9" w:rsidRPr="00A202A9">
        <w:rPr>
          <w:i/>
          <w:iCs/>
          <w:sz w:val="16"/>
          <w:szCs w:val="16"/>
          <w:lang w:val="en-PH"/>
        </w:rPr>
        <w:t xml:space="preserve">retrieved from FRED, Federal Reserve Bank of St. Louis; </w:t>
      </w:r>
      <w:hyperlink r:id="rId9" w:history="1">
        <w:r w:rsidR="00A202A9" w:rsidRPr="00A202A9">
          <w:rPr>
            <w:rStyle w:val="Hyperlink"/>
            <w:i/>
            <w:iCs/>
            <w:sz w:val="16"/>
            <w:szCs w:val="16"/>
            <w:lang w:val="en-PH"/>
          </w:rPr>
          <w:t>https://fred.stlouisfed.org/series/A019RY2Q224SBEA</w:t>
        </w:r>
      </w:hyperlink>
      <w:r w:rsidR="00A202A9" w:rsidRPr="00A202A9">
        <w:rPr>
          <w:i/>
          <w:iCs/>
          <w:sz w:val="16"/>
          <w:szCs w:val="16"/>
          <w:lang w:val="en-PH"/>
        </w:rPr>
        <w:t>, Jan 27, 2022.</w:t>
      </w:r>
    </w:p>
  </w:footnote>
  <w:footnote w:id="10">
    <w:p w14:paraId="7FABCB6E" w14:textId="4D70DFFD" w:rsidR="00B36811" w:rsidRPr="006A114D" w:rsidRDefault="00B36811" w:rsidP="00D03164">
      <w:pPr>
        <w:pStyle w:val="FootnoteText"/>
        <w:rPr>
          <w:lang w:val="en-PH"/>
        </w:rPr>
      </w:pPr>
      <w:r w:rsidRPr="009A15D9">
        <w:rPr>
          <w:rStyle w:val="FootnoteReference"/>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10"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sidR="006B1EB1">
        <w:rPr>
          <w:rFonts w:cstheme="minorHAnsi"/>
          <w:i/>
          <w:iCs/>
          <w:color w:val="222222"/>
          <w:sz w:val="16"/>
          <w:szCs w:val="16"/>
          <w:shd w:val="clear" w:color="auto" w:fill="FFFFFF"/>
        </w:rPr>
        <w:t>Nov 1</w:t>
      </w:r>
      <w:r>
        <w:rPr>
          <w:rFonts w:cstheme="minorHAnsi"/>
          <w:i/>
          <w:iCs/>
          <w:color w:val="222222"/>
          <w:sz w:val="16"/>
          <w:szCs w:val="16"/>
          <w:shd w:val="clear" w:color="auto" w:fill="FFFFFF"/>
        </w:rPr>
        <w:t>, 2021</w:t>
      </w:r>
      <w:r w:rsidRPr="00BF5CE2">
        <w:rPr>
          <w:rFonts w:cstheme="minorHAnsi"/>
          <w:i/>
          <w:iCs/>
          <w:color w:val="222222"/>
          <w:sz w:val="16"/>
          <w:szCs w:val="16"/>
          <w:shd w:val="clear" w:color="auto" w:fill="FFFFFF"/>
        </w:rPr>
        <w:t>.</w:t>
      </w:r>
    </w:p>
  </w:footnote>
  <w:footnote w:id="11">
    <w:p w14:paraId="036626D0" w14:textId="064AE253" w:rsidR="00B36811" w:rsidRDefault="00B36811" w:rsidP="007A05AD">
      <w:pPr>
        <w:pStyle w:val="FootnoteText"/>
      </w:pPr>
      <w:r>
        <w:rPr>
          <w:rStyle w:val="FootnoteReference"/>
        </w:rPr>
        <w:footnoteRef/>
      </w:r>
      <w:r>
        <w:rPr>
          <w:sz w:val="16"/>
          <w:szCs w:val="16"/>
          <w:lang w:val="en-PH"/>
        </w:rPr>
        <w:t xml:space="preserve"> </w:t>
      </w:r>
      <w:r w:rsidRPr="00267BC7">
        <w:rPr>
          <w:sz w:val="16"/>
          <w:szCs w:val="16"/>
          <w:lang w:val="en-PH"/>
        </w:rPr>
        <w:t>Board of Governors of the Federal Reserve System (US),</w:t>
      </w:r>
      <w:r>
        <w:rPr>
          <w:sz w:val="16"/>
          <w:szCs w:val="16"/>
          <w:lang w:val="en-PH"/>
        </w:rPr>
        <w:t xml:space="preserve"> Capacity Utilization, Manufacturing (NAICS), </w:t>
      </w:r>
      <w:r w:rsidRPr="006B1EB1">
        <w:rPr>
          <w:i/>
          <w:iCs/>
          <w:sz w:val="16"/>
          <w:szCs w:val="16"/>
          <w:lang w:val="en-PH"/>
        </w:rPr>
        <w:t xml:space="preserve">retrieved from FRED, Federal Reserve Bank of St. Louis; </w:t>
      </w:r>
      <w:hyperlink r:id="rId11" w:history="1">
        <w:r w:rsidRPr="006B1EB1">
          <w:rPr>
            <w:rStyle w:val="Hyperlink"/>
            <w:i/>
            <w:iCs/>
            <w:sz w:val="16"/>
            <w:szCs w:val="16"/>
            <w:lang w:val="en-PH"/>
          </w:rPr>
          <w:t>https://fred.stlouisfed.org/series/MCUMFN</w:t>
        </w:r>
      </w:hyperlink>
      <w:r w:rsidRPr="006B1EB1">
        <w:rPr>
          <w:i/>
          <w:iCs/>
          <w:sz w:val="16"/>
          <w:szCs w:val="16"/>
          <w:lang w:val="en-PH"/>
        </w:rPr>
        <w:t xml:space="preserve">, </w:t>
      </w:r>
      <w:r w:rsidR="00952E0A">
        <w:rPr>
          <w:i/>
          <w:iCs/>
          <w:sz w:val="16"/>
          <w:szCs w:val="16"/>
          <w:lang w:val="en-PH"/>
        </w:rPr>
        <w:t>Jan 27</w:t>
      </w:r>
      <w:r w:rsidRPr="006B1EB1">
        <w:rPr>
          <w:i/>
          <w:iCs/>
          <w:sz w:val="16"/>
          <w:szCs w:val="16"/>
          <w:lang w:val="en-PH"/>
        </w:rPr>
        <w:t>, 202</w:t>
      </w:r>
      <w:r w:rsidR="00455D78">
        <w:rPr>
          <w:i/>
          <w:iCs/>
          <w:sz w:val="16"/>
          <w:szCs w:val="16"/>
          <w:lang w:val="en-PH"/>
        </w:rPr>
        <w:t>2</w:t>
      </w:r>
      <w:r w:rsidR="006B1EB1">
        <w:rPr>
          <w:i/>
          <w:iCs/>
          <w:sz w:val="16"/>
          <w:szCs w:val="16"/>
          <w:lang w:val="en-PH"/>
        </w:rPr>
        <w:t>.</w:t>
      </w:r>
    </w:p>
  </w:footnote>
  <w:footnote w:id="12">
    <w:p w14:paraId="5D03BFAC" w14:textId="05ED3D5D" w:rsidR="00B36811" w:rsidRPr="005A0EC4" w:rsidRDefault="00B36811" w:rsidP="00952E0A">
      <w:pPr>
        <w:pStyle w:val="FootnoteText"/>
        <w:rPr>
          <w:rFonts w:ascii="Times New Roman" w:eastAsia="Times New Roman" w:hAnsi="Times New Roman" w:cs="Times New Roman"/>
          <w:szCs w:val="24"/>
        </w:rPr>
      </w:pPr>
      <w:r>
        <w:rPr>
          <w:rStyle w:val="FootnoteReference"/>
        </w:rPr>
        <w:footnoteRef/>
      </w:r>
      <w:r>
        <w:t xml:space="preserve"> </w:t>
      </w:r>
      <w:r w:rsidRPr="00814E45">
        <w:rPr>
          <w:sz w:val="16"/>
          <w:szCs w:val="16"/>
          <w:lang w:val="en-PH"/>
        </w:rPr>
        <w:t xml:space="preserve">Board of Governors of the Federal Reserve System (US), Federal Funds Effective Rate [FEDFUNDS], </w:t>
      </w:r>
      <w:r w:rsidRPr="006B1EB1">
        <w:rPr>
          <w:i/>
          <w:iCs/>
          <w:sz w:val="16"/>
          <w:szCs w:val="16"/>
          <w:lang w:val="en-PH"/>
        </w:rPr>
        <w:t xml:space="preserve">retrieved from FRED, Federal Reserve Bank of St. Louis; </w:t>
      </w:r>
      <w:hyperlink r:id="rId12" w:history="1">
        <w:r w:rsidRPr="006B1EB1">
          <w:rPr>
            <w:rStyle w:val="Hyperlink"/>
            <w:i/>
            <w:iCs/>
            <w:sz w:val="16"/>
            <w:szCs w:val="16"/>
            <w:lang w:val="en-PH"/>
          </w:rPr>
          <w:t>https://fred.stlouisfed.org/series/FEDFUNDS</w:t>
        </w:r>
      </w:hyperlink>
      <w:r w:rsidRPr="006B1EB1">
        <w:rPr>
          <w:i/>
          <w:iCs/>
          <w:sz w:val="16"/>
          <w:szCs w:val="16"/>
          <w:lang w:val="en-PH"/>
        </w:rPr>
        <w:t xml:space="preserve">, </w:t>
      </w:r>
      <w:r w:rsidR="00952E0A">
        <w:rPr>
          <w:i/>
          <w:iCs/>
          <w:sz w:val="16"/>
          <w:szCs w:val="16"/>
          <w:lang w:val="en-PH"/>
        </w:rPr>
        <w:t>Jan 27</w:t>
      </w:r>
      <w:r w:rsidRPr="006B1EB1">
        <w:rPr>
          <w:i/>
          <w:iCs/>
          <w:sz w:val="16"/>
          <w:szCs w:val="16"/>
          <w:lang w:val="en-PH"/>
        </w:rPr>
        <w:t>, 202</w:t>
      </w:r>
      <w:r w:rsidR="00455D78">
        <w:rPr>
          <w:i/>
          <w:iCs/>
          <w:sz w:val="16"/>
          <w:szCs w:val="16"/>
          <w:lang w:val="en-PH"/>
        </w:rPr>
        <w:t>2</w:t>
      </w:r>
      <w:r w:rsidRPr="006B1EB1">
        <w:rPr>
          <w:i/>
          <w:iCs/>
          <w:sz w:val="16"/>
          <w:szCs w:val="16"/>
          <w:lang w:val="en-PH"/>
        </w:rPr>
        <w:t>.</w:t>
      </w:r>
    </w:p>
  </w:footnote>
  <w:footnote w:id="13">
    <w:p w14:paraId="2BE1B367" w14:textId="3732FB4B" w:rsidR="00B36811" w:rsidRDefault="00B36811">
      <w:pPr>
        <w:pStyle w:val="FootnoteText"/>
      </w:pPr>
      <w:r>
        <w:rPr>
          <w:rStyle w:val="FootnoteReference"/>
        </w:rPr>
        <w:footnoteRef/>
      </w:r>
      <w:r>
        <w:t xml:space="preserve"> </w:t>
      </w:r>
      <w:r w:rsidRPr="006B1EB1">
        <w:rPr>
          <w:sz w:val="16"/>
          <w:szCs w:val="16"/>
          <w:lang w:val="en-PH"/>
        </w:rPr>
        <w:t>Selected Interest Rates Instruments, Yields in percent per annum,</w:t>
      </w:r>
      <w:r w:rsidRPr="00B65667">
        <w:rPr>
          <w:i/>
          <w:iCs/>
          <w:sz w:val="16"/>
          <w:szCs w:val="16"/>
          <w:lang w:val="en-PH"/>
        </w:rPr>
        <w:t xml:space="preserve"> retrieved from FRED, Federal Reserve Bank of St. Louis; </w:t>
      </w:r>
      <w:hyperlink r:id="rId13" w:history="1">
        <w:r>
          <w:rPr>
            <w:rStyle w:val="Hyperlink"/>
            <w:i/>
            <w:iCs/>
            <w:sz w:val="16"/>
            <w:szCs w:val="16"/>
            <w:lang w:val="en-PH"/>
          </w:rPr>
          <w:t>https://fred.stlouisfed.org/release/tables?rid=18&amp;eid=289&amp;od=2021-09-30</w:t>
        </w:r>
      </w:hyperlink>
      <w:r w:rsidRPr="00B65667">
        <w:rPr>
          <w:i/>
          <w:iCs/>
          <w:sz w:val="16"/>
          <w:szCs w:val="16"/>
          <w:lang w:val="en-PH"/>
        </w:rPr>
        <w:t xml:space="preserve">, </w:t>
      </w:r>
      <w:r w:rsidR="00952E0A">
        <w:rPr>
          <w:i/>
          <w:iCs/>
          <w:sz w:val="16"/>
          <w:szCs w:val="16"/>
          <w:lang w:val="en-PH"/>
        </w:rPr>
        <w:t>Jan 27</w:t>
      </w:r>
      <w:r>
        <w:rPr>
          <w:i/>
          <w:iCs/>
          <w:sz w:val="16"/>
          <w:szCs w:val="16"/>
          <w:lang w:val="en-PH"/>
        </w:rPr>
        <w:t>, 202</w:t>
      </w:r>
      <w:r w:rsidR="00455D78">
        <w:rPr>
          <w:i/>
          <w:iCs/>
          <w:sz w:val="16"/>
          <w:szCs w:val="16"/>
          <w:lang w:val="en-PH"/>
        </w:rPr>
        <w:t>2</w:t>
      </w:r>
      <w:r w:rsidRPr="00B65667">
        <w:rPr>
          <w:i/>
          <w:iCs/>
          <w:sz w:val="16"/>
          <w:szCs w:val="16"/>
          <w:lang w:val="en-PH"/>
        </w:rPr>
        <w:t>.</w:t>
      </w:r>
    </w:p>
  </w:footnote>
  <w:footnote w:id="14">
    <w:p w14:paraId="35FA6FE7" w14:textId="1719A714"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E97314">
        <w:rPr>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14"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sidR="00455D78">
        <w:rPr>
          <w:rFonts w:cstheme="minorHAnsi"/>
          <w:i/>
          <w:iCs/>
          <w:color w:val="222222"/>
          <w:sz w:val="16"/>
          <w:szCs w:val="16"/>
          <w:shd w:val="clear" w:color="auto" w:fill="FFFFFF"/>
        </w:rPr>
        <w:t>Jan 27</w:t>
      </w:r>
      <w:r>
        <w:rPr>
          <w:rFonts w:cstheme="minorHAnsi"/>
          <w:i/>
          <w:iCs/>
          <w:color w:val="222222"/>
          <w:sz w:val="16"/>
          <w:szCs w:val="16"/>
          <w:shd w:val="clear" w:color="auto" w:fill="FFFFFF"/>
        </w:rPr>
        <w:t>, 202</w:t>
      </w:r>
      <w:r w:rsidR="00455D78">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15">
    <w:p w14:paraId="5D92A033" w14:textId="6FF1BC9E" w:rsidR="00B36811" w:rsidRPr="004759DB"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15"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sidR="00455D78">
        <w:rPr>
          <w:rFonts w:cstheme="minorHAnsi"/>
          <w:i/>
          <w:iCs/>
          <w:color w:val="222222"/>
          <w:sz w:val="16"/>
          <w:szCs w:val="16"/>
          <w:shd w:val="clear" w:color="auto" w:fill="FFFFFF"/>
        </w:rPr>
        <w:t>Jan 27</w:t>
      </w:r>
      <w:r>
        <w:rPr>
          <w:rFonts w:cstheme="minorHAnsi"/>
          <w:i/>
          <w:iCs/>
          <w:color w:val="222222"/>
          <w:sz w:val="16"/>
          <w:szCs w:val="16"/>
          <w:shd w:val="clear" w:color="auto" w:fill="FFFFFF"/>
        </w:rPr>
        <w:t>, 202</w:t>
      </w:r>
      <w:r w:rsidR="00455D78">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16">
    <w:p w14:paraId="29E4EDD1" w14:textId="73702578"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00263EBD" w:rsidRPr="00263EBD">
        <w:rPr>
          <w:sz w:val="16"/>
          <w:szCs w:val="16"/>
          <w:lang w:val="en-PH"/>
        </w:rPr>
        <w:t xml:space="preserve">Moody’s, Moody's Seasoned Baa Corporate Bond Yield [DBAA], </w:t>
      </w:r>
      <w:r w:rsidR="00263EBD" w:rsidRPr="00263EBD">
        <w:rPr>
          <w:i/>
          <w:iCs/>
          <w:sz w:val="16"/>
          <w:szCs w:val="16"/>
          <w:lang w:val="en-PH"/>
        </w:rPr>
        <w:t xml:space="preserve">retrieved from FRED, Federal Reserve Bank of St. Louis; </w:t>
      </w:r>
      <w:hyperlink r:id="rId16" w:history="1">
        <w:r w:rsidR="00263EBD" w:rsidRPr="00263EBD">
          <w:rPr>
            <w:rStyle w:val="Hyperlink"/>
            <w:i/>
            <w:iCs/>
            <w:sz w:val="16"/>
            <w:szCs w:val="16"/>
            <w:lang w:val="en-PH"/>
          </w:rPr>
          <w:t>https://fred.stlouisfed.org/series/DBAA</w:t>
        </w:r>
      </w:hyperlink>
      <w:r w:rsidR="00263EBD" w:rsidRPr="00263EBD">
        <w:rPr>
          <w:i/>
          <w:iCs/>
          <w:sz w:val="16"/>
          <w:szCs w:val="16"/>
          <w:lang w:val="en-PH"/>
        </w:rPr>
        <w:t xml:space="preserve">, </w:t>
      </w:r>
      <w:r w:rsidR="00F34E7B">
        <w:rPr>
          <w:i/>
          <w:iCs/>
          <w:sz w:val="16"/>
          <w:szCs w:val="16"/>
          <w:lang w:val="en-PH"/>
        </w:rPr>
        <w:t>Jan 27</w:t>
      </w:r>
      <w:r w:rsidR="00263EBD" w:rsidRPr="00263EBD">
        <w:rPr>
          <w:i/>
          <w:iCs/>
          <w:sz w:val="16"/>
          <w:szCs w:val="16"/>
          <w:lang w:val="en-PH"/>
        </w:rPr>
        <w:t>, 202</w:t>
      </w:r>
      <w:r w:rsidR="00F34E7B">
        <w:rPr>
          <w:i/>
          <w:iCs/>
          <w:sz w:val="16"/>
          <w:szCs w:val="16"/>
          <w:lang w:val="en-PH"/>
        </w:rPr>
        <w:t>2</w:t>
      </w:r>
      <w:r w:rsidR="00263EBD" w:rsidRPr="00263EBD">
        <w:rPr>
          <w:i/>
          <w:iCs/>
          <w:sz w:val="16"/>
          <w:szCs w:val="16"/>
          <w:lang w:val="en-PH"/>
        </w:rPr>
        <w:t>.</w:t>
      </w:r>
    </w:p>
  </w:footnote>
  <w:footnote w:id="17">
    <w:p w14:paraId="6012CE06" w14:textId="74F45AF7" w:rsidR="00B36811" w:rsidRPr="00263EBD" w:rsidRDefault="00B36811">
      <w:pPr>
        <w:pStyle w:val="FootnoteText"/>
        <w:rPr>
          <w:i/>
          <w:iCs/>
        </w:rPr>
      </w:pPr>
      <w:r w:rsidRPr="009D42AA">
        <w:rPr>
          <w:rStyle w:val="FootnoteReference"/>
          <w:sz w:val="16"/>
          <w:szCs w:val="16"/>
        </w:rPr>
        <w:footnoteRef/>
      </w:r>
      <w:r w:rsidRPr="009D42AA">
        <w:rPr>
          <w:rStyle w:val="FootnoteReference"/>
          <w:sz w:val="16"/>
          <w:szCs w:val="16"/>
        </w:rPr>
        <w:t xml:space="preserve"> </w:t>
      </w:r>
      <w:r w:rsidR="00263EBD" w:rsidRPr="00263EBD">
        <w:rPr>
          <w:sz w:val="16"/>
          <w:szCs w:val="16"/>
          <w:lang w:val="en-PH"/>
        </w:rPr>
        <w:t xml:space="preserve">Moody’s, Moody's Seasoned </w:t>
      </w:r>
      <w:proofErr w:type="spellStart"/>
      <w:r w:rsidR="00263EBD" w:rsidRPr="00263EBD">
        <w:rPr>
          <w:sz w:val="16"/>
          <w:szCs w:val="16"/>
          <w:lang w:val="en-PH"/>
        </w:rPr>
        <w:t>Aaa</w:t>
      </w:r>
      <w:proofErr w:type="spellEnd"/>
      <w:r w:rsidR="00263EBD" w:rsidRPr="00263EBD">
        <w:rPr>
          <w:sz w:val="16"/>
          <w:szCs w:val="16"/>
          <w:lang w:val="en-PH"/>
        </w:rPr>
        <w:t xml:space="preserve"> Corporate Bond Yield [DAAA], </w:t>
      </w:r>
      <w:r w:rsidR="00263EBD" w:rsidRPr="00263EBD">
        <w:rPr>
          <w:i/>
          <w:iCs/>
          <w:sz w:val="16"/>
          <w:szCs w:val="16"/>
          <w:lang w:val="en-PH"/>
        </w:rPr>
        <w:t xml:space="preserve">retrieved from FRED, Federal Reserve Bank of St. Louis; </w:t>
      </w:r>
      <w:hyperlink r:id="rId17" w:history="1">
        <w:r w:rsidR="00263EBD" w:rsidRPr="00263EBD">
          <w:rPr>
            <w:rStyle w:val="Hyperlink"/>
            <w:i/>
            <w:iCs/>
            <w:sz w:val="16"/>
            <w:szCs w:val="16"/>
            <w:lang w:val="en-PH"/>
          </w:rPr>
          <w:t>https://fred.stlouisfed.org/series/DAAA</w:t>
        </w:r>
      </w:hyperlink>
      <w:r w:rsidR="00263EBD" w:rsidRPr="00263EBD">
        <w:rPr>
          <w:i/>
          <w:iCs/>
          <w:sz w:val="16"/>
          <w:szCs w:val="16"/>
          <w:lang w:val="en-PH"/>
        </w:rPr>
        <w:t xml:space="preserve">, </w:t>
      </w:r>
      <w:r w:rsidR="00F34E7B">
        <w:rPr>
          <w:i/>
          <w:iCs/>
          <w:sz w:val="16"/>
          <w:szCs w:val="16"/>
          <w:lang w:val="en-PH"/>
        </w:rPr>
        <w:t>Jan 27</w:t>
      </w:r>
      <w:r w:rsidR="00F34E7B" w:rsidRPr="00263EBD">
        <w:rPr>
          <w:i/>
          <w:iCs/>
          <w:sz w:val="16"/>
          <w:szCs w:val="16"/>
          <w:lang w:val="en-PH"/>
        </w:rPr>
        <w:t>, 202</w:t>
      </w:r>
      <w:r w:rsidR="00F34E7B">
        <w:rPr>
          <w:i/>
          <w:iCs/>
          <w:sz w:val="16"/>
          <w:szCs w:val="16"/>
          <w:lang w:val="en-PH"/>
        </w:rPr>
        <w:t>2</w:t>
      </w:r>
      <w:r w:rsidR="00263EBD" w:rsidRPr="00263EBD">
        <w:rPr>
          <w:i/>
          <w:iCs/>
          <w:sz w:val="16"/>
          <w:szCs w:val="16"/>
          <w:lang w:val="en-PH"/>
        </w:rPr>
        <w:t>.</w:t>
      </w:r>
    </w:p>
  </w:footnote>
  <w:footnote w:id="18">
    <w:p w14:paraId="66B25A11" w14:textId="0B8A6A8D" w:rsidR="00B36811" w:rsidRDefault="00B36811">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8"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sidR="006F1876">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19">
    <w:p w14:paraId="5EC03169" w14:textId="00D2A020" w:rsidR="006859BA" w:rsidRPr="006859BA" w:rsidRDefault="006859BA" w:rsidP="006859BA">
      <w:pPr>
        <w:pStyle w:val="FootnoteText"/>
        <w:ind w:left="270" w:hanging="270"/>
        <w:rPr>
          <w:i/>
          <w:iCs/>
        </w:rPr>
      </w:pPr>
      <w:r>
        <w:rPr>
          <w:rStyle w:val="FootnoteReference"/>
        </w:rPr>
        <w:footnoteRef/>
      </w:r>
      <w:r>
        <w:t xml:space="preserve"> </w:t>
      </w:r>
      <w:r>
        <w:tab/>
      </w:r>
      <w:r w:rsidRPr="006859BA">
        <w:rPr>
          <w:sz w:val="16"/>
          <w:szCs w:val="16"/>
        </w:rPr>
        <w:t xml:space="preserve">U.S. Bureau of Labor Statistics, Civilian Labor Force Level [CLF16OV], </w:t>
      </w:r>
      <w:r w:rsidRPr="006859BA">
        <w:rPr>
          <w:i/>
          <w:iCs/>
          <w:sz w:val="16"/>
          <w:szCs w:val="16"/>
        </w:rPr>
        <w:t xml:space="preserve">retrieved from FRED, Federal Reserve Bank of St. Louis; </w:t>
      </w:r>
      <w:hyperlink r:id="rId19" w:history="1">
        <w:r w:rsidRPr="006859BA">
          <w:rPr>
            <w:rStyle w:val="Hyperlink"/>
            <w:i/>
            <w:iCs/>
            <w:sz w:val="16"/>
            <w:szCs w:val="16"/>
          </w:rPr>
          <w:t>https://fred.stlouisfed.org/series/CLF16OV</w:t>
        </w:r>
      </w:hyperlink>
      <w:r w:rsidRPr="006859BA">
        <w:rPr>
          <w:i/>
          <w:iCs/>
          <w:sz w:val="16"/>
          <w:szCs w:val="16"/>
        </w:rPr>
        <w:t xml:space="preserve">, </w:t>
      </w:r>
      <w:r w:rsidR="006F1876">
        <w:rPr>
          <w:i/>
          <w:iCs/>
          <w:sz w:val="16"/>
          <w:szCs w:val="16"/>
        </w:rPr>
        <w:t>Jan 27, 2022</w:t>
      </w:r>
      <w:r w:rsidRPr="006859BA">
        <w:rPr>
          <w:i/>
          <w:iCs/>
          <w:sz w:val="16"/>
          <w:szCs w:val="16"/>
        </w:rPr>
        <w:t>.</w:t>
      </w:r>
    </w:p>
  </w:footnote>
  <w:footnote w:id="20">
    <w:p w14:paraId="0E3463A9" w14:textId="190FB04D" w:rsidR="006859BA" w:rsidRPr="006859BA" w:rsidRDefault="006859BA" w:rsidP="006859BA">
      <w:pPr>
        <w:pStyle w:val="FootnoteText"/>
        <w:ind w:left="270" w:hanging="270"/>
        <w:rPr>
          <w:i/>
          <w:iCs/>
        </w:rPr>
      </w:pPr>
      <w:r>
        <w:rPr>
          <w:rStyle w:val="FootnoteReference"/>
        </w:rPr>
        <w:footnoteRef/>
      </w:r>
      <w:r>
        <w:t xml:space="preserve"> </w:t>
      </w:r>
      <w:r>
        <w:tab/>
      </w:r>
      <w:r w:rsidRPr="006859BA">
        <w:rPr>
          <w:sz w:val="16"/>
          <w:szCs w:val="16"/>
        </w:rPr>
        <w:t xml:space="preserve">U.S. Bureau of Labor Statistics, Labor Force Participation Rate [CIVPART], </w:t>
      </w:r>
      <w:r w:rsidRPr="006859BA">
        <w:rPr>
          <w:i/>
          <w:iCs/>
          <w:sz w:val="16"/>
          <w:szCs w:val="16"/>
        </w:rPr>
        <w:t xml:space="preserve">retrieved from FRED, Federal Reserve Bank of St. Louis; </w:t>
      </w:r>
      <w:hyperlink r:id="rId20" w:history="1">
        <w:r w:rsidRPr="006859BA">
          <w:rPr>
            <w:rStyle w:val="Hyperlink"/>
            <w:i/>
            <w:iCs/>
            <w:sz w:val="16"/>
            <w:szCs w:val="16"/>
          </w:rPr>
          <w:t>https://fred.stlouisfed.org/series/CIVPART</w:t>
        </w:r>
      </w:hyperlink>
      <w:r w:rsidRPr="006859BA">
        <w:rPr>
          <w:i/>
          <w:iCs/>
          <w:sz w:val="16"/>
          <w:szCs w:val="16"/>
        </w:rPr>
        <w:t xml:space="preserve">, </w:t>
      </w:r>
      <w:r w:rsidR="006F1876">
        <w:rPr>
          <w:i/>
          <w:iCs/>
          <w:sz w:val="16"/>
          <w:szCs w:val="16"/>
        </w:rPr>
        <w:t>Jan 27, 2022</w:t>
      </w:r>
      <w:r w:rsidRPr="006859BA">
        <w:rPr>
          <w:i/>
          <w:iCs/>
          <w:sz w:val="16"/>
          <w:szCs w:val="16"/>
        </w:rPr>
        <w:t>.</w:t>
      </w:r>
    </w:p>
  </w:footnote>
  <w:footnote w:id="21">
    <w:p w14:paraId="7EE0AABC" w14:textId="1958C1FA" w:rsidR="00B36811" w:rsidRPr="00C7535D" w:rsidRDefault="00B36811">
      <w:pPr>
        <w:pStyle w:val="FootnoteText"/>
        <w:rPr>
          <w:sz w:val="16"/>
          <w:szCs w:val="16"/>
        </w:rPr>
      </w:pPr>
      <w:r w:rsidRPr="00D029B3">
        <w:rPr>
          <w:rStyle w:val="FootnoteReference"/>
        </w:rPr>
        <w:footnoteRef/>
      </w:r>
      <w:r w:rsidRPr="00C7535D">
        <w:rPr>
          <w:sz w:val="16"/>
          <w:szCs w:val="16"/>
        </w:rPr>
        <w:t xml:space="preserve"> Federal Reserve Bank of Philadelphia, Livingston Survey, </w:t>
      </w:r>
      <w:hyperlink r:id="rId21" w:history="1">
        <w:r w:rsidRPr="002024E2">
          <w:rPr>
            <w:rStyle w:val="Hyperlink"/>
            <w:i/>
            <w:iCs/>
            <w:sz w:val="16"/>
            <w:szCs w:val="16"/>
          </w:rPr>
          <w:t>https://www.philadelphiafed.org/surveys-and-data/real-time-data-research/livingston-survey</w:t>
        </w:r>
      </w:hyperlink>
      <w:r w:rsidRPr="002024E2">
        <w:rPr>
          <w:i/>
          <w:iCs/>
          <w:sz w:val="16"/>
          <w:szCs w:val="16"/>
        </w:rPr>
        <w:t xml:space="preserve">, </w:t>
      </w:r>
      <w:r w:rsidR="006F1876">
        <w:rPr>
          <w:i/>
          <w:iCs/>
          <w:sz w:val="16"/>
          <w:szCs w:val="16"/>
        </w:rPr>
        <w:t>Jan 27, 2022</w:t>
      </w:r>
      <w:r w:rsidRPr="002024E2">
        <w:rPr>
          <w:i/>
          <w:iCs/>
          <w:sz w:val="16"/>
          <w:szCs w:val="16"/>
        </w:rPr>
        <w:t>.</w:t>
      </w:r>
    </w:p>
  </w:footnote>
  <w:footnote w:id="22">
    <w:p w14:paraId="6C60FCE5" w14:textId="34A0774F" w:rsidR="00D029B3" w:rsidRPr="00D029B3" w:rsidRDefault="00D029B3">
      <w:pPr>
        <w:pStyle w:val="FootnoteText"/>
        <w:rPr>
          <w:sz w:val="16"/>
          <w:szCs w:val="16"/>
        </w:rPr>
      </w:pPr>
      <w:r>
        <w:rPr>
          <w:rStyle w:val="FootnoteReference"/>
        </w:rPr>
        <w:footnoteRef/>
      </w:r>
      <w:r>
        <w:t xml:space="preserve"> </w:t>
      </w:r>
      <w:r w:rsidRPr="00D029B3">
        <w:rPr>
          <w:sz w:val="16"/>
          <w:szCs w:val="16"/>
        </w:rPr>
        <w:t xml:space="preserve">U.S. Bureau of Labor Statistics, </w:t>
      </w:r>
      <w:proofErr w:type="gramStart"/>
      <w:r w:rsidRPr="00D029B3">
        <w:rPr>
          <w:sz w:val="16"/>
          <w:szCs w:val="16"/>
        </w:rPr>
        <w:t>Quits</w:t>
      </w:r>
      <w:proofErr w:type="gramEnd"/>
      <w:r w:rsidRPr="00D029B3">
        <w:rPr>
          <w:sz w:val="16"/>
          <w:szCs w:val="16"/>
        </w:rPr>
        <w:t xml:space="preserve">: Total Nonfarm [JTSQUL], </w:t>
      </w:r>
      <w:r w:rsidRPr="00D029B3">
        <w:rPr>
          <w:i/>
          <w:iCs/>
          <w:sz w:val="16"/>
          <w:szCs w:val="16"/>
        </w:rPr>
        <w:t xml:space="preserve">retrieved from FRED, Federal Reserve Bank of St. Louis; </w:t>
      </w:r>
      <w:hyperlink r:id="rId22" w:history="1">
        <w:r w:rsidRPr="00D029B3">
          <w:rPr>
            <w:rStyle w:val="Hyperlink"/>
            <w:i/>
            <w:iCs/>
            <w:sz w:val="16"/>
            <w:szCs w:val="16"/>
          </w:rPr>
          <w:t>https://fred.stlouisfed.org/series/JTSQUL</w:t>
        </w:r>
      </w:hyperlink>
      <w:r w:rsidRPr="00D029B3">
        <w:rPr>
          <w:i/>
          <w:iCs/>
          <w:sz w:val="16"/>
          <w:szCs w:val="16"/>
        </w:rPr>
        <w:t>, Jan 28, 2022</w:t>
      </w:r>
      <w:r w:rsidRPr="00D029B3">
        <w:rPr>
          <w:sz w:val="16"/>
          <w:szCs w:val="16"/>
        </w:rPr>
        <w:t>.</w:t>
      </w:r>
    </w:p>
  </w:footnote>
  <w:footnote w:id="23">
    <w:p w14:paraId="181B2D4A" w14:textId="132F741F" w:rsidR="00B36811" w:rsidRDefault="00B36811">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23"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sidR="006528B7">
        <w:rPr>
          <w:rFonts w:cstheme="minorHAnsi"/>
          <w:i/>
          <w:iCs/>
          <w:color w:val="222222"/>
          <w:sz w:val="16"/>
          <w:szCs w:val="16"/>
          <w:shd w:val="clear" w:color="auto" w:fill="FFFFFF"/>
        </w:rPr>
        <w:t xml:space="preserve">Jan 27, </w:t>
      </w:r>
      <w:r>
        <w:rPr>
          <w:rFonts w:cstheme="minorHAnsi"/>
          <w:i/>
          <w:iCs/>
          <w:color w:val="222222"/>
          <w:sz w:val="16"/>
          <w:szCs w:val="16"/>
          <w:shd w:val="clear" w:color="auto" w:fill="FFFFFF"/>
        </w:rPr>
        <w:t>202</w:t>
      </w:r>
      <w:r w:rsidR="006528B7">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24">
    <w:p w14:paraId="041DBB1A" w14:textId="6419C986" w:rsidR="00B36811" w:rsidRDefault="00B36811">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24"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xml:space="preserve">, </w:t>
      </w:r>
      <w:r w:rsidR="006528B7">
        <w:rPr>
          <w:rFonts w:cstheme="minorHAnsi"/>
          <w:i/>
          <w:iCs/>
          <w:color w:val="222222"/>
          <w:sz w:val="16"/>
          <w:szCs w:val="16"/>
          <w:shd w:val="clear" w:color="auto" w:fill="FFFFFF"/>
        </w:rPr>
        <w:t>Jan 27, 2022</w:t>
      </w:r>
      <w:r w:rsidRPr="002024E2">
        <w:rPr>
          <w:rFonts w:cstheme="minorHAnsi"/>
          <w:i/>
          <w:iCs/>
          <w:color w:val="222222"/>
          <w:sz w:val="16"/>
          <w:szCs w:val="16"/>
          <w:shd w:val="clear" w:color="auto" w:fill="FFFFFF"/>
        </w:rPr>
        <w:t>.</w:t>
      </w:r>
    </w:p>
  </w:footnote>
  <w:footnote w:id="25">
    <w:p w14:paraId="7DB2BDE1" w14:textId="368009F9" w:rsidR="00B36811" w:rsidRDefault="00B36811">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25"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sidR="00EF1F20">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26">
    <w:p w14:paraId="739A6C3B" w14:textId="5F659001" w:rsidR="00EF1F20" w:rsidRPr="00EF1F20" w:rsidRDefault="00EF1F20">
      <w:pPr>
        <w:pStyle w:val="FootnoteText"/>
        <w:rPr>
          <w:sz w:val="16"/>
          <w:szCs w:val="16"/>
          <w:lang w:val="en-PH"/>
        </w:rPr>
      </w:pPr>
      <w:r>
        <w:rPr>
          <w:rStyle w:val="FootnoteReference"/>
        </w:rPr>
        <w:footnoteRef/>
      </w:r>
      <w:r>
        <w:t xml:space="preserve"> </w:t>
      </w:r>
      <w:r w:rsidRPr="00EF1F20">
        <w:rPr>
          <w:sz w:val="16"/>
          <w:szCs w:val="16"/>
          <w:lang w:val="en-PH"/>
        </w:rPr>
        <w:t xml:space="preserve">U.S. Bureau of Labor Statistics, Consumer Price Index for All Urban Consumers: All Items Less Energy in U.S. City Average [CPILEGSL], </w:t>
      </w:r>
      <w:r w:rsidRPr="00EF1F20">
        <w:rPr>
          <w:i/>
          <w:iCs/>
          <w:sz w:val="16"/>
          <w:szCs w:val="16"/>
          <w:lang w:val="en-PH"/>
        </w:rPr>
        <w:t xml:space="preserve">retrieved from FRED, Federal Reserve Bank of St. Louis; </w:t>
      </w:r>
      <w:hyperlink r:id="rId26" w:history="1">
        <w:r w:rsidRPr="00EF1F20">
          <w:rPr>
            <w:rStyle w:val="Hyperlink"/>
            <w:rFonts w:cstheme="minorHAnsi"/>
            <w:i/>
            <w:iCs/>
            <w:sz w:val="16"/>
            <w:szCs w:val="16"/>
            <w:shd w:val="clear" w:color="auto" w:fill="FFFFFF"/>
          </w:rPr>
          <w:t>https://fred.stlouisfed.org/series/CPILEGSL</w:t>
        </w:r>
      </w:hyperlink>
      <w:r w:rsidRPr="00EF1F20">
        <w:rPr>
          <w:i/>
          <w:iCs/>
          <w:sz w:val="16"/>
          <w:szCs w:val="16"/>
          <w:lang w:val="en-PH"/>
        </w:rPr>
        <w:t>, Jan 27, 2022</w:t>
      </w:r>
      <w:r w:rsidRPr="00EF1F20">
        <w:rPr>
          <w:sz w:val="16"/>
          <w:szCs w:val="16"/>
          <w:lang w:val="en-PH"/>
        </w:rPr>
        <w:t>.</w:t>
      </w:r>
    </w:p>
  </w:footnote>
  <w:footnote w:id="27">
    <w:p w14:paraId="46D1616A" w14:textId="3B646659" w:rsidR="00B36811" w:rsidRPr="003A2900" w:rsidRDefault="00B36811" w:rsidP="003A2900">
      <w:pPr>
        <w:pStyle w:val="FootnoteText"/>
        <w:rPr>
          <w:rFonts w:ascii="Times New Roman" w:eastAsia="Times New Roman" w:hAnsi="Times New Roman" w:cs="Times New Roman"/>
          <w:szCs w:val="24"/>
        </w:rPr>
      </w:pPr>
      <w:r w:rsidRPr="003A2900">
        <w:rPr>
          <w:vertAlign w:val="superscript"/>
          <w:lang w:val="en-PH"/>
        </w:rPr>
        <w:footnoteRef/>
      </w:r>
      <w:r w:rsidRPr="003A2900">
        <w:rPr>
          <w:vertAlign w:val="superscript"/>
          <w:lang w:val="en-PH"/>
        </w:rPr>
        <w:t xml:space="preserve"> </w:t>
      </w:r>
      <w:r w:rsidRPr="003A2900">
        <w:rPr>
          <w:sz w:val="16"/>
          <w:szCs w:val="16"/>
          <w:lang w:val="en-PH"/>
        </w:rPr>
        <w:t xml:space="preserve">U.S. Bureau of Labor Statistics, Average Price: Gasoline, Unleaded Regular (Cost per Gallon/3.785 Liters) in U.S. City Average [APU000074714], </w:t>
      </w:r>
      <w:r w:rsidRPr="003A2900">
        <w:rPr>
          <w:i/>
          <w:iCs/>
          <w:sz w:val="16"/>
          <w:szCs w:val="16"/>
          <w:lang w:val="en-PH"/>
        </w:rPr>
        <w:t xml:space="preserve">retrieved from FRED, Federal Reserve Bank of St. Louis; </w:t>
      </w:r>
      <w:hyperlink r:id="rId27" w:history="1">
        <w:r w:rsidRPr="006859BA">
          <w:rPr>
            <w:rStyle w:val="Hyperlink"/>
            <w:i/>
            <w:iCs/>
            <w:sz w:val="16"/>
            <w:szCs w:val="16"/>
            <w:lang w:val="en-PH"/>
          </w:rPr>
          <w:t>https://fred.stlouisfed.org/series/APU000074714</w:t>
        </w:r>
      </w:hyperlink>
      <w:r w:rsidRPr="006859BA">
        <w:rPr>
          <w:i/>
          <w:iCs/>
          <w:sz w:val="16"/>
          <w:szCs w:val="16"/>
          <w:lang w:val="en-PH"/>
        </w:rPr>
        <w:t xml:space="preserve">, </w:t>
      </w:r>
      <w:r w:rsidR="00A94F52">
        <w:rPr>
          <w:i/>
          <w:iCs/>
          <w:sz w:val="16"/>
          <w:szCs w:val="16"/>
          <w:lang w:val="en-PH"/>
        </w:rPr>
        <w:t>Jan 27</w:t>
      </w:r>
      <w:r w:rsidRPr="006859BA">
        <w:rPr>
          <w:i/>
          <w:iCs/>
          <w:sz w:val="16"/>
          <w:szCs w:val="16"/>
          <w:lang w:val="en-PH"/>
        </w:rPr>
        <w:t>, 202</w:t>
      </w:r>
      <w:r w:rsidR="00A94F52">
        <w:rPr>
          <w:i/>
          <w:iCs/>
          <w:sz w:val="16"/>
          <w:szCs w:val="16"/>
          <w:lang w:val="en-PH"/>
        </w:rPr>
        <w:t>2</w:t>
      </w:r>
      <w:r w:rsidRPr="006859BA">
        <w:rPr>
          <w:i/>
          <w:iCs/>
          <w:sz w:val="16"/>
          <w:szCs w:val="16"/>
          <w:lang w:val="en-PH"/>
        </w:rPr>
        <w:t>.</w:t>
      </w:r>
    </w:p>
  </w:footnote>
  <w:footnote w:id="28">
    <w:p w14:paraId="0C7EB8BC" w14:textId="3BE6A2B5" w:rsidR="00B36811" w:rsidRDefault="00B36811">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28"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sidR="00981BE4">
        <w:rPr>
          <w:rFonts w:cstheme="minorHAnsi"/>
          <w:i/>
          <w:iCs/>
          <w:color w:val="222222"/>
          <w:sz w:val="16"/>
          <w:szCs w:val="16"/>
          <w:shd w:val="clear" w:color="auto" w:fill="FFFFFF"/>
        </w:rPr>
        <w:t>Jan 27</w:t>
      </w:r>
      <w:r>
        <w:rPr>
          <w:rFonts w:cstheme="minorHAnsi"/>
          <w:i/>
          <w:iCs/>
          <w:color w:val="222222"/>
          <w:sz w:val="16"/>
          <w:szCs w:val="16"/>
          <w:shd w:val="clear" w:color="auto" w:fill="FFFFFF"/>
        </w:rPr>
        <w:t>, 202</w:t>
      </w:r>
      <w:r w:rsidR="00981BE4">
        <w:rPr>
          <w:rFonts w:cstheme="minorHAnsi"/>
          <w:i/>
          <w:iCs/>
          <w:color w:val="222222"/>
          <w:sz w:val="16"/>
          <w:szCs w:val="16"/>
          <w:shd w:val="clear" w:color="auto" w:fill="FFFFFF"/>
        </w:rPr>
        <w:t>2</w:t>
      </w:r>
      <w:r w:rsidRPr="00BF5CE2">
        <w:rPr>
          <w:rFonts w:cstheme="minorHAnsi"/>
          <w:i/>
          <w:iCs/>
          <w:color w:val="222222"/>
          <w:sz w:val="16"/>
          <w:szCs w:val="16"/>
          <w:shd w:val="clear" w:color="auto" w:fill="FFFFFF"/>
        </w:rPr>
        <w:t>.</w:t>
      </w:r>
    </w:p>
  </w:footnote>
  <w:footnote w:id="29">
    <w:p w14:paraId="1E8CCC61" w14:textId="212DAE8C" w:rsidR="00B36811" w:rsidRDefault="00B36811" w:rsidP="00661AA7">
      <w:pPr>
        <w:pStyle w:val="FootnoteText"/>
      </w:pPr>
      <w:r>
        <w:rPr>
          <w:rStyle w:val="FootnoteReference"/>
        </w:rPr>
        <w:footnoteRef/>
      </w:r>
      <w:r w:rsidRPr="009B52AF">
        <w:rPr>
          <w:rFonts w:cstheme="minorHAnsi"/>
          <w:i/>
          <w:iCs/>
          <w:color w:val="222222"/>
          <w:sz w:val="16"/>
          <w:szCs w:val="16"/>
          <w:shd w:val="clear" w:color="auto" w:fill="FFFFFF"/>
        </w:rPr>
        <w:t>Federal Reserve Bank of St. Louis</w:t>
      </w:r>
      <w:r>
        <w:rPr>
          <w:rFonts w:cstheme="minorHAnsi"/>
          <w:i/>
          <w:iCs/>
          <w:color w:val="222222"/>
          <w:sz w:val="16"/>
          <w:szCs w:val="16"/>
          <w:shd w:val="clear" w:color="auto" w:fill="FFFFFF"/>
        </w:rPr>
        <w:t xml:space="preserve">, </w:t>
      </w:r>
      <w:r w:rsidRPr="009B52AF">
        <w:rPr>
          <w:rFonts w:cstheme="minorHAnsi"/>
          <w:i/>
          <w:iCs/>
          <w:color w:val="222222"/>
          <w:sz w:val="16"/>
          <w:szCs w:val="16"/>
          <w:shd w:val="clear" w:color="auto" w:fill="FFFFFF"/>
        </w:rPr>
        <w:t>5-Year Breakeven Inflation Rate</w:t>
      </w:r>
      <w:r>
        <w:rPr>
          <w:rFonts w:cstheme="minorHAnsi"/>
          <w:i/>
          <w:iCs/>
          <w:color w:val="222222"/>
          <w:sz w:val="16"/>
          <w:szCs w:val="16"/>
          <w:shd w:val="clear" w:color="auto" w:fill="FFFFFF"/>
        </w:rPr>
        <w:t xml:space="preserve"> [T5YIE</w:t>
      </w:r>
      <w:r w:rsidRPr="000322F4">
        <w:rPr>
          <w:rFonts w:cstheme="minorHAnsi"/>
          <w:i/>
          <w:iCs/>
          <w:color w:val="222222"/>
          <w:sz w:val="16"/>
          <w:szCs w:val="16"/>
          <w:shd w:val="clear" w:color="auto" w:fill="FFFFFF"/>
        </w:rPr>
        <w:t>], retrieved from FRED, Federal Reserve Bank of St. Louis; </w:t>
      </w:r>
      <w:hyperlink r:id="rId29" w:history="1">
        <w:r w:rsidRPr="001B4FCC">
          <w:rPr>
            <w:rStyle w:val="Hyperlink"/>
            <w:rFonts w:cstheme="minorHAnsi"/>
            <w:i/>
            <w:iCs/>
            <w:sz w:val="16"/>
            <w:szCs w:val="16"/>
            <w:shd w:val="clear" w:color="auto" w:fill="FFFFFF"/>
          </w:rPr>
          <w:t>https://fred.stlouisfed.org/series/T5YIE</w:t>
        </w:r>
      </w:hyperlink>
      <w:r w:rsidRPr="000322F4">
        <w:rPr>
          <w:rFonts w:cstheme="minorHAnsi"/>
          <w:i/>
          <w:iCs/>
          <w:color w:val="222222"/>
          <w:sz w:val="16"/>
          <w:szCs w:val="16"/>
          <w:shd w:val="clear" w:color="auto" w:fill="FFFFFF"/>
        </w:rPr>
        <w:t xml:space="preserve">, </w:t>
      </w:r>
      <w:r w:rsidR="00245B33">
        <w:rPr>
          <w:rFonts w:cstheme="minorHAnsi"/>
          <w:i/>
          <w:iCs/>
          <w:color w:val="222222"/>
          <w:sz w:val="16"/>
          <w:szCs w:val="16"/>
          <w:shd w:val="clear" w:color="auto" w:fill="FFFFFF"/>
        </w:rPr>
        <w:t>Jan 27, 2022</w:t>
      </w:r>
      <w:r w:rsidRPr="000322F4">
        <w:rPr>
          <w:rFonts w:cstheme="minorHAnsi"/>
          <w:i/>
          <w:iCs/>
          <w:color w:val="222222"/>
          <w:sz w:val="16"/>
          <w:szCs w:val="16"/>
          <w:shd w:val="clear" w:color="auto" w:fill="FFFFFF"/>
        </w:rPr>
        <w:t>.</w:t>
      </w:r>
    </w:p>
  </w:footnote>
  <w:footnote w:id="30">
    <w:p w14:paraId="1C900108" w14:textId="2BBEF0B1" w:rsidR="00B36811" w:rsidRPr="000322F4" w:rsidRDefault="00B36811"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00F72263" w:rsidRPr="00F72263">
        <w:rPr>
          <w:rFonts w:cstheme="minorHAnsi"/>
          <w:color w:val="222222"/>
          <w:sz w:val="16"/>
          <w:szCs w:val="16"/>
          <w:shd w:val="clear" w:color="auto" w:fill="FFFFFF"/>
        </w:rPr>
        <w:t>U.S. Energy Information Administration, Crude Oil Prices: West Texas Intermediate (WTI) - Cushing, Oklahoma [DCOILWTICO],</w:t>
      </w:r>
      <w:r w:rsidR="00F72263" w:rsidRPr="00F72263">
        <w:rPr>
          <w:rFonts w:cstheme="minorHAnsi"/>
          <w:i/>
          <w:iCs/>
          <w:color w:val="222222"/>
          <w:sz w:val="16"/>
          <w:szCs w:val="16"/>
          <w:shd w:val="clear" w:color="auto" w:fill="FFFFFF"/>
        </w:rPr>
        <w:t xml:space="preserve"> retrieved from FRED, Federal Reserve Bank of St. Louis; </w:t>
      </w:r>
      <w:hyperlink r:id="rId30" w:history="1">
        <w:r w:rsidR="00EC2B2F" w:rsidRPr="00E05DB5">
          <w:rPr>
            <w:rStyle w:val="Hyperlink"/>
            <w:rFonts w:cstheme="minorHAnsi"/>
            <w:i/>
            <w:iCs/>
            <w:sz w:val="16"/>
            <w:szCs w:val="16"/>
            <w:shd w:val="clear" w:color="auto" w:fill="FFFFFF"/>
          </w:rPr>
          <w:t>https://fred.stlouisfed.org/series/DCOILWTICO</w:t>
        </w:r>
      </w:hyperlink>
      <w:r w:rsidR="00F72263" w:rsidRPr="00F72263">
        <w:rPr>
          <w:rFonts w:cstheme="minorHAnsi"/>
          <w:i/>
          <w:iCs/>
          <w:color w:val="222222"/>
          <w:sz w:val="16"/>
          <w:szCs w:val="16"/>
          <w:shd w:val="clear" w:color="auto" w:fill="FFFFFF"/>
        </w:rPr>
        <w:t xml:space="preserve">, </w:t>
      </w:r>
      <w:r w:rsidR="00245B33">
        <w:rPr>
          <w:rFonts w:cstheme="minorHAnsi"/>
          <w:i/>
          <w:iCs/>
          <w:color w:val="222222"/>
          <w:sz w:val="16"/>
          <w:szCs w:val="16"/>
          <w:shd w:val="clear" w:color="auto" w:fill="FFFFFF"/>
        </w:rPr>
        <w:t>Jan 27, 2022</w:t>
      </w:r>
      <w:r w:rsidRPr="000322F4">
        <w:rPr>
          <w:rFonts w:cstheme="minorHAnsi"/>
          <w:i/>
          <w:iCs/>
          <w:color w:val="222222"/>
          <w:sz w:val="16"/>
          <w:szCs w:val="16"/>
          <w:shd w:val="clear" w:color="auto" w:fill="FFFFFF"/>
        </w:rPr>
        <w:t>.</w:t>
      </w:r>
    </w:p>
  </w:footnote>
  <w:footnote w:id="31">
    <w:p w14:paraId="11221A52" w14:textId="1F5D3F9C"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31"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sidR="00B403A1">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32">
    <w:p w14:paraId="6A794CBD" w14:textId="51121C14" w:rsidR="00B36811" w:rsidRPr="00250313"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32"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sidR="00B403A1">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33">
    <w:p w14:paraId="48E5411D" w14:textId="5DD4CB18"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33"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sidR="006A656A">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34">
    <w:p w14:paraId="3C84FE4A" w14:textId="42A4C3DA" w:rsidR="00B36811" w:rsidRPr="00BF5CE2" w:rsidRDefault="00B36811">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34"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sidR="006A656A">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35">
    <w:p w14:paraId="08E11874" w14:textId="04397C49" w:rsidR="00B36811" w:rsidRPr="00933E80" w:rsidRDefault="00B36811">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fldChar w:fldCharType="begin"/>
      </w:r>
      <w:r>
        <w:instrText xml:space="preserve"> HYPERLINK "https://fred.stlouisfed.org/series/ALTSALES" </w:instrText>
      </w:r>
      <w:r>
        <w:fldChar w:fldCharType="separate"/>
      </w:r>
      <w:r w:rsidRPr="00BF5CE2">
        <w:rPr>
          <w:rStyle w:val="Hyperlink"/>
          <w:rFonts w:cstheme="minorHAnsi"/>
          <w:i/>
          <w:iCs/>
          <w:sz w:val="16"/>
          <w:szCs w:val="16"/>
          <w:shd w:val="clear" w:color="auto" w:fill="FFFFFF"/>
        </w:rPr>
        <w:t>https://fred.stlouisfed.org/series/ALTSALES</w:t>
      </w:r>
      <w:r>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sidR="006A656A" w:rsidRPr="00A37DC4">
        <w:rPr>
          <w:rFonts w:cstheme="minorHAnsi"/>
          <w:i/>
          <w:iCs/>
          <w:color w:val="222222"/>
          <w:sz w:val="16"/>
          <w:szCs w:val="16"/>
          <w:shd w:val="clear" w:color="auto" w:fill="FFFFFF"/>
        </w:rPr>
        <w:t xml:space="preserve">Jan </w:t>
      </w:r>
      <w:r w:rsidR="00A37DC4" w:rsidRPr="00A37DC4">
        <w:rPr>
          <w:rFonts w:cstheme="minorHAnsi"/>
          <w:i/>
          <w:iCs/>
          <w:color w:val="222222"/>
          <w:sz w:val="16"/>
          <w:szCs w:val="16"/>
          <w:shd w:val="clear" w:color="auto" w:fill="FFFFFF"/>
        </w:rPr>
        <w:t>28,</w:t>
      </w:r>
      <w:r w:rsidR="006A656A" w:rsidRPr="00A37DC4">
        <w:rPr>
          <w:rFonts w:cstheme="minorHAnsi"/>
          <w:i/>
          <w:iCs/>
          <w:color w:val="222222"/>
          <w:sz w:val="16"/>
          <w:szCs w:val="16"/>
          <w:shd w:val="clear" w:color="auto" w:fill="FFFFFF"/>
        </w:rPr>
        <w:t xml:space="preserve"> 2022</w:t>
      </w:r>
      <w:r w:rsidRPr="00BF5CE2">
        <w:rPr>
          <w:rFonts w:cstheme="minorHAnsi"/>
          <w:i/>
          <w:iCs/>
          <w:color w:val="222222"/>
          <w:sz w:val="16"/>
          <w:szCs w:val="16"/>
          <w:shd w:val="clear" w:color="auto" w:fill="FFFFFF"/>
        </w:rPr>
        <w:t>.</w:t>
      </w:r>
    </w:p>
  </w:footnote>
  <w:footnote w:id="36">
    <w:p w14:paraId="1FBBD940" w14:textId="19EBF9C9" w:rsidR="00B36811" w:rsidRPr="00D822BB" w:rsidRDefault="00B36811" w:rsidP="00B92952">
      <w:pPr>
        <w:pStyle w:val="FootnoteText"/>
        <w:rPr>
          <w:sz w:val="16"/>
          <w:szCs w:val="16"/>
          <w:lang w:val="en-PH"/>
        </w:rPr>
      </w:pPr>
      <w:r w:rsidRPr="00D822BB">
        <w:rPr>
          <w:rStyle w:val="FootnoteReference"/>
          <w:sz w:val="16"/>
          <w:szCs w:val="16"/>
        </w:rPr>
        <w:footnoteRef/>
      </w:r>
      <w:r w:rsidRPr="00D822BB">
        <w:rPr>
          <w:rStyle w:val="FootnoteReference"/>
          <w:sz w:val="16"/>
          <w:szCs w:val="16"/>
        </w:rPr>
        <w:t xml:space="preserve"> </w:t>
      </w:r>
      <w:r>
        <w:rPr>
          <w:rFonts w:ascii="Lucida Sans" w:eastAsia="Times New Roman" w:hAnsi="Lucida Sans" w:cs="Times New Roman"/>
          <w:color w:val="333333"/>
          <w:sz w:val="18"/>
          <w:szCs w:val="18"/>
          <w:shd w:val="clear" w:color="auto" w:fill="FFFFFF"/>
        </w:rPr>
        <w:t>U</w:t>
      </w:r>
      <w:r w:rsidRPr="00D822BB">
        <w:rPr>
          <w:sz w:val="16"/>
          <w:szCs w:val="16"/>
          <w:lang w:val="en-PH"/>
        </w:rPr>
        <w:t xml:space="preserve">.S. Bureau of Labor Statistics, Consumer Price Index for All Urban Consumers: New Vehicles in U.S. City Average [CUUR0000SETA01], </w:t>
      </w:r>
      <w:r w:rsidRPr="00D822BB">
        <w:rPr>
          <w:i/>
          <w:iCs/>
          <w:sz w:val="16"/>
          <w:szCs w:val="16"/>
          <w:lang w:val="en-PH"/>
        </w:rPr>
        <w:t xml:space="preserve">retrieved from FRED, </w:t>
      </w:r>
      <w:r w:rsidRPr="00B92952">
        <w:rPr>
          <w:rFonts w:cstheme="minorHAnsi"/>
          <w:i/>
          <w:iCs/>
          <w:color w:val="222222"/>
          <w:sz w:val="16"/>
          <w:szCs w:val="16"/>
          <w:shd w:val="clear" w:color="auto" w:fill="FFFFFF"/>
        </w:rPr>
        <w:t>Federal</w:t>
      </w:r>
      <w:r w:rsidRPr="00D822BB">
        <w:rPr>
          <w:i/>
          <w:iCs/>
          <w:sz w:val="16"/>
          <w:szCs w:val="16"/>
          <w:lang w:val="en-PH"/>
        </w:rPr>
        <w:t xml:space="preserve"> Reserve Bank of St. Louis; </w:t>
      </w:r>
      <w:hyperlink r:id="rId35" w:history="1">
        <w:r w:rsidRPr="00D822BB">
          <w:rPr>
            <w:rStyle w:val="Hyperlink"/>
            <w:i/>
            <w:iCs/>
            <w:sz w:val="16"/>
            <w:szCs w:val="16"/>
            <w:lang w:val="en-PH"/>
          </w:rPr>
          <w:t>https://fred.stlouisfed.org/series/CUUR0000SETA01</w:t>
        </w:r>
      </w:hyperlink>
      <w:r w:rsidRPr="00D822BB">
        <w:rPr>
          <w:i/>
          <w:iCs/>
          <w:sz w:val="16"/>
          <w:szCs w:val="16"/>
          <w:lang w:val="en-PH"/>
        </w:rPr>
        <w:t xml:space="preserve">, </w:t>
      </w:r>
      <w:r w:rsidR="00B92952">
        <w:rPr>
          <w:i/>
          <w:iCs/>
          <w:sz w:val="16"/>
          <w:szCs w:val="16"/>
          <w:lang w:val="en-PH"/>
        </w:rPr>
        <w:t>Jan 27, 2022</w:t>
      </w:r>
      <w:r w:rsidRPr="00D822BB">
        <w:rPr>
          <w:i/>
          <w:iCs/>
          <w:sz w:val="16"/>
          <w:szCs w:val="16"/>
          <w:lang w:val="en-PH"/>
        </w:rPr>
        <w:t>.</w:t>
      </w:r>
    </w:p>
  </w:footnote>
  <w:footnote w:id="37">
    <w:p w14:paraId="1D43F300" w14:textId="38D2158A" w:rsidR="00B36811" w:rsidRDefault="00B36811">
      <w:pPr>
        <w:pStyle w:val="FootnoteText"/>
      </w:pPr>
      <w:r>
        <w:rPr>
          <w:rStyle w:val="FootnoteReference"/>
        </w:rPr>
        <w:footnoteRef/>
      </w:r>
      <w:r>
        <w:t xml:space="preserve"> </w:t>
      </w:r>
      <w:r w:rsidRPr="00611626">
        <w:rPr>
          <w:sz w:val="16"/>
          <w:szCs w:val="16"/>
        </w:rPr>
        <w:t>U.S. Bureau of Labor Statistics</w:t>
      </w:r>
      <w:r>
        <w:rPr>
          <w:sz w:val="16"/>
          <w:szCs w:val="16"/>
        </w:rPr>
        <w:t xml:space="preserve">, </w:t>
      </w:r>
      <w:r w:rsidRPr="00611626">
        <w:rPr>
          <w:sz w:val="16"/>
          <w:szCs w:val="16"/>
        </w:rPr>
        <w:t>Consumer Price Index for All Urban Consumers: Used Cars and Trucks in U.S. City Average</w:t>
      </w:r>
      <w:r>
        <w:rPr>
          <w:sz w:val="16"/>
          <w:szCs w:val="16"/>
        </w:rPr>
        <w:t xml:space="preserve"> [</w:t>
      </w:r>
      <w:r w:rsidRPr="00611626">
        <w:rPr>
          <w:sz w:val="16"/>
          <w:szCs w:val="16"/>
        </w:rPr>
        <w:t>CUSR0000SETA02</w:t>
      </w:r>
      <w:r>
        <w:rPr>
          <w:sz w:val="16"/>
          <w:szCs w:val="16"/>
        </w:rPr>
        <w:t>],</w:t>
      </w:r>
      <w:r w:rsidRPr="00611626">
        <w:rPr>
          <w:sz w:val="16"/>
          <w:szCs w:val="16"/>
        </w:rPr>
        <w:t xml:space="preserve"> </w:t>
      </w:r>
      <w:r w:rsidRPr="00D822BB">
        <w:rPr>
          <w:i/>
          <w:iCs/>
          <w:sz w:val="16"/>
          <w:szCs w:val="16"/>
        </w:rPr>
        <w:t xml:space="preserve">retrieved from FRED, Federal Reserve Bank of St. Louis; </w:t>
      </w:r>
      <w:hyperlink r:id="rId36" w:history="1">
        <w:r w:rsidRPr="00D822BB">
          <w:rPr>
            <w:rStyle w:val="Hyperlink"/>
            <w:i/>
            <w:iCs/>
            <w:sz w:val="16"/>
            <w:szCs w:val="16"/>
          </w:rPr>
          <w:t>https://fred.stlouisfed.org/series/CUSR0000SETA02</w:t>
        </w:r>
      </w:hyperlink>
      <w:r>
        <w:t xml:space="preserve">, </w:t>
      </w:r>
      <w:r w:rsidR="00B92952">
        <w:rPr>
          <w:rFonts w:cstheme="minorHAnsi"/>
          <w:i/>
          <w:iCs/>
          <w:color w:val="222222"/>
          <w:sz w:val="16"/>
          <w:szCs w:val="16"/>
          <w:shd w:val="clear" w:color="auto" w:fill="FFFFFF"/>
        </w:rPr>
        <w:t>Jan 27, 2022</w:t>
      </w:r>
      <w:r w:rsidRPr="00BF5CE2">
        <w:rPr>
          <w:rFonts w:cstheme="minorHAnsi"/>
          <w:i/>
          <w:iCs/>
          <w:color w:val="222222"/>
          <w:sz w:val="16"/>
          <w:szCs w:val="16"/>
          <w:shd w:val="clear" w:color="auto" w:fill="FFFFFF"/>
        </w:rPr>
        <w:t>.</w:t>
      </w:r>
    </w:p>
  </w:footnote>
  <w:footnote w:id="38">
    <w:p w14:paraId="01357EF0" w14:textId="6C5876B1" w:rsidR="00B36811" w:rsidRPr="00364347" w:rsidRDefault="00B36811"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37" w:history="1">
        <w:r w:rsidRPr="00364347">
          <w:rPr>
            <w:rStyle w:val="Hyperlink"/>
            <w:i/>
            <w:iCs/>
            <w:sz w:val="16"/>
            <w:szCs w:val="16"/>
            <w:lang w:val="en-PH"/>
          </w:rPr>
          <w:t>https://fred.stlouisfed.org/series/UMCSENT</w:t>
        </w:r>
      </w:hyperlink>
      <w:r w:rsidRPr="00364347">
        <w:rPr>
          <w:i/>
          <w:iCs/>
          <w:sz w:val="16"/>
          <w:szCs w:val="16"/>
          <w:lang w:val="en-PH"/>
        </w:rPr>
        <w:t xml:space="preserve">, </w:t>
      </w:r>
      <w:r>
        <w:rPr>
          <w:i/>
          <w:iCs/>
          <w:sz w:val="16"/>
          <w:szCs w:val="16"/>
          <w:lang w:val="en-PH"/>
        </w:rPr>
        <w:t>Oct 30, 2021</w:t>
      </w:r>
      <w:r w:rsidRPr="00364347">
        <w:rPr>
          <w:i/>
          <w:iCs/>
          <w:sz w:val="16"/>
          <w:szCs w:val="16"/>
          <w:lang w:val="en-PH"/>
        </w:rPr>
        <w:t>.</w:t>
      </w:r>
    </w:p>
    <w:p w14:paraId="10C86738" w14:textId="29101548" w:rsidR="00B36811" w:rsidRDefault="00B36811">
      <w:pPr>
        <w:pStyle w:val="FootnoteText"/>
      </w:pPr>
    </w:p>
  </w:footnote>
  <w:footnote w:id="39">
    <w:p w14:paraId="3E58D959" w14:textId="2C5C95EB" w:rsidR="00B36811" w:rsidRPr="00364347" w:rsidRDefault="00B36811">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38" w:history="1">
        <w:r w:rsidRPr="00364347">
          <w:rPr>
            <w:rStyle w:val="Hyperlink"/>
            <w:i/>
            <w:iCs/>
            <w:sz w:val="16"/>
            <w:szCs w:val="16"/>
          </w:rPr>
          <w:t>https://fred.stlouisfed.org/series/VIXCLS</w:t>
        </w:r>
      </w:hyperlink>
      <w:r w:rsidRPr="00364347">
        <w:rPr>
          <w:i/>
          <w:iCs/>
          <w:sz w:val="16"/>
          <w:szCs w:val="16"/>
        </w:rPr>
        <w:t xml:space="preserve">, </w:t>
      </w:r>
      <w:r w:rsidR="00CB7F52">
        <w:rPr>
          <w:i/>
          <w:iCs/>
          <w:sz w:val="16"/>
          <w:szCs w:val="16"/>
        </w:rPr>
        <w:t>Jan 27, 2022</w:t>
      </w:r>
      <w:r w:rsidRPr="00364347">
        <w:rPr>
          <w:i/>
          <w:iCs/>
          <w:sz w:val="16"/>
          <w:szCs w:val="16"/>
        </w:rPr>
        <w:t>.</w:t>
      </w:r>
    </w:p>
  </w:footnote>
  <w:footnote w:id="40">
    <w:p w14:paraId="1CF53D3A" w14:textId="4AB217CC" w:rsidR="00B36811" w:rsidRPr="00BF5CE2" w:rsidRDefault="00B36811">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39"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w:t>
      </w:r>
      <w:r w:rsidR="00D04F3A">
        <w:rPr>
          <w:rFonts w:cstheme="minorHAnsi"/>
          <w:i/>
          <w:iCs/>
          <w:color w:val="222222"/>
          <w:sz w:val="16"/>
          <w:szCs w:val="16"/>
          <w:shd w:val="clear" w:color="auto" w:fill="FFFFFF"/>
        </w:rPr>
        <w:t>Jan 27, 2022</w:t>
      </w:r>
      <w:r w:rsidRPr="002B29C7">
        <w:rPr>
          <w:rFonts w:cstheme="minorHAnsi"/>
          <w:i/>
          <w:iCs/>
          <w:color w:val="222222"/>
          <w:sz w:val="16"/>
          <w:szCs w:val="16"/>
          <w:shd w:val="clear" w:color="auto" w:fill="FFFFFF"/>
        </w:rPr>
        <w:t>.</w:t>
      </w:r>
    </w:p>
  </w:footnote>
  <w:footnote w:id="41">
    <w:p w14:paraId="054982F6" w14:textId="7D5F71EA" w:rsidR="00B36811" w:rsidRPr="005D3CEF" w:rsidRDefault="00B36811">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40"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D04F3A">
        <w:rPr>
          <w:rFonts w:cstheme="minorHAnsi"/>
          <w:i/>
          <w:iCs/>
          <w:color w:val="222222"/>
          <w:sz w:val="16"/>
          <w:szCs w:val="16"/>
          <w:shd w:val="clear" w:color="auto" w:fill="FFFFFF"/>
        </w:rPr>
        <w:t>Jan 27, 2022</w:t>
      </w:r>
      <w:r w:rsidRPr="00364347">
        <w:rPr>
          <w:rFonts w:cstheme="minorHAnsi"/>
          <w:i/>
          <w:iCs/>
          <w:color w:val="222222"/>
          <w:sz w:val="16"/>
          <w:szCs w:val="16"/>
          <w:shd w:val="clear" w:color="auto" w:fill="FFFFFF"/>
        </w:rPr>
        <w:t>.</w:t>
      </w:r>
    </w:p>
  </w:footnote>
  <w:footnote w:id="42">
    <w:p w14:paraId="4A7DBD07" w14:textId="70368AAC" w:rsidR="00B36811" w:rsidRPr="00E72196" w:rsidRDefault="00B36811"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41"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D04F3A">
        <w:rPr>
          <w:rFonts w:cstheme="minorHAnsi"/>
          <w:i/>
          <w:iCs/>
          <w:color w:val="222222"/>
          <w:sz w:val="16"/>
          <w:szCs w:val="16"/>
          <w:shd w:val="clear" w:color="auto" w:fill="FFFFFF"/>
        </w:rPr>
        <w:t>Jan 27, 2022</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B36811" w:rsidRPr="00460436" w:rsidRDefault="00B36811"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48BB"/>
    <w:rsid w:val="00005111"/>
    <w:rsid w:val="00014CBA"/>
    <w:rsid w:val="00021EA4"/>
    <w:rsid w:val="00022BB4"/>
    <w:rsid w:val="00023FB9"/>
    <w:rsid w:val="000248D0"/>
    <w:rsid w:val="00024E64"/>
    <w:rsid w:val="0002602B"/>
    <w:rsid w:val="0002760A"/>
    <w:rsid w:val="00027E1E"/>
    <w:rsid w:val="00030ECA"/>
    <w:rsid w:val="0003136B"/>
    <w:rsid w:val="00031DA4"/>
    <w:rsid w:val="000322F4"/>
    <w:rsid w:val="00033B75"/>
    <w:rsid w:val="00035810"/>
    <w:rsid w:val="00035F0C"/>
    <w:rsid w:val="00035F9F"/>
    <w:rsid w:val="0003611B"/>
    <w:rsid w:val="0004025D"/>
    <w:rsid w:val="0004306B"/>
    <w:rsid w:val="00046A04"/>
    <w:rsid w:val="00047034"/>
    <w:rsid w:val="00047E74"/>
    <w:rsid w:val="00050BF6"/>
    <w:rsid w:val="0005198D"/>
    <w:rsid w:val="00052F94"/>
    <w:rsid w:val="00053E46"/>
    <w:rsid w:val="0005726F"/>
    <w:rsid w:val="00057711"/>
    <w:rsid w:val="00060AA5"/>
    <w:rsid w:val="00061DAA"/>
    <w:rsid w:val="000644DB"/>
    <w:rsid w:val="000650B3"/>
    <w:rsid w:val="00065E14"/>
    <w:rsid w:val="0007056A"/>
    <w:rsid w:val="00071875"/>
    <w:rsid w:val="00071A81"/>
    <w:rsid w:val="0007242E"/>
    <w:rsid w:val="00072C36"/>
    <w:rsid w:val="000738AD"/>
    <w:rsid w:val="00074123"/>
    <w:rsid w:val="000742F7"/>
    <w:rsid w:val="0007515A"/>
    <w:rsid w:val="000755E2"/>
    <w:rsid w:val="00076744"/>
    <w:rsid w:val="00076850"/>
    <w:rsid w:val="000807FF"/>
    <w:rsid w:val="000841DA"/>
    <w:rsid w:val="00084604"/>
    <w:rsid w:val="00084608"/>
    <w:rsid w:val="00084C45"/>
    <w:rsid w:val="00086DBA"/>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42F9"/>
    <w:rsid w:val="000B43C0"/>
    <w:rsid w:val="000B4F85"/>
    <w:rsid w:val="000B5DA2"/>
    <w:rsid w:val="000B6EBB"/>
    <w:rsid w:val="000C117B"/>
    <w:rsid w:val="000C1495"/>
    <w:rsid w:val="000C19DD"/>
    <w:rsid w:val="000C2E7D"/>
    <w:rsid w:val="000C6EEB"/>
    <w:rsid w:val="000C71C7"/>
    <w:rsid w:val="000D3995"/>
    <w:rsid w:val="000D47AB"/>
    <w:rsid w:val="000D4973"/>
    <w:rsid w:val="000D4AF1"/>
    <w:rsid w:val="000D5719"/>
    <w:rsid w:val="000D646D"/>
    <w:rsid w:val="000D7BDC"/>
    <w:rsid w:val="000E1BAA"/>
    <w:rsid w:val="000E3192"/>
    <w:rsid w:val="000E5860"/>
    <w:rsid w:val="000E6060"/>
    <w:rsid w:val="000E6A61"/>
    <w:rsid w:val="000F1648"/>
    <w:rsid w:val="000F3008"/>
    <w:rsid w:val="000F4AC6"/>
    <w:rsid w:val="000F59FF"/>
    <w:rsid w:val="000F7F33"/>
    <w:rsid w:val="001009B9"/>
    <w:rsid w:val="00100DF8"/>
    <w:rsid w:val="00102080"/>
    <w:rsid w:val="0010260B"/>
    <w:rsid w:val="00105413"/>
    <w:rsid w:val="001058D4"/>
    <w:rsid w:val="00105A55"/>
    <w:rsid w:val="00107AB4"/>
    <w:rsid w:val="001116CA"/>
    <w:rsid w:val="00111911"/>
    <w:rsid w:val="00111974"/>
    <w:rsid w:val="00113C90"/>
    <w:rsid w:val="001149CD"/>
    <w:rsid w:val="00115717"/>
    <w:rsid w:val="00116B91"/>
    <w:rsid w:val="00117BB0"/>
    <w:rsid w:val="00121E2F"/>
    <w:rsid w:val="00122842"/>
    <w:rsid w:val="001235D8"/>
    <w:rsid w:val="001277B9"/>
    <w:rsid w:val="00130055"/>
    <w:rsid w:val="00131885"/>
    <w:rsid w:val="00131A14"/>
    <w:rsid w:val="00132201"/>
    <w:rsid w:val="00134A21"/>
    <w:rsid w:val="00137248"/>
    <w:rsid w:val="00140712"/>
    <w:rsid w:val="00140763"/>
    <w:rsid w:val="00140B44"/>
    <w:rsid w:val="00140FEE"/>
    <w:rsid w:val="00142F71"/>
    <w:rsid w:val="001451F8"/>
    <w:rsid w:val="001460CC"/>
    <w:rsid w:val="001475FF"/>
    <w:rsid w:val="0015037B"/>
    <w:rsid w:val="001511FF"/>
    <w:rsid w:val="00152215"/>
    <w:rsid w:val="00153FBB"/>
    <w:rsid w:val="001545F2"/>
    <w:rsid w:val="00155E88"/>
    <w:rsid w:val="00156FE4"/>
    <w:rsid w:val="0016088B"/>
    <w:rsid w:val="00162E77"/>
    <w:rsid w:val="00163F37"/>
    <w:rsid w:val="00164566"/>
    <w:rsid w:val="00166778"/>
    <w:rsid w:val="0016688A"/>
    <w:rsid w:val="00166C08"/>
    <w:rsid w:val="00166F90"/>
    <w:rsid w:val="00171C8E"/>
    <w:rsid w:val="00172307"/>
    <w:rsid w:val="001737B6"/>
    <w:rsid w:val="00173FBF"/>
    <w:rsid w:val="001744C6"/>
    <w:rsid w:val="0017465F"/>
    <w:rsid w:val="00174B44"/>
    <w:rsid w:val="00174BCD"/>
    <w:rsid w:val="00174CC3"/>
    <w:rsid w:val="001756EC"/>
    <w:rsid w:val="0017576B"/>
    <w:rsid w:val="00176C00"/>
    <w:rsid w:val="00176F91"/>
    <w:rsid w:val="001773AA"/>
    <w:rsid w:val="0018096F"/>
    <w:rsid w:val="00180CA9"/>
    <w:rsid w:val="001819E6"/>
    <w:rsid w:val="00182738"/>
    <w:rsid w:val="001829D2"/>
    <w:rsid w:val="00183B61"/>
    <w:rsid w:val="00186318"/>
    <w:rsid w:val="00186873"/>
    <w:rsid w:val="001868CB"/>
    <w:rsid w:val="00187669"/>
    <w:rsid w:val="00193436"/>
    <w:rsid w:val="001945EC"/>
    <w:rsid w:val="0019513E"/>
    <w:rsid w:val="00195B12"/>
    <w:rsid w:val="001A21D2"/>
    <w:rsid w:val="001A3FBA"/>
    <w:rsid w:val="001A4F9E"/>
    <w:rsid w:val="001A5EDF"/>
    <w:rsid w:val="001A6C86"/>
    <w:rsid w:val="001B1490"/>
    <w:rsid w:val="001B4B76"/>
    <w:rsid w:val="001C0418"/>
    <w:rsid w:val="001C0F2A"/>
    <w:rsid w:val="001C1070"/>
    <w:rsid w:val="001C14A1"/>
    <w:rsid w:val="001C2541"/>
    <w:rsid w:val="001C38B9"/>
    <w:rsid w:val="001C5F4E"/>
    <w:rsid w:val="001C7617"/>
    <w:rsid w:val="001D7D8D"/>
    <w:rsid w:val="001E04F8"/>
    <w:rsid w:val="001E15B0"/>
    <w:rsid w:val="001E26E8"/>
    <w:rsid w:val="001E42A6"/>
    <w:rsid w:val="001E483E"/>
    <w:rsid w:val="001E6FCC"/>
    <w:rsid w:val="001E7445"/>
    <w:rsid w:val="001F297B"/>
    <w:rsid w:val="001F4E3D"/>
    <w:rsid w:val="001F7970"/>
    <w:rsid w:val="0020145F"/>
    <w:rsid w:val="002024E2"/>
    <w:rsid w:val="00203609"/>
    <w:rsid w:val="00204D9D"/>
    <w:rsid w:val="002108BA"/>
    <w:rsid w:val="00210DB1"/>
    <w:rsid w:val="0021377C"/>
    <w:rsid w:val="00217AD5"/>
    <w:rsid w:val="00220B63"/>
    <w:rsid w:val="002218BC"/>
    <w:rsid w:val="002219B5"/>
    <w:rsid w:val="0022226D"/>
    <w:rsid w:val="002301AB"/>
    <w:rsid w:val="002308A9"/>
    <w:rsid w:val="00230D29"/>
    <w:rsid w:val="00231BB2"/>
    <w:rsid w:val="00231FA3"/>
    <w:rsid w:val="00232336"/>
    <w:rsid w:val="00234F94"/>
    <w:rsid w:val="00235B28"/>
    <w:rsid w:val="002361FB"/>
    <w:rsid w:val="00236B68"/>
    <w:rsid w:val="00237901"/>
    <w:rsid w:val="00237E71"/>
    <w:rsid w:val="002406D9"/>
    <w:rsid w:val="002435D7"/>
    <w:rsid w:val="00244C4D"/>
    <w:rsid w:val="00245903"/>
    <w:rsid w:val="00245B33"/>
    <w:rsid w:val="002502D5"/>
    <w:rsid w:val="00250313"/>
    <w:rsid w:val="002516C6"/>
    <w:rsid w:val="002521FF"/>
    <w:rsid w:val="0025222E"/>
    <w:rsid w:val="00252A9B"/>
    <w:rsid w:val="002530D7"/>
    <w:rsid w:val="00254176"/>
    <w:rsid w:val="0025469C"/>
    <w:rsid w:val="00254F79"/>
    <w:rsid w:val="00255530"/>
    <w:rsid w:val="00255C32"/>
    <w:rsid w:val="0025666D"/>
    <w:rsid w:val="00257944"/>
    <w:rsid w:val="002608F3"/>
    <w:rsid w:val="00261A6E"/>
    <w:rsid w:val="0026329B"/>
    <w:rsid w:val="00263EBD"/>
    <w:rsid w:val="00265131"/>
    <w:rsid w:val="0026599C"/>
    <w:rsid w:val="002731EF"/>
    <w:rsid w:val="002743DC"/>
    <w:rsid w:val="0027585A"/>
    <w:rsid w:val="002775DB"/>
    <w:rsid w:val="002817E1"/>
    <w:rsid w:val="00281E64"/>
    <w:rsid w:val="0028237E"/>
    <w:rsid w:val="00282C6E"/>
    <w:rsid w:val="00283D6F"/>
    <w:rsid w:val="002857FD"/>
    <w:rsid w:val="00285F67"/>
    <w:rsid w:val="00291763"/>
    <w:rsid w:val="00291E5B"/>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B4308"/>
    <w:rsid w:val="002C0EC8"/>
    <w:rsid w:val="002C1F64"/>
    <w:rsid w:val="002C240B"/>
    <w:rsid w:val="002C3C67"/>
    <w:rsid w:val="002C429F"/>
    <w:rsid w:val="002C5E52"/>
    <w:rsid w:val="002C601A"/>
    <w:rsid w:val="002C69A4"/>
    <w:rsid w:val="002D17D6"/>
    <w:rsid w:val="002D4C10"/>
    <w:rsid w:val="002D5CC3"/>
    <w:rsid w:val="002D660A"/>
    <w:rsid w:val="002D7154"/>
    <w:rsid w:val="002D78A5"/>
    <w:rsid w:val="002E0DC9"/>
    <w:rsid w:val="002E0F29"/>
    <w:rsid w:val="002E2644"/>
    <w:rsid w:val="002E3213"/>
    <w:rsid w:val="002E3647"/>
    <w:rsid w:val="002E3E26"/>
    <w:rsid w:val="002E4494"/>
    <w:rsid w:val="002E58CF"/>
    <w:rsid w:val="002E6FDE"/>
    <w:rsid w:val="002E7ACF"/>
    <w:rsid w:val="002F0CDA"/>
    <w:rsid w:val="002F1660"/>
    <w:rsid w:val="002F1B2A"/>
    <w:rsid w:val="002F1B4B"/>
    <w:rsid w:val="002F1C7B"/>
    <w:rsid w:val="002F3682"/>
    <w:rsid w:val="002F3ADD"/>
    <w:rsid w:val="002F3CE6"/>
    <w:rsid w:val="002F4629"/>
    <w:rsid w:val="002F6282"/>
    <w:rsid w:val="002F63F8"/>
    <w:rsid w:val="002F7417"/>
    <w:rsid w:val="003028B3"/>
    <w:rsid w:val="00304B4E"/>
    <w:rsid w:val="00306B1D"/>
    <w:rsid w:val="003071CD"/>
    <w:rsid w:val="00307A87"/>
    <w:rsid w:val="0031179D"/>
    <w:rsid w:val="00311E77"/>
    <w:rsid w:val="00314985"/>
    <w:rsid w:val="003167AC"/>
    <w:rsid w:val="00316CBD"/>
    <w:rsid w:val="00316E8F"/>
    <w:rsid w:val="00317448"/>
    <w:rsid w:val="003175DC"/>
    <w:rsid w:val="00321AA2"/>
    <w:rsid w:val="00322C58"/>
    <w:rsid w:val="00323C75"/>
    <w:rsid w:val="00327700"/>
    <w:rsid w:val="0033052C"/>
    <w:rsid w:val="003316E9"/>
    <w:rsid w:val="00331CF3"/>
    <w:rsid w:val="00332197"/>
    <w:rsid w:val="00334DE4"/>
    <w:rsid w:val="00336F2C"/>
    <w:rsid w:val="003376CD"/>
    <w:rsid w:val="00337BD8"/>
    <w:rsid w:val="00340262"/>
    <w:rsid w:val="00340B8A"/>
    <w:rsid w:val="003411C1"/>
    <w:rsid w:val="00341282"/>
    <w:rsid w:val="003412DA"/>
    <w:rsid w:val="003414E7"/>
    <w:rsid w:val="00346350"/>
    <w:rsid w:val="00346E54"/>
    <w:rsid w:val="003477B7"/>
    <w:rsid w:val="003479C3"/>
    <w:rsid w:val="00353F0A"/>
    <w:rsid w:val="00354195"/>
    <w:rsid w:val="00354414"/>
    <w:rsid w:val="0035542E"/>
    <w:rsid w:val="00360100"/>
    <w:rsid w:val="00361E70"/>
    <w:rsid w:val="00362202"/>
    <w:rsid w:val="00363E78"/>
    <w:rsid w:val="00364347"/>
    <w:rsid w:val="003643F8"/>
    <w:rsid w:val="003658B3"/>
    <w:rsid w:val="0036641E"/>
    <w:rsid w:val="003711BF"/>
    <w:rsid w:val="00371414"/>
    <w:rsid w:val="00372F3C"/>
    <w:rsid w:val="003802E7"/>
    <w:rsid w:val="003812D0"/>
    <w:rsid w:val="0038144F"/>
    <w:rsid w:val="00381A81"/>
    <w:rsid w:val="00382C86"/>
    <w:rsid w:val="00385105"/>
    <w:rsid w:val="00386023"/>
    <w:rsid w:val="00387C82"/>
    <w:rsid w:val="0039196F"/>
    <w:rsid w:val="00392D01"/>
    <w:rsid w:val="00393B78"/>
    <w:rsid w:val="0039421C"/>
    <w:rsid w:val="00394236"/>
    <w:rsid w:val="00395B3E"/>
    <w:rsid w:val="00396E51"/>
    <w:rsid w:val="0039736B"/>
    <w:rsid w:val="00397F57"/>
    <w:rsid w:val="003A0447"/>
    <w:rsid w:val="003A0B8A"/>
    <w:rsid w:val="003A2900"/>
    <w:rsid w:val="003A390C"/>
    <w:rsid w:val="003A3D8A"/>
    <w:rsid w:val="003A4B97"/>
    <w:rsid w:val="003A4BCC"/>
    <w:rsid w:val="003A679B"/>
    <w:rsid w:val="003B0615"/>
    <w:rsid w:val="003B0B22"/>
    <w:rsid w:val="003B2BFB"/>
    <w:rsid w:val="003B4D22"/>
    <w:rsid w:val="003C1A72"/>
    <w:rsid w:val="003C1F24"/>
    <w:rsid w:val="003C2173"/>
    <w:rsid w:val="003C4023"/>
    <w:rsid w:val="003C4CAF"/>
    <w:rsid w:val="003D112A"/>
    <w:rsid w:val="003D1D39"/>
    <w:rsid w:val="003D3C51"/>
    <w:rsid w:val="003D4159"/>
    <w:rsid w:val="003D5D19"/>
    <w:rsid w:val="003E114D"/>
    <w:rsid w:val="003E18DF"/>
    <w:rsid w:val="003E282E"/>
    <w:rsid w:val="003E3039"/>
    <w:rsid w:val="003E3E2D"/>
    <w:rsid w:val="003E4ACB"/>
    <w:rsid w:val="003E5CFB"/>
    <w:rsid w:val="003F007D"/>
    <w:rsid w:val="003F2FE7"/>
    <w:rsid w:val="003F4CDB"/>
    <w:rsid w:val="003F5061"/>
    <w:rsid w:val="004005A4"/>
    <w:rsid w:val="00401A65"/>
    <w:rsid w:val="0040211C"/>
    <w:rsid w:val="00403355"/>
    <w:rsid w:val="00404E89"/>
    <w:rsid w:val="0040653A"/>
    <w:rsid w:val="0041138E"/>
    <w:rsid w:val="00411404"/>
    <w:rsid w:val="00411A4C"/>
    <w:rsid w:val="004134F4"/>
    <w:rsid w:val="00413EE3"/>
    <w:rsid w:val="00421F60"/>
    <w:rsid w:val="0042476E"/>
    <w:rsid w:val="00424E74"/>
    <w:rsid w:val="00426A6A"/>
    <w:rsid w:val="00427110"/>
    <w:rsid w:val="0042719D"/>
    <w:rsid w:val="0043016A"/>
    <w:rsid w:val="00440FEB"/>
    <w:rsid w:val="00442163"/>
    <w:rsid w:val="00442565"/>
    <w:rsid w:val="00442A7A"/>
    <w:rsid w:val="00442BF6"/>
    <w:rsid w:val="00442D2A"/>
    <w:rsid w:val="00443A15"/>
    <w:rsid w:val="00445A11"/>
    <w:rsid w:val="00446C08"/>
    <w:rsid w:val="004476DE"/>
    <w:rsid w:val="00447E7F"/>
    <w:rsid w:val="00450276"/>
    <w:rsid w:val="004506CC"/>
    <w:rsid w:val="0045095D"/>
    <w:rsid w:val="0045097E"/>
    <w:rsid w:val="004513EB"/>
    <w:rsid w:val="00451755"/>
    <w:rsid w:val="00453708"/>
    <w:rsid w:val="00454F4B"/>
    <w:rsid w:val="0045550A"/>
    <w:rsid w:val="00455D78"/>
    <w:rsid w:val="00457E1D"/>
    <w:rsid w:val="00460436"/>
    <w:rsid w:val="00460DE2"/>
    <w:rsid w:val="00460E43"/>
    <w:rsid w:val="00463560"/>
    <w:rsid w:val="00466612"/>
    <w:rsid w:val="00466861"/>
    <w:rsid w:val="00467365"/>
    <w:rsid w:val="00467AB1"/>
    <w:rsid w:val="004709B0"/>
    <w:rsid w:val="004759DB"/>
    <w:rsid w:val="004778D8"/>
    <w:rsid w:val="0048128D"/>
    <w:rsid w:val="004846E4"/>
    <w:rsid w:val="004907DA"/>
    <w:rsid w:val="00490AFD"/>
    <w:rsid w:val="0049134B"/>
    <w:rsid w:val="0049182B"/>
    <w:rsid w:val="00491B4B"/>
    <w:rsid w:val="00493CF1"/>
    <w:rsid w:val="00494933"/>
    <w:rsid w:val="004965CE"/>
    <w:rsid w:val="00496E13"/>
    <w:rsid w:val="004A0649"/>
    <w:rsid w:val="004A0947"/>
    <w:rsid w:val="004A0ABB"/>
    <w:rsid w:val="004A4BD1"/>
    <w:rsid w:val="004B047B"/>
    <w:rsid w:val="004B2BFB"/>
    <w:rsid w:val="004B2DF4"/>
    <w:rsid w:val="004B3923"/>
    <w:rsid w:val="004B3B5E"/>
    <w:rsid w:val="004B5284"/>
    <w:rsid w:val="004B6D7A"/>
    <w:rsid w:val="004B76BB"/>
    <w:rsid w:val="004B7D92"/>
    <w:rsid w:val="004C20AB"/>
    <w:rsid w:val="004C587A"/>
    <w:rsid w:val="004C6B76"/>
    <w:rsid w:val="004D0515"/>
    <w:rsid w:val="004D099A"/>
    <w:rsid w:val="004D1BCA"/>
    <w:rsid w:val="004D1C9D"/>
    <w:rsid w:val="004D1DA4"/>
    <w:rsid w:val="004E1574"/>
    <w:rsid w:val="004E2AB3"/>
    <w:rsid w:val="004E2C09"/>
    <w:rsid w:val="004E3393"/>
    <w:rsid w:val="004E3F0B"/>
    <w:rsid w:val="004E4A45"/>
    <w:rsid w:val="004E4B6F"/>
    <w:rsid w:val="004E5EC0"/>
    <w:rsid w:val="004E7265"/>
    <w:rsid w:val="004F1527"/>
    <w:rsid w:val="004F2735"/>
    <w:rsid w:val="004F307A"/>
    <w:rsid w:val="004F330B"/>
    <w:rsid w:val="004F3ADA"/>
    <w:rsid w:val="004F55C9"/>
    <w:rsid w:val="004F67A9"/>
    <w:rsid w:val="004F73C7"/>
    <w:rsid w:val="00502B32"/>
    <w:rsid w:val="00504F45"/>
    <w:rsid w:val="00507B5A"/>
    <w:rsid w:val="005117CA"/>
    <w:rsid w:val="005127D3"/>
    <w:rsid w:val="00515DB3"/>
    <w:rsid w:val="00515E9D"/>
    <w:rsid w:val="00516EDD"/>
    <w:rsid w:val="005200CA"/>
    <w:rsid w:val="0052077C"/>
    <w:rsid w:val="00521F1D"/>
    <w:rsid w:val="005232D6"/>
    <w:rsid w:val="00525C1B"/>
    <w:rsid w:val="005261C1"/>
    <w:rsid w:val="00532A06"/>
    <w:rsid w:val="005356B5"/>
    <w:rsid w:val="00536754"/>
    <w:rsid w:val="00536B00"/>
    <w:rsid w:val="005378C5"/>
    <w:rsid w:val="00537FF8"/>
    <w:rsid w:val="00540D2B"/>
    <w:rsid w:val="00541D29"/>
    <w:rsid w:val="005425D7"/>
    <w:rsid w:val="00542F5A"/>
    <w:rsid w:val="00544623"/>
    <w:rsid w:val="005469DE"/>
    <w:rsid w:val="005475F2"/>
    <w:rsid w:val="0055033B"/>
    <w:rsid w:val="005505E5"/>
    <w:rsid w:val="00550C7C"/>
    <w:rsid w:val="00551864"/>
    <w:rsid w:val="00551B4D"/>
    <w:rsid w:val="00554121"/>
    <w:rsid w:val="005554F5"/>
    <w:rsid w:val="0055555A"/>
    <w:rsid w:val="005563D4"/>
    <w:rsid w:val="00556EAD"/>
    <w:rsid w:val="00557239"/>
    <w:rsid w:val="005573A8"/>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1547"/>
    <w:rsid w:val="005828F0"/>
    <w:rsid w:val="0058330E"/>
    <w:rsid w:val="00583BEE"/>
    <w:rsid w:val="00584B8E"/>
    <w:rsid w:val="00587C5A"/>
    <w:rsid w:val="00590322"/>
    <w:rsid w:val="005917C1"/>
    <w:rsid w:val="005933D9"/>
    <w:rsid w:val="00594B4A"/>
    <w:rsid w:val="005954B1"/>
    <w:rsid w:val="005A0EC4"/>
    <w:rsid w:val="005A693F"/>
    <w:rsid w:val="005B1168"/>
    <w:rsid w:val="005B1ACA"/>
    <w:rsid w:val="005B2ED9"/>
    <w:rsid w:val="005B40E5"/>
    <w:rsid w:val="005B7A7E"/>
    <w:rsid w:val="005C021F"/>
    <w:rsid w:val="005C0423"/>
    <w:rsid w:val="005C0A6E"/>
    <w:rsid w:val="005C0D2D"/>
    <w:rsid w:val="005C2215"/>
    <w:rsid w:val="005C22CA"/>
    <w:rsid w:val="005C2F47"/>
    <w:rsid w:val="005C493F"/>
    <w:rsid w:val="005C532B"/>
    <w:rsid w:val="005C6411"/>
    <w:rsid w:val="005C6CD5"/>
    <w:rsid w:val="005C771E"/>
    <w:rsid w:val="005D06C9"/>
    <w:rsid w:val="005D1E0A"/>
    <w:rsid w:val="005D1E7F"/>
    <w:rsid w:val="005D3CEF"/>
    <w:rsid w:val="005D3FB8"/>
    <w:rsid w:val="005D43B8"/>
    <w:rsid w:val="005D5553"/>
    <w:rsid w:val="005D6316"/>
    <w:rsid w:val="005E19C2"/>
    <w:rsid w:val="005E306A"/>
    <w:rsid w:val="005E3622"/>
    <w:rsid w:val="005E56AE"/>
    <w:rsid w:val="005E67EF"/>
    <w:rsid w:val="005E797B"/>
    <w:rsid w:val="005E7A94"/>
    <w:rsid w:val="005F07E9"/>
    <w:rsid w:val="005F1D7F"/>
    <w:rsid w:val="005F344C"/>
    <w:rsid w:val="005F5744"/>
    <w:rsid w:val="00600AF9"/>
    <w:rsid w:val="006055F4"/>
    <w:rsid w:val="006068F7"/>
    <w:rsid w:val="00610140"/>
    <w:rsid w:val="0061080D"/>
    <w:rsid w:val="00610894"/>
    <w:rsid w:val="00611626"/>
    <w:rsid w:val="0061200D"/>
    <w:rsid w:val="006130EE"/>
    <w:rsid w:val="00613599"/>
    <w:rsid w:val="00615B70"/>
    <w:rsid w:val="006167DB"/>
    <w:rsid w:val="00617DFF"/>
    <w:rsid w:val="00617E5C"/>
    <w:rsid w:val="00620094"/>
    <w:rsid w:val="00621173"/>
    <w:rsid w:val="0062162D"/>
    <w:rsid w:val="00623672"/>
    <w:rsid w:val="0062444A"/>
    <w:rsid w:val="00624AEF"/>
    <w:rsid w:val="0062659E"/>
    <w:rsid w:val="00626DAC"/>
    <w:rsid w:val="00627C19"/>
    <w:rsid w:val="00627DE7"/>
    <w:rsid w:val="006314B9"/>
    <w:rsid w:val="00631555"/>
    <w:rsid w:val="00632F4E"/>
    <w:rsid w:val="006331A2"/>
    <w:rsid w:val="006342D9"/>
    <w:rsid w:val="00634658"/>
    <w:rsid w:val="00634787"/>
    <w:rsid w:val="00640C9C"/>
    <w:rsid w:val="00640DD5"/>
    <w:rsid w:val="00641A51"/>
    <w:rsid w:val="00643797"/>
    <w:rsid w:val="006439EA"/>
    <w:rsid w:val="00643FBF"/>
    <w:rsid w:val="006451FA"/>
    <w:rsid w:val="0064538F"/>
    <w:rsid w:val="00650430"/>
    <w:rsid w:val="00650582"/>
    <w:rsid w:val="00651AC2"/>
    <w:rsid w:val="006528B7"/>
    <w:rsid w:val="00654B02"/>
    <w:rsid w:val="00655140"/>
    <w:rsid w:val="006553D1"/>
    <w:rsid w:val="006575D2"/>
    <w:rsid w:val="00657642"/>
    <w:rsid w:val="00660A13"/>
    <w:rsid w:val="00660C7A"/>
    <w:rsid w:val="00660C8A"/>
    <w:rsid w:val="006619DC"/>
    <w:rsid w:val="00661AA7"/>
    <w:rsid w:val="00661E51"/>
    <w:rsid w:val="00662828"/>
    <w:rsid w:val="006646E8"/>
    <w:rsid w:val="006663D0"/>
    <w:rsid w:val="00670FB1"/>
    <w:rsid w:val="0067215A"/>
    <w:rsid w:val="00673A89"/>
    <w:rsid w:val="0067456E"/>
    <w:rsid w:val="006748EE"/>
    <w:rsid w:val="00675122"/>
    <w:rsid w:val="00675F26"/>
    <w:rsid w:val="00682B7E"/>
    <w:rsid w:val="006859BA"/>
    <w:rsid w:val="00690C93"/>
    <w:rsid w:val="0069122E"/>
    <w:rsid w:val="00691D14"/>
    <w:rsid w:val="00694585"/>
    <w:rsid w:val="00694624"/>
    <w:rsid w:val="00695441"/>
    <w:rsid w:val="00695980"/>
    <w:rsid w:val="00696388"/>
    <w:rsid w:val="006970E9"/>
    <w:rsid w:val="006A01A0"/>
    <w:rsid w:val="006A0819"/>
    <w:rsid w:val="006A114D"/>
    <w:rsid w:val="006A5321"/>
    <w:rsid w:val="006A62EE"/>
    <w:rsid w:val="006A656A"/>
    <w:rsid w:val="006A687C"/>
    <w:rsid w:val="006A6BFF"/>
    <w:rsid w:val="006B166E"/>
    <w:rsid w:val="006B1EB1"/>
    <w:rsid w:val="006B394A"/>
    <w:rsid w:val="006B3D25"/>
    <w:rsid w:val="006B792C"/>
    <w:rsid w:val="006C08FA"/>
    <w:rsid w:val="006C28D8"/>
    <w:rsid w:val="006C2DAB"/>
    <w:rsid w:val="006C6752"/>
    <w:rsid w:val="006C7116"/>
    <w:rsid w:val="006C7B04"/>
    <w:rsid w:val="006C7BEF"/>
    <w:rsid w:val="006D2660"/>
    <w:rsid w:val="006D3877"/>
    <w:rsid w:val="006D4E8F"/>
    <w:rsid w:val="006D518C"/>
    <w:rsid w:val="006D579F"/>
    <w:rsid w:val="006E0830"/>
    <w:rsid w:val="006E4B4F"/>
    <w:rsid w:val="006E5760"/>
    <w:rsid w:val="006E608A"/>
    <w:rsid w:val="006E621A"/>
    <w:rsid w:val="006E69A7"/>
    <w:rsid w:val="006E6EAA"/>
    <w:rsid w:val="006F060A"/>
    <w:rsid w:val="006F0678"/>
    <w:rsid w:val="006F1876"/>
    <w:rsid w:val="006F1B14"/>
    <w:rsid w:val="006F3E36"/>
    <w:rsid w:val="006F49C7"/>
    <w:rsid w:val="006F4DB7"/>
    <w:rsid w:val="006F58B0"/>
    <w:rsid w:val="006F6733"/>
    <w:rsid w:val="006F7FB2"/>
    <w:rsid w:val="00700166"/>
    <w:rsid w:val="00701D95"/>
    <w:rsid w:val="00703D80"/>
    <w:rsid w:val="007062B8"/>
    <w:rsid w:val="00707B5E"/>
    <w:rsid w:val="007102D3"/>
    <w:rsid w:val="007110AF"/>
    <w:rsid w:val="00714B74"/>
    <w:rsid w:val="00724C08"/>
    <w:rsid w:val="0072697B"/>
    <w:rsid w:val="00730BC7"/>
    <w:rsid w:val="00730C3D"/>
    <w:rsid w:val="007329E1"/>
    <w:rsid w:val="0073598E"/>
    <w:rsid w:val="007361CC"/>
    <w:rsid w:val="00737D58"/>
    <w:rsid w:val="00740863"/>
    <w:rsid w:val="0074137C"/>
    <w:rsid w:val="00741DA8"/>
    <w:rsid w:val="00742E84"/>
    <w:rsid w:val="00743683"/>
    <w:rsid w:val="00743A12"/>
    <w:rsid w:val="00753854"/>
    <w:rsid w:val="0075479C"/>
    <w:rsid w:val="00755B70"/>
    <w:rsid w:val="00756248"/>
    <w:rsid w:val="00756A49"/>
    <w:rsid w:val="007602B9"/>
    <w:rsid w:val="00761D36"/>
    <w:rsid w:val="0076272C"/>
    <w:rsid w:val="007635CE"/>
    <w:rsid w:val="0076678E"/>
    <w:rsid w:val="0076717F"/>
    <w:rsid w:val="0077027E"/>
    <w:rsid w:val="00770759"/>
    <w:rsid w:val="00772342"/>
    <w:rsid w:val="007736DF"/>
    <w:rsid w:val="00773AC4"/>
    <w:rsid w:val="00773B5B"/>
    <w:rsid w:val="00773E0E"/>
    <w:rsid w:val="007740D3"/>
    <w:rsid w:val="007768C7"/>
    <w:rsid w:val="007807DE"/>
    <w:rsid w:val="00782F5F"/>
    <w:rsid w:val="0078488C"/>
    <w:rsid w:val="0079151F"/>
    <w:rsid w:val="00791F5C"/>
    <w:rsid w:val="007929DB"/>
    <w:rsid w:val="00792E5D"/>
    <w:rsid w:val="007939CA"/>
    <w:rsid w:val="00795569"/>
    <w:rsid w:val="00795ECE"/>
    <w:rsid w:val="0079609A"/>
    <w:rsid w:val="007A0574"/>
    <w:rsid w:val="007A05AD"/>
    <w:rsid w:val="007A0E93"/>
    <w:rsid w:val="007A4896"/>
    <w:rsid w:val="007A5255"/>
    <w:rsid w:val="007A770A"/>
    <w:rsid w:val="007A7FCF"/>
    <w:rsid w:val="007B0C0E"/>
    <w:rsid w:val="007B0FB5"/>
    <w:rsid w:val="007B178B"/>
    <w:rsid w:val="007B3A9E"/>
    <w:rsid w:val="007B5780"/>
    <w:rsid w:val="007B5CA1"/>
    <w:rsid w:val="007B7D73"/>
    <w:rsid w:val="007C1E79"/>
    <w:rsid w:val="007C4944"/>
    <w:rsid w:val="007C54CB"/>
    <w:rsid w:val="007C5517"/>
    <w:rsid w:val="007D4FF9"/>
    <w:rsid w:val="007E1BB9"/>
    <w:rsid w:val="007E321E"/>
    <w:rsid w:val="007E3ED3"/>
    <w:rsid w:val="007E45F6"/>
    <w:rsid w:val="007E4E9D"/>
    <w:rsid w:val="007E5B14"/>
    <w:rsid w:val="007E7320"/>
    <w:rsid w:val="007E76B7"/>
    <w:rsid w:val="007F04AE"/>
    <w:rsid w:val="007F1968"/>
    <w:rsid w:val="007F34A5"/>
    <w:rsid w:val="007F58C3"/>
    <w:rsid w:val="007F590E"/>
    <w:rsid w:val="007F5A38"/>
    <w:rsid w:val="007F5D12"/>
    <w:rsid w:val="007F67C3"/>
    <w:rsid w:val="0080028D"/>
    <w:rsid w:val="0080052B"/>
    <w:rsid w:val="00805C12"/>
    <w:rsid w:val="0080666E"/>
    <w:rsid w:val="00811606"/>
    <w:rsid w:val="00811FA7"/>
    <w:rsid w:val="008129B2"/>
    <w:rsid w:val="00813396"/>
    <w:rsid w:val="00814E45"/>
    <w:rsid w:val="008155BA"/>
    <w:rsid w:val="008162B7"/>
    <w:rsid w:val="00816313"/>
    <w:rsid w:val="00816C0F"/>
    <w:rsid w:val="0081792D"/>
    <w:rsid w:val="00822038"/>
    <w:rsid w:val="00822897"/>
    <w:rsid w:val="00823A4E"/>
    <w:rsid w:val="00823E2B"/>
    <w:rsid w:val="00824936"/>
    <w:rsid w:val="00826AE7"/>
    <w:rsid w:val="00826F0B"/>
    <w:rsid w:val="00830D32"/>
    <w:rsid w:val="00831041"/>
    <w:rsid w:val="008339F4"/>
    <w:rsid w:val="00833A07"/>
    <w:rsid w:val="00835434"/>
    <w:rsid w:val="00836176"/>
    <w:rsid w:val="00836E7F"/>
    <w:rsid w:val="00837DF2"/>
    <w:rsid w:val="00842094"/>
    <w:rsid w:val="0084463F"/>
    <w:rsid w:val="0084528D"/>
    <w:rsid w:val="00850A64"/>
    <w:rsid w:val="00855A46"/>
    <w:rsid w:val="00855C4E"/>
    <w:rsid w:val="008564EA"/>
    <w:rsid w:val="00857079"/>
    <w:rsid w:val="00860631"/>
    <w:rsid w:val="00860D54"/>
    <w:rsid w:val="008636F9"/>
    <w:rsid w:val="0086476C"/>
    <w:rsid w:val="00865CE8"/>
    <w:rsid w:val="008664EB"/>
    <w:rsid w:val="00867D68"/>
    <w:rsid w:val="00870469"/>
    <w:rsid w:val="00873466"/>
    <w:rsid w:val="008744EA"/>
    <w:rsid w:val="00874DE9"/>
    <w:rsid w:val="00875F25"/>
    <w:rsid w:val="0087715C"/>
    <w:rsid w:val="00877D3C"/>
    <w:rsid w:val="00880496"/>
    <w:rsid w:val="00882E60"/>
    <w:rsid w:val="00882F96"/>
    <w:rsid w:val="008844A2"/>
    <w:rsid w:val="008845A9"/>
    <w:rsid w:val="008860FC"/>
    <w:rsid w:val="00886D3A"/>
    <w:rsid w:val="008874C1"/>
    <w:rsid w:val="00890513"/>
    <w:rsid w:val="0089070C"/>
    <w:rsid w:val="00890B68"/>
    <w:rsid w:val="0089260E"/>
    <w:rsid w:val="00892D49"/>
    <w:rsid w:val="008932A3"/>
    <w:rsid w:val="00893CB8"/>
    <w:rsid w:val="00894CA7"/>
    <w:rsid w:val="00894FB2"/>
    <w:rsid w:val="00895002"/>
    <w:rsid w:val="00895BD8"/>
    <w:rsid w:val="0089655B"/>
    <w:rsid w:val="00896C0D"/>
    <w:rsid w:val="00896D03"/>
    <w:rsid w:val="00896EB1"/>
    <w:rsid w:val="008972D1"/>
    <w:rsid w:val="00897BC8"/>
    <w:rsid w:val="008A0838"/>
    <w:rsid w:val="008A13E7"/>
    <w:rsid w:val="008A252E"/>
    <w:rsid w:val="008A3F35"/>
    <w:rsid w:val="008A581A"/>
    <w:rsid w:val="008A5F7F"/>
    <w:rsid w:val="008A63E2"/>
    <w:rsid w:val="008A6630"/>
    <w:rsid w:val="008A6DB9"/>
    <w:rsid w:val="008A7107"/>
    <w:rsid w:val="008A7D83"/>
    <w:rsid w:val="008B0154"/>
    <w:rsid w:val="008B1963"/>
    <w:rsid w:val="008B20D0"/>
    <w:rsid w:val="008B24F2"/>
    <w:rsid w:val="008B2769"/>
    <w:rsid w:val="008B37F0"/>
    <w:rsid w:val="008B3E4E"/>
    <w:rsid w:val="008B41BC"/>
    <w:rsid w:val="008B4702"/>
    <w:rsid w:val="008B65B4"/>
    <w:rsid w:val="008C0F54"/>
    <w:rsid w:val="008C1C56"/>
    <w:rsid w:val="008C5503"/>
    <w:rsid w:val="008C5726"/>
    <w:rsid w:val="008C798A"/>
    <w:rsid w:val="008D1C86"/>
    <w:rsid w:val="008D47F6"/>
    <w:rsid w:val="008D6371"/>
    <w:rsid w:val="008E1296"/>
    <w:rsid w:val="008E270A"/>
    <w:rsid w:val="008E672E"/>
    <w:rsid w:val="008E72E3"/>
    <w:rsid w:val="008F4B7D"/>
    <w:rsid w:val="008F4B82"/>
    <w:rsid w:val="009130AF"/>
    <w:rsid w:val="00913825"/>
    <w:rsid w:val="009140B9"/>
    <w:rsid w:val="009141C1"/>
    <w:rsid w:val="009148CA"/>
    <w:rsid w:val="00914EA8"/>
    <w:rsid w:val="0091664E"/>
    <w:rsid w:val="009169A4"/>
    <w:rsid w:val="009170B7"/>
    <w:rsid w:val="00920236"/>
    <w:rsid w:val="009206A6"/>
    <w:rsid w:val="009219D9"/>
    <w:rsid w:val="0092287E"/>
    <w:rsid w:val="0092347C"/>
    <w:rsid w:val="0092472D"/>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3D6"/>
    <w:rsid w:val="009445E7"/>
    <w:rsid w:val="0094654A"/>
    <w:rsid w:val="0094736B"/>
    <w:rsid w:val="0095004D"/>
    <w:rsid w:val="009515AA"/>
    <w:rsid w:val="00951DAA"/>
    <w:rsid w:val="009524D9"/>
    <w:rsid w:val="009526E8"/>
    <w:rsid w:val="00952AF7"/>
    <w:rsid w:val="00952E0A"/>
    <w:rsid w:val="00953DDB"/>
    <w:rsid w:val="00955094"/>
    <w:rsid w:val="00960B49"/>
    <w:rsid w:val="009648C3"/>
    <w:rsid w:val="00964DD4"/>
    <w:rsid w:val="009669F1"/>
    <w:rsid w:val="00966BA6"/>
    <w:rsid w:val="0096732C"/>
    <w:rsid w:val="009675A9"/>
    <w:rsid w:val="00967B10"/>
    <w:rsid w:val="009714E6"/>
    <w:rsid w:val="00971553"/>
    <w:rsid w:val="009717A1"/>
    <w:rsid w:val="00976765"/>
    <w:rsid w:val="00976B7D"/>
    <w:rsid w:val="009774D1"/>
    <w:rsid w:val="00977737"/>
    <w:rsid w:val="00981BE4"/>
    <w:rsid w:val="00981C70"/>
    <w:rsid w:val="00982654"/>
    <w:rsid w:val="00982B60"/>
    <w:rsid w:val="00983A76"/>
    <w:rsid w:val="009878F0"/>
    <w:rsid w:val="00987AB7"/>
    <w:rsid w:val="00987FB6"/>
    <w:rsid w:val="00990761"/>
    <w:rsid w:val="00992467"/>
    <w:rsid w:val="009972A2"/>
    <w:rsid w:val="0099783F"/>
    <w:rsid w:val="009A0B29"/>
    <w:rsid w:val="009A106A"/>
    <w:rsid w:val="009A13D9"/>
    <w:rsid w:val="009A15D9"/>
    <w:rsid w:val="009A1711"/>
    <w:rsid w:val="009A181B"/>
    <w:rsid w:val="009A1C23"/>
    <w:rsid w:val="009A36DD"/>
    <w:rsid w:val="009A4508"/>
    <w:rsid w:val="009A6A40"/>
    <w:rsid w:val="009B1B6B"/>
    <w:rsid w:val="009B2A0E"/>
    <w:rsid w:val="009B462A"/>
    <w:rsid w:val="009B52AF"/>
    <w:rsid w:val="009B5606"/>
    <w:rsid w:val="009B603A"/>
    <w:rsid w:val="009B7956"/>
    <w:rsid w:val="009C057C"/>
    <w:rsid w:val="009C0945"/>
    <w:rsid w:val="009C0F33"/>
    <w:rsid w:val="009C1E6B"/>
    <w:rsid w:val="009C4651"/>
    <w:rsid w:val="009C5CDE"/>
    <w:rsid w:val="009C6162"/>
    <w:rsid w:val="009C74AB"/>
    <w:rsid w:val="009D26B5"/>
    <w:rsid w:val="009D3151"/>
    <w:rsid w:val="009D42AA"/>
    <w:rsid w:val="009D5A7B"/>
    <w:rsid w:val="009D7CB0"/>
    <w:rsid w:val="009E013E"/>
    <w:rsid w:val="009E14E6"/>
    <w:rsid w:val="009E2682"/>
    <w:rsid w:val="009E44F2"/>
    <w:rsid w:val="009E4A2E"/>
    <w:rsid w:val="009E4D8D"/>
    <w:rsid w:val="009E6453"/>
    <w:rsid w:val="009F19E8"/>
    <w:rsid w:val="009F1C9C"/>
    <w:rsid w:val="009F272A"/>
    <w:rsid w:val="009F2830"/>
    <w:rsid w:val="009F3181"/>
    <w:rsid w:val="009F6EB6"/>
    <w:rsid w:val="009F790B"/>
    <w:rsid w:val="009F7EB5"/>
    <w:rsid w:val="00A01E81"/>
    <w:rsid w:val="00A04AD3"/>
    <w:rsid w:val="00A073CB"/>
    <w:rsid w:val="00A07D5A"/>
    <w:rsid w:val="00A1037F"/>
    <w:rsid w:val="00A11CAC"/>
    <w:rsid w:val="00A1419D"/>
    <w:rsid w:val="00A14C86"/>
    <w:rsid w:val="00A14CD4"/>
    <w:rsid w:val="00A1734E"/>
    <w:rsid w:val="00A17C3A"/>
    <w:rsid w:val="00A202A9"/>
    <w:rsid w:val="00A223EC"/>
    <w:rsid w:val="00A262DF"/>
    <w:rsid w:val="00A2684A"/>
    <w:rsid w:val="00A27EB6"/>
    <w:rsid w:val="00A30440"/>
    <w:rsid w:val="00A325AB"/>
    <w:rsid w:val="00A37DC4"/>
    <w:rsid w:val="00A40BC8"/>
    <w:rsid w:val="00A41316"/>
    <w:rsid w:val="00A45F59"/>
    <w:rsid w:val="00A5218C"/>
    <w:rsid w:val="00A52469"/>
    <w:rsid w:val="00A52E02"/>
    <w:rsid w:val="00A57EA4"/>
    <w:rsid w:val="00A60213"/>
    <w:rsid w:val="00A6114B"/>
    <w:rsid w:val="00A615E8"/>
    <w:rsid w:val="00A61C0E"/>
    <w:rsid w:val="00A645D8"/>
    <w:rsid w:val="00A670FB"/>
    <w:rsid w:val="00A702F9"/>
    <w:rsid w:val="00A72343"/>
    <w:rsid w:val="00A730DC"/>
    <w:rsid w:val="00A73A66"/>
    <w:rsid w:val="00A75687"/>
    <w:rsid w:val="00A762AA"/>
    <w:rsid w:val="00A76F02"/>
    <w:rsid w:val="00A77399"/>
    <w:rsid w:val="00A77981"/>
    <w:rsid w:val="00A82B9E"/>
    <w:rsid w:val="00A82D0D"/>
    <w:rsid w:val="00A83597"/>
    <w:rsid w:val="00A83C79"/>
    <w:rsid w:val="00A841DE"/>
    <w:rsid w:val="00A8559D"/>
    <w:rsid w:val="00A931A3"/>
    <w:rsid w:val="00A9408A"/>
    <w:rsid w:val="00A94F52"/>
    <w:rsid w:val="00A96795"/>
    <w:rsid w:val="00A96A6A"/>
    <w:rsid w:val="00A96E27"/>
    <w:rsid w:val="00A97343"/>
    <w:rsid w:val="00AA1DAF"/>
    <w:rsid w:val="00AA236F"/>
    <w:rsid w:val="00AA2E90"/>
    <w:rsid w:val="00AA37BC"/>
    <w:rsid w:val="00AA4A29"/>
    <w:rsid w:val="00AA651C"/>
    <w:rsid w:val="00AA74C1"/>
    <w:rsid w:val="00AA7A1B"/>
    <w:rsid w:val="00AB236A"/>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4E03"/>
    <w:rsid w:val="00AE53C0"/>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97B"/>
    <w:rsid w:val="00B13FE9"/>
    <w:rsid w:val="00B14691"/>
    <w:rsid w:val="00B15DE1"/>
    <w:rsid w:val="00B162CD"/>
    <w:rsid w:val="00B23279"/>
    <w:rsid w:val="00B2531F"/>
    <w:rsid w:val="00B2585A"/>
    <w:rsid w:val="00B25898"/>
    <w:rsid w:val="00B25B77"/>
    <w:rsid w:val="00B2629D"/>
    <w:rsid w:val="00B31011"/>
    <w:rsid w:val="00B316F7"/>
    <w:rsid w:val="00B34926"/>
    <w:rsid w:val="00B36811"/>
    <w:rsid w:val="00B370B2"/>
    <w:rsid w:val="00B371D4"/>
    <w:rsid w:val="00B401C1"/>
    <w:rsid w:val="00B403A1"/>
    <w:rsid w:val="00B40456"/>
    <w:rsid w:val="00B40AF8"/>
    <w:rsid w:val="00B426A5"/>
    <w:rsid w:val="00B426C6"/>
    <w:rsid w:val="00B432FD"/>
    <w:rsid w:val="00B44219"/>
    <w:rsid w:val="00B445C8"/>
    <w:rsid w:val="00B45117"/>
    <w:rsid w:val="00B45F40"/>
    <w:rsid w:val="00B524BD"/>
    <w:rsid w:val="00B53037"/>
    <w:rsid w:val="00B5315D"/>
    <w:rsid w:val="00B55FC5"/>
    <w:rsid w:val="00B60178"/>
    <w:rsid w:val="00B60EC4"/>
    <w:rsid w:val="00B61DE8"/>
    <w:rsid w:val="00B634D4"/>
    <w:rsid w:val="00B64313"/>
    <w:rsid w:val="00B64829"/>
    <w:rsid w:val="00B650A2"/>
    <w:rsid w:val="00B6548E"/>
    <w:rsid w:val="00B65667"/>
    <w:rsid w:val="00B6639B"/>
    <w:rsid w:val="00B66CB7"/>
    <w:rsid w:val="00B66CC0"/>
    <w:rsid w:val="00B7053E"/>
    <w:rsid w:val="00B71FC4"/>
    <w:rsid w:val="00B748E1"/>
    <w:rsid w:val="00B767AE"/>
    <w:rsid w:val="00B76BDF"/>
    <w:rsid w:val="00B76D6D"/>
    <w:rsid w:val="00B80D2B"/>
    <w:rsid w:val="00B82B8B"/>
    <w:rsid w:val="00B84330"/>
    <w:rsid w:val="00B875CA"/>
    <w:rsid w:val="00B87F2A"/>
    <w:rsid w:val="00B91356"/>
    <w:rsid w:val="00B922C3"/>
    <w:rsid w:val="00B92952"/>
    <w:rsid w:val="00B94E68"/>
    <w:rsid w:val="00B973A1"/>
    <w:rsid w:val="00B97C78"/>
    <w:rsid w:val="00BA05F4"/>
    <w:rsid w:val="00BA13A5"/>
    <w:rsid w:val="00BA1CC0"/>
    <w:rsid w:val="00BA5F96"/>
    <w:rsid w:val="00BA7A2C"/>
    <w:rsid w:val="00BB096A"/>
    <w:rsid w:val="00BB142E"/>
    <w:rsid w:val="00BB226D"/>
    <w:rsid w:val="00BB24FD"/>
    <w:rsid w:val="00BB34CA"/>
    <w:rsid w:val="00BB3B00"/>
    <w:rsid w:val="00BB3B04"/>
    <w:rsid w:val="00BB5FF4"/>
    <w:rsid w:val="00BC00A7"/>
    <w:rsid w:val="00BC04D5"/>
    <w:rsid w:val="00BC13CC"/>
    <w:rsid w:val="00BC32F2"/>
    <w:rsid w:val="00BC4BE2"/>
    <w:rsid w:val="00BC6211"/>
    <w:rsid w:val="00BC7E45"/>
    <w:rsid w:val="00BD0BA8"/>
    <w:rsid w:val="00BD1AF4"/>
    <w:rsid w:val="00BD32FB"/>
    <w:rsid w:val="00BD3693"/>
    <w:rsid w:val="00BD3FA1"/>
    <w:rsid w:val="00BD4FA3"/>
    <w:rsid w:val="00BD7409"/>
    <w:rsid w:val="00BD7CA7"/>
    <w:rsid w:val="00BE1260"/>
    <w:rsid w:val="00BE3AB7"/>
    <w:rsid w:val="00BE41AA"/>
    <w:rsid w:val="00BE4FA9"/>
    <w:rsid w:val="00BE7F85"/>
    <w:rsid w:val="00BF0B27"/>
    <w:rsid w:val="00BF33EF"/>
    <w:rsid w:val="00BF363C"/>
    <w:rsid w:val="00BF5CE2"/>
    <w:rsid w:val="00BF6CA6"/>
    <w:rsid w:val="00BF72BA"/>
    <w:rsid w:val="00C01B26"/>
    <w:rsid w:val="00C01B39"/>
    <w:rsid w:val="00C01ECD"/>
    <w:rsid w:val="00C02783"/>
    <w:rsid w:val="00C04D0B"/>
    <w:rsid w:val="00C05052"/>
    <w:rsid w:val="00C07579"/>
    <w:rsid w:val="00C10F0A"/>
    <w:rsid w:val="00C12EFE"/>
    <w:rsid w:val="00C14310"/>
    <w:rsid w:val="00C1528C"/>
    <w:rsid w:val="00C1548C"/>
    <w:rsid w:val="00C17C3A"/>
    <w:rsid w:val="00C21AE0"/>
    <w:rsid w:val="00C228CA"/>
    <w:rsid w:val="00C22EE7"/>
    <w:rsid w:val="00C253A1"/>
    <w:rsid w:val="00C27776"/>
    <w:rsid w:val="00C27961"/>
    <w:rsid w:val="00C27E06"/>
    <w:rsid w:val="00C328EF"/>
    <w:rsid w:val="00C35B2B"/>
    <w:rsid w:val="00C36857"/>
    <w:rsid w:val="00C40E95"/>
    <w:rsid w:val="00C41006"/>
    <w:rsid w:val="00C427E3"/>
    <w:rsid w:val="00C44C76"/>
    <w:rsid w:val="00C45B53"/>
    <w:rsid w:val="00C4790A"/>
    <w:rsid w:val="00C47DFF"/>
    <w:rsid w:val="00C50538"/>
    <w:rsid w:val="00C50E71"/>
    <w:rsid w:val="00C54129"/>
    <w:rsid w:val="00C56AE3"/>
    <w:rsid w:val="00C573E8"/>
    <w:rsid w:val="00C610B0"/>
    <w:rsid w:val="00C6227C"/>
    <w:rsid w:val="00C64C77"/>
    <w:rsid w:val="00C66CC9"/>
    <w:rsid w:val="00C675E2"/>
    <w:rsid w:val="00C70B5F"/>
    <w:rsid w:val="00C70F5B"/>
    <w:rsid w:val="00C737DC"/>
    <w:rsid w:val="00C742C8"/>
    <w:rsid w:val="00C7535D"/>
    <w:rsid w:val="00C76463"/>
    <w:rsid w:val="00C77196"/>
    <w:rsid w:val="00C82545"/>
    <w:rsid w:val="00C825EE"/>
    <w:rsid w:val="00C828B0"/>
    <w:rsid w:val="00C83561"/>
    <w:rsid w:val="00C84709"/>
    <w:rsid w:val="00C86473"/>
    <w:rsid w:val="00C879D3"/>
    <w:rsid w:val="00C90043"/>
    <w:rsid w:val="00C90C6F"/>
    <w:rsid w:val="00C91D90"/>
    <w:rsid w:val="00C91F35"/>
    <w:rsid w:val="00C9379B"/>
    <w:rsid w:val="00C937ED"/>
    <w:rsid w:val="00C94CE9"/>
    <w:rsid w:val="00C9694F"/>
    <w:rsid w:val="00C978AB"/>
    <w:rsid w:val="00CA07E7"/>
    <w:rsid w:val="00CA112C"/>
    <w:rsid w:val="00CA2DA3"/>
    <w:rsid w:val="00CA2F0C"/>
    <w:rsid w:val="00CA4851"/>
    <w:rsid w:val="00CA72D5"/>
    <w:rsid w:val="00CA74AC"/>
    <w:rsid w:val="00CB0612"/>
    <w:rsid w:val="00CB0C8A"/>
    <w:rsid w:val="00CB10F1"/>
    <w:rsid w:val="00CB1375"/>
    <w:rsid w:val="00CB2772"/>
    <w:rsid w:val="00CB32FC"/>
    <w:rsid w:val="00CB3DAF"/>
    <w:rsid w:val="00CB60B6"/>
    <w:rsid w:val="00CB629F"/>
    <w:rsid w:val="00CB6A6E"/>
    <w:rsid w:val="00CB6EF4"/>
    <w:rsid w:val="00CB7F52"/>
    <w:rsid w:val="00CC118C"/>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2402"/>
    <w:rsid w:val="00CF3496"/>
    <w:rsid w:val="00CF4274"/>
    <w:rsid w:val="00CF5A27"/>
    <w:rsid w:val="00CF5CE8"/>
    <w:rsid w:val="00CF666C"/>
    <w:rsid w:val="00CF6B8A"/>
    <w:rsid w:val="00D01E9D"/>
    <w:rsid w:val="00D02679"/>
    <w:rsid w:val="00D0278F"/>
    <w:rsid w:val="00D029B3"/>
    <w:rsid w:val="00D03164"/>
    <w:rsid w:val="00D038EC"/>
    <w:rsid w:val="00D03F0F"/>
    <w:rsid w:val="00D04F3A"/>
    <w:rsid w:val="00D148FE"/>
    <w:rsid w:val="00D20BA9"/>
    <w:rsid w:val="00D22BFC"/>
    <w:rsid w:val="00D22D6A"/>
    <w:rsid w:val="00D23A93"/>
    <w:rsid w:val="00D24C85"/>
    <w:rsid w:val="00D25461"/>
    <w:rsid w:val="00D30343"/>
    <w:rsid w:val="00D31166"/>
    <w:rsid w:val="00D325EC"/>
    <w:rsid w:val="00D36137"/>
    <w:rsid w:val="00D3650D"/>
    <w:rsid w:val="00D36CBD"/>
    <w:rsid w:val="00D377A4"/>
    <w:rsid w:val="00D37EF8"/>
    <w:rsid w:val="00D42A9D"/>
    <w:rsid w:val="00D44649"/>
    <w:rsid w:val="00D44971"/>
    <w:rsid w:val="00D465D5"/>
    <w:rsid w:val="00D501BC"/>
    <w:rsid w:val="00D5040E"/>
    <w:rsid w:val="00D50A07"/>
    <w:rsid w:val="00D5240C"/>
    <w:rsid w:val="00D54945"/>
    <w:rsid w:val="00D55969"/>
    <w:rsid w:val="00D567AB"/>
    <w:rsid w:val="00D571C6"/>
    <w:rsid w:val="00D5786C"/>
    <w:rsid w:val="00D57C94"/>
    <w:rsid w:val="00D57F60"/>
    <w:rsid w:val="00D6175A"/>
    <w:rsid w:val="00D62169"/>
    <w:rsid w:val="00D62DD0"/>
    <w:rsid w:val="00D644B7"/>
    <w:rsid w:val="00D647F2"/>
    <w:rsid w:val="00D651FB"/>
    <w:rsid w:val="00D66022"/>
    <w:rsid w:val="00D67485"/>
    <w:rsid w:val="00D7058E"/>
    <w:rsid w:val="00D708F8"/>
    <w:rsid w:val="00D70F48"/>
    <w:rsid w:val="00D73B28"/>
    <w:rsid w:val="00D74F6D"/>
    <w:rsid w:val="00D75AA6"/>
    <w:rsid w:val="00D76538"/>
    <w:rsid w:val="00D76D32"/>
    <w:rsid w:val="00D77292"/>
    <w:rsid w:val="00D800BC"/>
    <w:rsid w:val="00D80300"/>
    <w:rsid w:val="00D822BB"/>
    <w:rsid w:val="00D839AA"/>
    <w:rsid w:val="00D848EE"/>
    <w:rsid w:val="00D851AB"/>
    <w:rsid w:val="00D8538D"/>
    <w:rsid w:val="00D92313"/>
    <w:rsid w:val="00D928C8"/>
    <w:rsid w:val="00D93550"/>
    <w:rsid w:val="00D93A8B"/>
    <w:rsid w:val="00D9587F"/>
    <w:rsid w:val="00D961EB"/>
    <w:rsid w:val="00DA23B0"/>
    <w:rsid w:val="00DA394E"/>
    <w:rsid w:val="00DA3959"/>
    <w:rsid w:val="00DA5A96"/>
    <w:rsid w:val="00DB0D35"/>
    <w:rsid w:val="00DB12EF"/>
    <w:rsid w:val="00DB45D8"/>
    <w:rsid w:val="00DB663A"/>
    <w:rsid w:val="00DC072B"/>
    <w:rsid w:val="00DC1920"/>
    <w:rsid w:val="00DC79F9"/>
    <w:rsid w:val="00DD00AF"/>
    <w:rsid w:val="00DD1D52"/>
    <w:rsid w:val="00DD257B"/>
    <w:rsid w:val="00DE2554"/>
    <w:rsid w:val="00DE61F3"/>
    <w:rsid w:val="00DE7623"/>
    <w:rsid w:val="00DF482B"/>
    <w:rsid w:val="00DF67C7"/>
    <w:rsid w:val="00DF6838"/>
    <w:rsid w:val="00DF7314"/>
    <w:rsid w:val="00E04D6B"/>
    <w:rsid w:val="00E13679"/>
    <w:rsid w:val="00E14E12"/>
    <w:rsid w:val="00E171BC"/>
    <w:rsid w:val="00E2212C"/>
    <w:rsid w:val="00E2217E"/>
    <w:rsid w:val="00E2306A"/>
    <w:rsid w:val="00E23394"/>
    <w:rsid w:val="00E23CA2"/>
    <w:rsid w:val="00E24F81"/>
    <w:rsid w:val="00E2557A"/>
    <w:rsid w:val="00E2559D"/>
    <w:rsid w:val="00E26E3C"/>
    <w:rsid w:val="00E27261"/>
    <w:rsid w:val="00E274D8"/>
    <w:rsid w:val="00E342CC"/>
    <w:rsid w:val="00E36C66"/>
    <w:rsid w:val="00E36DC4"/>
    <w:rsid w:val="00E37950"/>
    <w:rsid w:val="00E37A8F"/>
    <w:rsid w:val="00E40C93"/>
    <w:rsid w:val="00E4247E"/>
    <w:rsid w:val="00E42B68"/>
    <w:rsid w:val="00E43703"/>
    <w:rsid w:val="00E43C26"/>
    <w:rsid w:val="00E43FA8"/>
    <w:rsid w:val="00E44639"/>
    <w:rsid w:val="00E46AEC"/>
    <w:rsid w:val="00E46CEA"/>
    <w:rsid w:val="00E4702E"/>
    <w:rsid w:val="00E474F0"/>
    <w:rsid w:val="00E47A9A"/>
    <w:rsid w:val="00E50993"/>
    <w:rsid w:val="00E516F3"/>
    <w:rsid w:val="00E528F7"/>
    <w:rsid w:val="00E528F9"/>
    <w:rsid w:val="00E536DC"/>
    <w:rsid w:val="00E55684"/>
    <w:rsid w:val="00E602D0"/>
    <w:rsid w:val="00E603C8"/>
    <w:rsid w:val="00E64DB8"/>
    <w:rsid w:val="00E64EB9"/>
    <w:rsid w:val="00E64F4D"/>
    <w:rsid w:val="00E6613F"/>
    <w:rsid w:val="00E6770F"/>
    <w:rsid w:val="00E71440"/>
    <w:rsid w:val="00E72196"/>
    <w:rsid w:val="00E72615"/>
    <w:rsid w:val="00E73654"/>
    <w:rsid w:val="00E736EF"/>
    <w:rsid w:val="00E742A9"/>
    <w:rsid w:val="00E742C0"/>
    <w:rsid w:val="00E753C8"/>
    <w:rsid w:val="00E75858"/>
    <w:rsid w:val="00E75ECD"/>
    <w:rsid w:val="00E76F05"/>
    <w:rsid w:val="00E848E3"/>
    <w:rsid w:val="00E86A90"/>
    <w:rsid w:val="00E87E60"/>
    <w:rsid w:val="00E9112A"/>
    <w:rsid w:val="00E933EB"/>
    <w:rsid w:val="00E94C91"/>
    <w:rsid w:val="00E95F9A"/>
    <w:rsid w:val="00E97314"/>
    <w:rsid w:val="00E976A2"/>
    <w:rsid w:val="00E97CBF"/>
    <w:rsid w:val="00EA0EFF"/>
    <w:rsid w:val="00EA4ED3"/>
    <w:rsid w:val="00EA58FE"/>
    <w:rsid w:val="00EA6897"/>
    <w:rsid w:val="00EA6EF0"/>
    <w:rsid w:val="00EB0855"/>
    <w:rsid w:val="00EB0FF8"/>
    <w:rsid w:val="00EB1C37"/>
    <w:rsid w:val="00EB3490"/>
    <w:rsid w:val="00EB4F0F"/>
    <w:rsid w:val="00EC2B2F"/>
    <w:rsid w:val="00EC41C3"/>
    <w:rsid w:val="00EC7CB1"/>
    <w:rsid w:val="00EC7DBC"/>
    <w:rsid w:val="00EC7F7D"/>
    <w:rsid w:val="00ED2780"/>
    <w:rsid w:val="00ED2A9A"/>
    <w:rsid w:val="00ED3258"/>
    <w:rsid w:val="00ED3491"/>
    <w:rsid w:val="00ED61FF"/>
    <w:rsid w:val="00ED6446"/>
    <w:rsid w:val="00ED688E"/>
    <w:rsid w:val="00EE17DC"/>
    <w:rsid w:val="00EE18B8"/>
    <w:rsid w:val="00EE2870"/>
    <w:rsid w:val="00EE48CC"/>
    <w:rsid w:val="00EE617F"/>
    <w:rsid w:val="00EF008E"/>
    <w:rsid w:val="00EF1834"/>
    <w:rsid w:val="00EF1A73"/>
    <w:rsid w:val="00EF1F20"/>
    <w:rsid w:val="00EF589B"/>
    <w:rsid w:val="00EF62C0"/>
    <w:rsid w:val="00EF66C8"/>
    <w:rsid w:val="00EF6CF6"/>
    <w:rsid w:val="00EF7D2D"/>
    <w:rsid w:val="00F02B3A"/>
    <w:rsid w:val="00F03302"/>
    <w:rsid w:val="00F03716"/>
    <w:rsid w:val="00F048C4"/>
    <w:rsid w:val="00F04A88"/>
    <w:rsid w:val="00F04BC9"/>
    <w:rsid w:val="00F11B2B"/>
    <w:rsid w:val="00F14BBD"/>
    <w:rsid w:val="00F205E9"/>
    <w:rsid w:val="00F20F1B"/>
    <w:rsid w:val="00F24605"/>
    <w:rsid w:val="00F253B2"/>
    <w:rsid w:val="00F25470"/>
    <w:rsid w:val="00F27237"/>
    <w:rsid w:val="00F277D7"/>
    <w:rsid w:val="00F2792C"/>
    <w:rsid w:val="00F27E28"/>
    <w:rsid w:val="00F307A2"/>
    <w:rsid w:val="00F3248D"/>
    <w:rsid w:val="00F32C8E"/>
    <w:rsid w:val="00F32D41"/>
    <w:rsid w:val="00F333DD"/>
    <w:rsid w:val="00F34226"/>
    <w:rsid w:val="00F34E7B"/>
    <w:rsid w:val="00F361C0"/>
    <w:rsid w:val="00F3628D"/>
    <w:rsid w:val="00F363E0"/>
    <w:rsid w:val="00F36E63"/>
    <w:rsid w:val="00F36E82"/>
    <w:rsid w:val="00F376E4"/>
    <w:rsid w:val="00F404DF"/>
    <w:rsid w:val="00F417FC"/>
    <w:rsid w:val="00F424B0"/>
    <w:rsid w:val="00F436D8"/>
    <w:rsid w:val="00F43F3B"/>
    <w:rsid w:val="00F44A8F"/>
    <w:rsid w:val="00F546BC"/>
    <w:rsid w:val="00F60507"/>
    <w:rsid w:val="00F60736"/>
    <w:rsid w:val="00F61C69"/>
    <w:rsid w:val="00F63839"/>
    <w:rsid w:val="00F6459B"/>
    <w:rsid w:val="00F66FF2"/>
    <w:rsid w:val="00F67FB8"/>
    <w:rsid w:val="00F70A8F"/>
    <w:rsid w:val="00F7139A"/>
    <w:rsid w:val="00F71D53"/>
    <w:rsid w:val="00F72052"/>
    <w:rsid w:val="00F72263"/>
    <w:rsid w:val="00F74174"/>
    <w:rsid w:val="00F75079"/>
    <w:rsid w:val="00F76A99"/>
    <w:rsid w:val="00F77FAF"/>
    <w:rsid w:val="00F80395"/>
    <w:rsid w:val="00F81F49"/>
    <w:rsid w:val="00F8456D"/>
    <w:rsid w:val="00F8763E"/>
    <w:rsid w:val="00F90D02"/>
    <w:rsid w:val="00F92FD1"/>
    <w:rsid w:val="00F93467"/>
    <w:rsid w:val="00F94484"/>
    <w:rsid w:val="00F953DC"/>
    <w:rsid w:val="00F96716"/>
    <w:rsid w:val="00F97AF0"/>
    <w:rsid w:val="00F97E01"/>
    <w:rsid w:val="00FA1D86"/>
    <w:rsid w:val="00FA283E"/>
    <w:rsid w:val="00FA3F38"/>
    <w:rsid w:val="00FA62A0"/>
    <w:rsid w:val="00FA71AC"/>
    <w:rsid w:val="00FB02AC"/>
    <w:rsid w:val="00FB0F9F"/>
    <w:rsid w:val="00FB4C93"/>
    <w:rsid w:val="00FB745B"/>
    <w:rsid w:val="00FB7EF9"/>
    <w:rsid w:val="00FC013E"/>
    <w:rsid w:val="00FC2844"/>
    <w:rsid w:val="00FC293A"/>
    <w:rsid w:val="00FC3BE2"/>
    <w:rsid w:val="00FC4EEE"/>
    <w:rsid w:val="00FC7974"/>
    <w:rsid w:val="00FD0160"/>
    <w:rsid w:val="00FD0B0D"/>
    <w:rsid w:val="00FD1259"/>
    <w:rsid w:val="00FD23DE"/>
    <w:rsid w:val="00FD2C77"/>
    <w:rsid w:val="00FD35EB"/>
    <w:rsid w:val="00FD3700"/>
    <w:rsid w:val="00FD4516"/>
    <w:rsid w:val="00FD4C3E"/>
    <w:rsid w:val="00FD6064"/>
    <w:rsid w:val="00FD6E1A"/>
    <w:rsid w:val="00FE0A5A"/>
    <w:rsid w:val="00FE184D"/>
    <w:rsid w:val="00FE3845"/>
    <w:rsid w:val="00FE3C8B"/>
    <w:rsid w:val="00FE4D42"/>
    <w:rsid w:val="00FE5113"/>
    <w:rsid w:val="00FE5B60"/>
    <w:rsid w:val="00FE67AA"/>
    <w:rsid w:val="00FF3086"/>
    <w:rsid w:val="00FF5686"/>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aliases w:val="Footnote_mpi"/>
    <w:basedOn w:val="Normal"/>
    <w:link w:val="FootnoteTextChar"/>
    <w:uiPriority w:val="99"/>
    <w:unhideWhenUsed/>
    <w:qFormat/>
    <w:rsid w:val="00D644B7"/>
    <w:pPr>
      <w:spacing w:after="0" w:line="240" w:lineRule="auto"/>
    </w:pPr>
    <w:rPr>
      <w:sz w:val="20"/>
      <w:szCs w:val="20"/>
    </w:rPr>
  </w:style>
  <w:style w:type="character" w:customStyle="1" w:styleId="FootnoteTextChar">
    <w:name w:val="Footnote Text Char"/>
    <w:aliases w:val="Footnote_mpi Char1"/>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 w:type="character" w:customStyle="1" w:styleId="FootnoteTextChar1">
    <w:name w:val="Footnote Text Char1"/>
    <w:aliases w:val="Footnote_mpi Char"/>
    <w:uiPriority w:val="99"/>
    <w:rsid w:val="006859BA"/>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39547230">
      <w:bodyDiv w:val="1"/>
      <w:marLeft w:val="0"/>
      <w:marRight w:val="0"/>
      <w:marTop w:val="0"/>
      <w:marBottom w:val="0"/>
      <w:divBdr>
        <w:top w:val="none" w:sz="0" w:space="0" w:color="auto"/>
        <w:left w:val="none" w:sz="0" w:space="0" w:color="auto"/>
        <w:bottom w:val="none" w:sz="0" w:space="0" w:color="auto"/>
        <w:right w:val="none" w:sz="0" w:space="0" w:color="auto"/>
      </w:divBdr>
    </w:div>
    <w:div w:id="356741846">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45317164">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591545703">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45160764">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59964185">
      <w:bodyDiv w:val="1"/>
      <w:marLeft w:val="0"/>
      <w:marRight w:val="0"/>
      <w:marTop w:val="0"/>
      <w:marBottom w:val="0"/>
      <w:divBdr>
        <w:top w:val="none" w:sz="0" w:space="0" w:color="auto"/>
        <w:left w:val="none" w:sz="0" w:space="0" w:color="auto"/>
        <w:bottom w:val="none" w:sz="0" w:space="0" w:color="auto"/>
        <w:right w:val="none" w:sz="0" w:space="0" w:color="auto"/>
      </w:divBdr>
      <w:divsChild>
        <w:div w:id="1251282028">
          <w:marLeft w:val="0"/>
          <w:marRight w:val="0"/>
          <w:marTop w:val="0"/>
          <w:marBottom w:val="0"/>
          <w:divBdr>
            <w:top w:val="none" w:sz="0" w:space="0" w:color="auto"/>
            <w:left w:val="none" w:sz="0" w:space="0" w:color="auto"/>
            <w:bottom w:val="none" w:sz="0" w:space="0" w:color="auto"/>
            <w:right w:val="none" w:sz="0" w:space="0" w:color="auto"/>
          </w:divBdr>
          <w:divsChild>
            <w:div w:id="946699561">
              <w:marLeft w:val="0"/>
              <w:marRight w:val="0"/>
              <w:marTop w:val="0"/>
              <w:marBottom w:val="0"/>
              <w:divBdr>
                <w:top w:val="none" w:sz="0" w:space="0" w:color="auto"/>
                <w:left w:val="none" w:sz="0" w:space="0" w:color="auto"/>
                <w:bottom w:val="none" w:sz="0" w:space="0" w:color="auto"/>
                <w:right w:val="none" w:sz="0" w:space="0" w:color="auto"/>
              </w:divBdr>
              <w:divsChild>
                <w:div w:id="1631281293">
                  <w:marLeft w:val="0"/>
                  <w:marRight w:val="0"/>
                  <w:marTop w:val="0"/>
                  <w:marBottom w:val="0"/>
                  <w:divBdr>
                    <w:top w:val="none" w:sz="0" w:space="0" w:color="auto"/>
                    <w:left w:val="none" w:sz="0" w:space="0" w:color="auto"/>
                    <w:bottom w:val="none" w:sz="0" w:space="0" w:color="auto"/>
                    <w:right w:val="none" w:sz="0" w:space="0" w:color="auto"/>
                  </w:divBdr>
                  <w:divsChild>
                    <w:div w:id="13703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5318178">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28525220">
      <w:bodyDiv w:val="1"/>
      <w:marLeft w:val="0"/>
      <w:marRight w:val="0"/>
      <w:marTop w:val="0"/>
      <w:marBottom w:val="0"/>
      <w:divBdr>
        <w:top w:val="none" w:sz="0" w:space="0" w:color="auto"/>
        <w:left w:val="none" w:sz="0" w:space="0" w:color="auto"/>
        <w:bottom w:val="none" w:sz="0" w:space="0" w:color="auto"/>
        <w:right w:val="none" w:sz="0" w:space="0" w:color="auto"/>
      </w:divBdr>
      <w:divsChild>
        <w:div w:id="901452873">
          <w:marLeft w:val="0"/>
          <w:marRight w:val="0"/>
          <w:marTop w:val="0"/>
          <w:marBottom w:val="0"/>
          <w:divBdr>
            <w:top w:val="none" w:sz="0" w:space="0" w:color="auto"/>
            <w:left w:val="none" w:sz="0" w:space="0" w:color="auto"/>
            <w:bottom w:val="none" w:sz="0" w:space="0" w:color="auto"/>
            <w:right w:val="none" w:sz="0" w:space="0" w:color="auto"/>
          </w:divBdr>
          <w:divsChild>
            <w:div w:id="392242213">
              <w:marLeft w:val="0"/>
              <w:marRight w:val="0"/>
              <w:marTop w:val="0"/>
              <w:marBottom w:val="0"/>
              <w:divBdr>
                <w:top w:val="none" w:sz="0" w:space="0" w:color="auto"/>
                <w:left w:val="none" w:sz="0" w:space="0" w:color="auto"/>
                <w:bottom w:val="none" w:sz="0" w:space="0" w:color="auto"/>
                <w:right w:val="none" w:sz="0" w:space="0" w:color="auto"/>
              </w:divBdr>
              <w:divsChild>
                <w:div w:id="1383749035">
                  <w:marLeft w:val="0"/>
                  <w:marRight w:val="0"/>
                  <w:marTop w:val="0"/>
                  <w:marBottom w:val="0"/>
                  <w:divBdr>
                    <w:top w:val="none" w:sz="0" w:space="0" w:color="auto"/>
                    <w:left w:val="none" w:sz="0" w:space="0" w:color="auto"/>
                    <w:bottom w:val="none" w:sz="0" w:space="0" w:color="auto"/>
                    <w:right w:val="none" w:sz="0" w:space="0" w:color="auto"/>
                  </w:divBdr>
                  <w:divsChild>
                    <w:div w:id="1048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64964673">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0647406">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3365280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054350867">
      <w:bodyDiv w:val="1"/>
      <w:marLeft w:val="0"/>
      <w:marRight w:val="0"/>
      <w:marTop w:val="0"/>
      <w:marBottom w:val="0"/>
      <w:divBdr>
        <w:top w:val="none" w:sz="0" w:space="0" w:color="auto"/>
        <w:left w:val="none" w:sz="0" w:space="0" w:color="auto"/>
        <w:bottom w:val="none" w:sz="0" w:space="0" w:color="auto"/>
        <w:right w:val="none" w:sz="0" w:space="0" w:color="auto"/>
      </w:divBdr>
    </w:div>
    <w:div w:id="1093478532">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47548262">
      <w:bodyDiv w:val="1"/>
      <w:marLeft w:val="0"/>
      <w:marRight w:val="0"/>
      <w:marTop w:val="0"/>
      <w:marBottom w:val="0"/>
      <w:divBdr>
        <w:top w:val="none" w:sz="0" w:space="0" w:color="auto"/>
        <w:left w:val="none" w:sz="0" w:space="0" w:color="auto"/>
        <w:bottom w:val="none" w:sz="0" w:space="0" w:color="auto"/>
        <w:right w:val="none" w:sz="0" w:space="0" w:color="auto"/>
      </w:divBdr>
      <w:divsChild>
        <w:div w:id="1657340860">
          <w:marLeft w:val="0"/>
          <w:marRight w:val="0"/>
          <w:marTop w:val="0"/>
          <w:marBottom w:val="0"/>
          <w:divBdr>
            <w:top w:val="none" w:sz="0" w:space="0" w:color="auto"/>
            <w:left w:val="none" w:sz="0" w:space="0" w:color="auto"/>
            <w:bottom w:val="none" w:sz="0" w:space="0" w:color="auto"/>
            <w:right w:val="none" w:sz="0" w:space="0" w:color="auto"/>
          </w:divBdr>
          <w:divsChild>
            <w:div w:id="236289129">
              <w:marLeft w:val="0"/>
              <w:marRight w:val="0"/>
              <w:marTop w:val="0"/>
              <w:marBottom w:val="0"/>
              <w:divBdr>
                <w:top w:val="none" w:sz="0" w:space="0" w:color="auto"/>
                <w:left w:val="none" w:sz="0" w:space="0" w:color="auto"/>
                <w:bottom w:val="none" w:sz="0" w:space="0" w:color="auto"/>
                <w:right w:val="none" w:sz="0" w:space="0" w:color="auto"/>
              </w:divBdr>
              <w:divsChild>
                <w:div w:id="1114862390">
                  <w:marLeft w:val="0"/>
                  <w:marRight w:val="0"/>
                  <w:marTop w:val="0"/>
                  <w:marBottom w:val="0"/>
                  <w:divBdr>
                    <w:top w:val="none" w:sz="0" w:space="0" w:color="auto"/>
                    <w:left w:val="none" w:sz="0" w:space="0" w:color="auto"/>
                    <w:bottom w:val="none" w:sz="0" w:space="0" w:color="auto"/>
                    <w:right w:val="none" w:sz="0" w:space="0" w:color="auto"/>
                  </w:divBdr>
                  <w:divsChild>
                    <w:div w:id="9702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0680990">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4437181">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11599098">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0457262">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07637743">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01262882">
      <w:bodyDiv w:val="1"/>
      <w:marLeft w:val="0"/>
      <w:marRight w:val="0"/>
      <w:marTop w:val="0"/>
      <w:marBottom w:val="0"/>
      <w:divBdr>
        <w:top w:val="none" w:sz="0" w:space="0" w:color="auto"/>
        <w:left w:val="none" w:sz="0" w:space="0" w:color="auto"/>
        <w:bottom w:val="none" w:sz="0" w:space="0" w:color="auto"/>
        <w:right w:val="none" w:sz="0" w:space="0" w:color="auto"/>
      </w:divBdr>
    </w:div>
    <w:div w:id="1873493289">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3905874">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73245143">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49916422">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23651639">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tagnifi.com" TargetMode="Externa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3.jpe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fred.stlouisfed.org/release/tables?rid=18&amp;eid=289&amp;od=2021-09-30" TargetMode="External"/><Relationship Id="rId18" Type="http://schemas.openxmlformats.org/officeDocument/2006/relationships/hyperlink" Target="https://fred.stlouisfed.org/series/UNRATE" TargetMode="External"/><Relationship Id="rId26" Type="http://schemas.openxmlformats.org/officeDocument/2006/relationships/hyperlink" Target="https://fred.stlouisfed.org/series/CPILEGSL" TargetMode="External"/><Relationship Id="rId39" Type="http://schemas.openxmlformats.org/officeDocument/2006/relationships/hyperlink" Target="https://fred.stlouisfed.org/series/GDPC1CTM" TargetMode="External"/><Relationship Id="rId21" Type="http://schemas.openxmlformats.org/officeDocument/2006/relationships/hyperlink" Target="https://www.philadelphiafed.org/surveys-and-data/real-time-data-research/livingston-survey" TargetMode="External"/><Relationship Id="rId34" Type="http://schemas.openxmlformats.org/officeDocument/2006/relationships/hyperlink" Target="https://fred.stlouisfed.org/series/PCE" TargetMode="External"/><Relationship Id="rId7" Type="http://schemas.openxmlformats.org/officeDocument/2006/relationships/hyperlink" Target="https://fred.stlouisfed.org/series/DPCERY2Q224SBEA"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DBAA" TargetMode="External"/><Relationship Id="rId20" Type="http://schemas.openxmlformats.org/officeDocument/2006/relationships/hyperlink" Target="https://fred.stlouisfed.org/series/CIVPART" TargetMode="External"/><Relationship Id="rId29" Type="http://schemas.openxmlformats.org/officeDocument/2006/relationships/hyperlink" Target="https://fred.stlouisfed.org/series/T5YIE" TargetMode="External"/><Relationship Id="rId41" Type="http://schemas.openxmlformats.org/officeDocument/2006/relationships/hyperlink" Target="https://fred.stlouisfed.org/series/UNRATECTM"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A006RY2Q224SBEA" TargetMode="External"/><Relationship Id="rId11" Type="http://schemas.openxmlformats.org/officeDocument/2006/relationships/hyperlink" Target="https://fred.stlouisfed.org/series/MCUMFN" TargetMode="External"/><Relationship Id="rId24" Type="http://schemas.openxmlformats.org/officeDocument/2006/relationships/hyperlink" Target="https://fred.stlouisfed.org/series/PAYEMS" TargetMode="External"/><Relationship Id="rId32" Type="http://schemas.openxmlformats.org/officeDocument/2006/relationships/hyperlink" Target="https://fred.stlouisfed.org/series/MORTGAGE30US" TargetMode="External"/><Relationship Id="rId37" Type="http://schemas.openxmlformats.org/officeDocument/2006/relationships/hyperlink" Target="https://fred.stlouisfed.org/series/UMCSENT" TargetMode="External"/><Relationship Id="rId40" Type="http://schemas.openxmlformats.org/officeDocument/2006/relationships/hyperlink" Target="https://fred.stlouisfed.org/series/PCECTPICTM" TargetMode="External"/><Relationship Id="rId5" Type="http://schemas.openxmlformats.org/officeDocument/2006/relationships/hyperlink" Target="https://fred.stlouisfed.org/series/GDPC1" TargetMode="External"/><Relationship Id="rId15" Type="http://schemas.openxmlformats.org/officeDocument/2006/relationships/hyperlink" Target="https://fred.stlouisfed.org/series/DGS10" TargetMode="External"/><Relationship Id="rId23" Type="http://schemas.openxmlformats.org/officeDocument/2006/relationships/hyperlink" Target="https://fred.stlouisfed.org/series/U6RATE" TargetMode="External"/><Relationship Id="rId28" Type="http://schemas.openxmlformats.org/officeDocument/2006/relationships/hyperlink" Target="https://fred.stlouisfed.org/series/PPIACO" TargetMode="External"/><Relationship Id="rId36" Type="http://schemas.openxmlformats.org/officeDocument/2006/relationships/hyperlink" Target="https://fred.stlouisfed.org/series/CUSR0000SETA02" TargetMode="External"/><Relationship Id="rId10" Type="http://schemas.openxmlformats.org/officeDocument/2006/relationships/hyperlink" Target="https://fred.stlouisfed.org/series/INDPRO" TargetMode="External"/><Relationship Id="rId19" Type="http://schemas.openxmlformats.org/officeDocument/2006/relationships/hyperlink" Target="https://fred.stlouisfed.org/series/CLF16OV" TargetMode="External"/><Relationship Id="rId31" Type="http://schemas.openxmlformats.org/officeDocument/2006/relationships/hyperlink" Target="https://fred.stlouisfed.org/series/HOUST" TargetMode="External"/><Relationship Id="rId4" Type="http://schemas.openxmlformats.org/officeDocument/2006/relationships/hyperlink" Target="https://fred.stlouisfed.org/series/HOUST" TargetMode="External"/><Relationship Id="rId9" Type="http://schemas.openxmlformats.org/officeDocument/2006/relationships/hyperlink" Target="https://fred.stlouisfed.org/series/A019RY2Q224SBEA" TargetMode="External"/><Relationship Id="rId14" Type="http://schemas.openxmlformats.org/officeDocument/2006/relationships/hyperlink" Target="https://fred.stlouisfed.org/series/FEDFUNDS" TargetMode="External"/><Relationship Id="rId22" Type="http://schemas.openxmlformats.org/officeDocument/2006/relationships/hyperlink" Target="https://fred.stlouisfed.org/series/JTSQUL" TargetMode="External"/><Relationship Id="rId27" Type="http://schemas.openxmlformats.org/officeDocument/2006/relationships/hyperlink" Target="https://fred.stlouisfed.org/series/APU000074714" TargetMode="External"/><Relationship Id="rId30" Type="http://schemas.openxmlformats.org/officeDocument/2006/relationships/hyperlink" Target="https://fred.stlouisfed.org/series/DCOILWTICO" TargetMode="External"/><Relationship Id="rId35" Type="http://schemas.openxmlformats.org/officeDocument/2006/relationships/hyperlink" Target="https://fred.stlouisfed.org/series/CUUR0000SETA01" TargetMode="External"/><Relationship Id="rId8" Type="http://schemas.openxmlformats.org/officeDocument/2006/relationships/hyperlink" Target="https://fred.stlouisfed.org/series/A822RY2Q224SBEA" TargetMode="External"/><Relationship Id="rId3" Type="http://schemas.openxmlformats.org/officeDocument/2006/relationships/hyperlink" Target="https://fred.stlouisfed.org/series/USPHCI" TargetMode="External"/><Relationship Id="rId12" Type="http://schemas.openxmlformats.org/officeDocument/2006/relationships/hyperlink" Target="https://fred.stlouisfed.org/series/FEDFUNDS" TargetMode="External"/><Relationship Id="rId17" Type="http://schemas.openxmlformats.org/officeDocument/2006/relationships/hyperlink" Target="https://fred.stlouisfed.org/series/DAAA" TargetMode="External"/><Relationship Id="rId25" Type="http://schemas.openxmlformats.org/officeDocument/2006/relationships/hyperlink" Target="https://fred.stlouisfed.org/series/CPIAUCSL" TargetMode="External"/><Relationship Id="rId33" Type="http://schemas.openxmlformats.org/officeDocument/2006/relationships/hyperlink" Target="https://fred.stlouisfed.org/series/SPCS20RSA" TargetMode="External"/><Relationship Id="rId38" Type="http://schemas.openxmlformats.org/officeDocument/2006/relationships/hyperlink" Target="https://fred.stlouisfed.org/series/VIXC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2</cp:revision>
  <cp:lastPrinted>2022-02-01T22:03:00Z</cp:lastPrinted>
  <dcterms:created xsi:type="dcterms:W3CDTF">2022-02-01T23:17:00Z</dcterms:created>
  <dcterms:modified xsi:type="dcterms:W3CDTF">2022-02-01T23:17:00Z</dcterms:modified>
</cp:coreProperties>
</file>