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625127297"/>
        <w:docPartObj>
          <w:docPartGallery w:val="Cover Pages"/>
          <w:docPartUnique/>
        </w:docPartObj>
      </w:sdtPr>
      <w:sdtEndPr/>
      <w:sdtContent>
        <w:p w14:paraId="2ABEC867" w14:textId="1B3017D2" w:rsidR="000F1648" w:rsidRDefault="008B2769" w:rsidP="002E6FDE">
          <w:pPr>
            <w:jc w:val="right"/>
          </w:pPr>
          <w:r>
            <w:rPr>
              <w:noProof/>
            </w:rPr>
            <w:drawing>
              <wp:inline distT="0" distB="0" distL="0" distR="0" wp14:anchorId="44435E8E" wp14:editId="4A515C24">
                <wp:extent cx="1743075" cy="275242"/>
                <wp:effectExtent l="0" t="0" r="0" b="0"/>
                <wp:docPr id="11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agniFi Large Logo BlackFla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997" cy="28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0E9DD8" w14:textId="6A3F039C" w:rsidR="006663D0" w:rsidRDefault="006663D0" w:rsidP="002E6FDE">
          <w:pPr>
            <w:jc w:val="right"/>
          </w:pPr>
        </w:p>
        <w:p w14:paraId="61E7189B" w14:textId="5A4E226B" w:rsidR="006663D0" w:rsidRDefault="00361E70" w:rsidP="00696388">
          <w:pPr>
            <w:jc w:val="right"/>
          </w:pPr>
          <w:r>
            <w:rPr>
              <w:noProof/>
            </w:rPr>
            <w:drawing>
              <wp:inline distT="0" distB="0" distL="0" distR="0" wp14:anchorId="525F52FA" wp14:editId="74E4F75B">
                <wp:extent cx="4324350" cy="4697139"/>
                <wp:effectExtent l="0" t="0" r="0" b="82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67" t="3363" r="2564" b="5829"/>
                        <a:stretch/>
                      </pic:blipFill>
                      <pic:spPr bwMode="auto">
                        <a:xfrm>
                          <a:off x="0" y="0"/>
                          <a:ext cx="4326477" cy="469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7AB7">
            <w:br/>
          </w:r>
        </w:p>
        <w:p w14:paraId="149D5EEE" w14:textId="3BE1B0C0" w:rsidR="00005111" w:rsidRDefault="006663D0" w:rsidP="002E6FDE">
          <w:pPr>
            <w:jc w:val="right"/>
            <w:rPr>
              <w:color w:val="008FD5"/>
              <w:sz w:val="64"/>
              <w:szCs w:val="64"/>
            </w:rPr>
          </w:pPr>
          <w:r w:rsidRPr="006663D0">
            <w:rPr>
              <w:color w:val="008FD5"/>
              <w:sz w:val="64"/>
              <w:szCs w:val="64"/>
            </w:rPr>
            <w:t>QUARTERLY ECONOMIC UPDATE</w:t>
          </w:r>
        </w:p>
        <w:p w14:paraId="7ADB2944" w14:textId="6846328E" w:rsidR="006663D0" w:rsidRDefault="006663D0" w:rsidP="002E6FDE">
          <w:pPr>
            <w:jc w:val="right"/>
            <w:rPr>
              <w:sz w:val="36"/>
              <w:szCs w:val="36"/>
            </w:rPr>
          </w:pPr>
          <w:r w:rsidRPr="006663D0">
            <w:rPr>
              <w:sz w:val="36"/>
              <w:szCs w:val="36"/>
            </w:rPr>
            <w:t xml:space="preserve">For the </w:t>
          </w:r>
          <w:r w:rsidR="00121A39">
            <w:rPr>
              <w:sz w:val="36"/>
              <w:szCs w:val="36"/>
            </w:rPr>
            <w:t>1</w:t>
          </w:r>
          <w:r w:rsidR="00121A39" w:rsidRPr="00121A39">
            <w:rPr>
              <w:sz w:val="36"/>
              <w:szCs w:val="36"/>
              <w:vertAlign w:val="superscript"/>
            </w:rPr>
            <w:t>st</w:t>
          </w:r>
          <w:r w:rsidR="00121A39">
            <w:rPr>
              <w:sz w:val="36"/>
              <w:szCs w:val="36"/>
            </w:rPr>
            <w:t xml:space="preserve"> </w:t>
          </w:r>
          <w:r w:rsidR="00795ECE">
            <w:rPr>
              <w:sz w:val="36"/>
              <w:szCs w:val="36"/>
            </w:rPr>
            <w:t>Quarter of 202</w:t>
          </w:r>
          <w:r w:rsidR="00121A39">
            <w:rPr>
              <w:sz w:val="36"/>
              <w:szCs w:val="36"/>
            </w:rPr>
            <w:t>2</w:t>
          </w:r>
        </w:p>
        <w:p w14:paraId="45CA5FB6" w14:textId="7FC6A9D9" w:rsidR="006663D0" w:rsidRDefault="006663D0" w:rsidP="002E6FDE">
          <w:pPr>
            <w:jc w:val="right"/>
            <w:rPr>
              <w:sz w:val="36"/>
              <w:szCs w:val="36"/>
            </w:rPr>
          </w:pPr>
        </w:p>
        <w:p w14:paraId="036ED6C8" w14:textId="5EC9A59D" w:rsidR="006663D0" w:rsidRDefault="006663D0" w:rsidP="002E6FDE">
          <w:pPr>
            <w:jc w:val="right"/>
            <w:rPr>
              <w:color w:val="008FD5"/>
              <w:sz w:val="28"/>
              <w:szCs w:val="28"/>
            </w:rPr>
          </w:pPr>
          <w:r w:rsidRPr="006663D0">
            <w:rPr>
              <w:color w:val="008FD5"/>
              <w:sz w:val="28"/>
              <w:szCs w:val="28"/>
            </w:rPr>
            <w:t>Abstract</w:t>
          </w:r>
        </w:p>
        <w:p w14:paraId="78E365CD" w14:textId="1DCB5F6C" w:rsidR="006663D0" w:rsidRPr="006663D0" w:rsidRDefault="006663D0" w:rsidP="006663D0">
          <w:pPr>
            <w:jc w:val="right"/>
            <w:rPr>
              <w:sz w:val="20"/>
              <w:szCs w:val="20"/>
            </w:rPr>
          </w:pPr>
          <w:r w:rsidRPr="006663D0">
            <w:rPr>
              <w:sz w:val="20"/>
              <w:szCs w:val="20"/>
            </w:rPr>
            <w:t xml:space="preserve">Designed for business valuation professionals, TagniFi’s Quarterly Economic </w:t>
          </w:r>
          <w:r>
            <w:rPr>
              <w:sz w:val="20"/>
              <w:szCs w:val="20"/>
            </w:rPr>
            <w:br/>
          </w:r>
          <w:r w:rsidRPr="006663D0">
            <w:rPr>
              <w:sz w:val="20"/>
              <w:szCs w:val="20"/>
            </w:rPr>
            <w:t>Update provides timely economic data to satisfy Revenue Ruling 56-60.</w:t>
          </w:r>
        </w:p>
        <w:p w14:paraId="149D5EEF" w14:textId="0F932CBB" w:rsidR="00005111" w:rsidRDefault="00005111" w:rsidP="000F1648">
          <w:pPr>
            <w:ind w:hanging="900"/>
          </w:pPr>
          <w:r>
            <w:br w:type="page"/>
          </w:r>
        </w:p>
      </w:sdtContent>
    </w:sdt>
    <w:p w14:paraId="149D5EF0" w14:textId="77777777" w:rsidR="00217AD5" w:rsidRDefault="00005111" w:rsidP="00005111">
      <w:pPr>
        <w:pStyle w:val="Heading1"/>
      </w:pPr>
      <w:r>
        <w:lastRenderedPageBreak/>
        <w:t>Summary</w:t>
      </w:r>
    </w:p>
    <w:p w14:paraId="207CC62E" w14:textId="34964675" w:rsidR="002D17D6" w:rsidRDefault="002D17D6" w:rsidP="002D17D6">
      <w:r>
        <w:t>In the</w:t>
      </w:r>
      <w:r w:rsidRPr="00116D55">
        <w:t xml:space="preserve"> </w:t>
      </w:r>
      <w:r w:rsidR="00E70CF0">
        <w:t>1</w:t>
      </w:r>
      <w:r w:rsidR="00E70CF0" w:rsidRPr="00E70CF0">
        <w:rPr>
          <w:vertAlign w:val="superscript"/>
        </w:rPr>
        <w:t>st</w:t>
      </w:r>
      <w:r w:rsidR="00E70CF0">
        <w:t xml:space="preserve"> </w:t>
      </w:r>
      <w:r w:rsidRPr="00116D55">
        <w:t>quarter of 202</w:t>
      </w:r>
      <w:r w:rsidR="00E70CF0">
        <w:t>2</w:t>
      </w:r>
      <w:r>
        <w:t xml:space="preserve">, </w:t>
      </w:r>
      <w:r w:rsidR="00E70CF0">
        <w:t xml:space="preserve">searing inflation, sky-high COVID-19 case counts from the extremely contagious Omicron variant, and </w:t>
      </w:r>
      <w:r w:rsidR="00D976F9">
        <w:t>a Russian war in Ukraine</w:t>
      </w:r>
      <w:r w:rsidR="00E70CF0">
        <w:t xml:space="preserve"> </w:t>
      </w:r>
      <w:r w:rsidR="00D976F9">
        <w:t xml:space="preserve">all </w:t>
      </w:r>
      <w:r w:rsidR="00E70CF0">
        <w:t xml:space="preserve">took their toll on </w:t>
      </w:r>
      <w:r w:rsidR="007740D3" w:rsidRPr="007740D3">
        <w:t>the U.S. economy</w:t>
      </w:r>
      <w:r w:rsidR="00AE3D01">
        <w:t xml:space="preserve">. A gaping trade deficit and government spending pullbacks sent </w:t>
      </w:r>
      <w:r w:rsidR="00882483">
        <w:t>the value of national output</w:t>
      </w:r>
      <w:r w:rsidR="00AE3D01">
        <w:t xml:space="preserve"> </w:t>
      </w:r>
      <w:r w:rsidR="00D976F9">
        <w:t>into retreat for the first time since the pandemic’s initial economic wallop</w:t>
      </w:r>
      <w:r w:rsidR="007740D3" w:rsidRPr="007740D3">
        <w:t>.</w:t>
      </w:r>
      <w:r w:rsidR="00AE3D01">
        <w:t xml:space="preserve"> </w:t>
      </w:r>
    </w:p>
    <w:p w14:paraId="3F669DD5" w14:textId="2121B4F7" w:rsidR="008D1615" w:rsidRDefault="00A96584" w:rsidP="002D17D6">
      <w:r>
        <w:t>Counteracting powerful</w:t>
      </w:r>
      <w:r w:rsidR="002D17D6" w:rsidRPr="00BE3701">
        <w:t xml:space="preserve"> inflationary pressures</w:t>
      </w:r>
      <w:r>
        <w:t xml:space="preserve"> without reversing the economic recovery </w:t>
      </w:r>
      <w:r w:rsidR="002D17D6" w:rsidRPr="00BE3701">
        <w:t xml:space="preserve">continues to be a main challenge for the U.S. </w:t>
      </w:r>
      <w:r w:rsidR="00FF0934">
        <w:t xml:space="preserve">and globally. </w:t>
      </w:r>
      <w:r w:rsidR="008D1615">
        <w:t>S</w:t>
      </w:r>
      <w:r w:rsidR="008D1615" w:rsidRPr="00134929">
        <w:t>upply chains</w:t>
      </w:r>
      <w:r w:rsidR="008D1615">
        <w:t xml:space="preserve"> across the globe </w:t>
      </w:r>
      <w:r w:rsidR="00EA2DEB">
        <w:t>remain encumbered</w:t>
      </w:r>
      <w:r w:rsidR="008D1615">
        <w:t xml:space="preserve">. </w:t>
      </w:r>
      <w:r w:rsidR="00937FF2">
        <w:t>T</w:t>
      </w:r>
      <w:r w:rsidR="008D1615">
        <w:t>he Russian invasion of Ukraine shocked energy markets</w:t>
      </w:r>
      <w:r w:rsidR="00321912">
        <w:t xml:space="preserve"> by provoking a U.S. embargo on Russian oil that sent gas</w:t>
      </w:r>
      <w:r w:rsidR="00C70EAC">
        <w:t>oline</w:t>
      </w:r>
      <w:r w:rsidR="00321912">
        <w:t xml:space="preserve"> prices over $4.00 for the first time since 2008. </w:t>
      </w:r>
      <w:r w:rsidR="00EA2DEB">
        <w:t xml:space="preserve">Consumer demand has thus far remained strong despite price pressures throughout the value </w:t>
      </w:r>
      <w:r w:rsidR="00C70EAC">
        <w:t>chain</w:t>
      </w:r>
      <w:r w:rsidR="00EA2DEB">
        <w:t xml:space="preserve"> being passed on to consumers; however,</w:t>
      </w:r>
      <w:r w:rsidR="008D1615">
        <w:t xml:space="preserve"> more than half of consumers now expect their financial situations to worsen over the coming year. The Federal Reserve warned that tightening monetary policy</w:t>
      </w:r>
      <w:r w:rsidR="00A66F9B">
        <w:t xml:space="preserve"> to curb inflation</w:t>
      </w:r>
      <w:r w:rsidR="00EA2DEB">
        <w:t xml:space="preserve">—namely, tapering its highly effective bond-buying program and </w:t>
      </w:r>
      <w:r w:rsidR="00A66F9B">
        <w:t>beginning a</w:t>
      </w:r>
      <w:r w:rsidR="00EA2DEB">
        <w:t xml:space="preserve"> series of interest rate hikes—</w:t>
      </w:r>
      <w:r w:rsidR="008D1615">
        <w:t>would also constrain economic growth.</w:t>
      </w:r>
    </w:p>
    <w:p w14:paraId="4191390A" w14:textId="06B360FB" w:rsidR="006D2D96" w:rsidRPr="008D1615" w:rsidRDefault="006D2D96" w:rsidP="002D17D6">
      <w:r>
        <w:t>The labor market continued to be a bright spot in the economy during the 1</w:t>
      </w:r>
      <w:r w:rsidRPr="006D2D96">
        <w:rPr>
          <w:vertAlign w:val="superscript"/>
        </w:rPr>
        <w:t>st</w:t>
      </w:r>
      <w:r>
        <w:t xml:space="preserve"> quarter of 2022, with the unemployment rate nearly reaching its pre-pandemic low while labor force participation </w:t>
      </w:r>
      <w:r w:rsidR="00860EAF">
        <w:t xml:space="preserve">climbed to within 1.0 percentage point of its pre-COVID level. </w:t>
      </w:r>
    </w:p>
    <w:p w14:paraId="2D59E529" w14:textId="2FD17EEB" w:rsidR="002D17D6" w:rsidRPr="00497298" w:rsidRDefault="006D2D96" w:rsidP="002D17D6">
      <w:r>
        <w:t xml:space="preserve">Amidst these challenges to economic recovery, </w:t>
      </w:r>
      <w:r w:rsidR="00860EAF">
        <w:t xml:space="preserve">the </w:t>
      </w:r>
      <w:r w:rsidR="00076744">
        <w:t>Omicron</w:t>
      </w:r>
      <w:r w:rsidR="00620252">
        <w:t xml:space="preserve"> variant</w:t>
      </w:r>
      <w:r w:rsidR="00860EAF">
        <w:t xml:space="preserve">-dominant fifth wave of COVID-19 soared to a crescendo with more than </w:t>
      </w:r>
      <w:r w:rsidR="00A66F9B">
        <w:t>three</w:t>
      </w:r>
      <w:r w:rsidR="00860EAF">
        <w:t xml:space="preserve"> times as many daily cases as the previous</w:t>
      </w:r>
      <w:r w:rsidR="00A537B6">
        <w:t xml:space="preserve"> peak one year earlier. Deaths per day remained more than 20 percent below the year-ago apex</w:t>
      </w:r>
      <w:r w:rsidR="00076744">
        <w:t xml:space="preserve">. </w:t>
      </w:r>
      <w:r w:rsidR="00922A9D">
        <w:t>By the end of the 1</w:t>
      </w:r>
      <w:r w:rsidR="00922A9D" w:rsidRPr="00922A9D">
        <w:rPr>
          <w:vertAlign w:val="superscript"/>
        </w:rPr>
        <w:t>st</w:t>
      </w:r>
      <w:r w:rsidR="00922A9D">
        <w:t xml:space="preserve"> quarter, the </w:t>
      </w:r>
      <w:r w:rsidR="007962F0">
        <w:t xml:space="preserve">wave had receded, with </w:t>
      </w:r>
      <w:r w:rsidR="00922A9D">
        <w:t xml:space="preserve">daily case rates </w:t>
      </w:r>
      <w:r w:rsidR="007962F0">
        <w:t>reaching a trough in late March and daily deaths on their way steeply down to follow</w:t>
      </w:r>
      <w:r w:rsidR="00F32D41">
        <w:t>.</w:t>
      </w:r>
    </w:p>
    <w:p w14:paraId="6963DC15" w14:textId="40E3C47F" w:rsidR="006F58B0" w:rsidRPr="00E26E3C" w:rsidRDefault="006F58B0" w:rsidP="00D93A8B">
      <w:r w:rsidRPr="00E26E3C">
        <w:t xml:space="preserve">Below is a summary timeline of key COVID-19 events in the U.S. during the </w:t>
      </w:r>
      <w:r w:rsidR="00E70CF0">
        <w:t>1</w:t>
      </w:r>
      <w:r w:rsidR="00E70CF0" w:rsidRPr="00E70CF0">
        <w:rPr>
          <w:vertAlign w:val="superscript"/>
        </w:rPr>
        <w:t>st</w:t>
      </w:r>
      <w:r w:rsidR="00E70CF0">
        <w:t xml:space="preserve"> </w:t>
      </w:r>
      <w:r w:rsidRPr="00E26E3C">
        <w:t>quarter of 202</w:t>
      </w:r>
      <w:r w:rsidR="00E70CF0">
        <w:t>2</w:t>
      </w:r>
      <w:r w:rsidRPr="00E26E3C">
        <w:t>:</w:t>
      </w:r>
    </w:p>
    <w:tbl>
      <w:tblPr>
        <w:tblStyle w:val="GridTable3-Accent1"/>
        <w:tblW w:w="0" w:type="auto"/>
        <w:tblLook w:val="0400" w:firstRow="0" w:lastRow="0" w:firstColumn="0" w:lastColumn="0" w:noHBand="0" w:noVBand="1"/>
      </w:tblPr>
      <w:tblGrid>
        <w:gridCol w:w="2245"/>
        <w:gridCol w:w="7105"/>
      </w:tblGrid>
      <w:tr w:rsidR="006F58B0" w:rsidRPr="00E26E3C" w14:paraId="03717F31" w14:textId="77777777" w:rsidTr="007E3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45" w:type="dxa"/>
          </w:tcPr>
          <w:p w14:paraId="2A4C4CDC" w14:textId="355CF22A" w:rsidR="006F58B0" w:rsidRPr="00E26E3C" w:rsidRDefault="00905C9B" w:rsidP="003A2900">
            <w:r>
              <w:t>January</w:t>
            </w:r>
            <w:r w:rsidR="007E321E">
              <w:t xml:space="preserve"> 1</w:t>
            </w:r>
            <w:r w:rsidR="006F58B0" w:rsidRPr="00E26E3C">
              <w:t>, 202</w:t>
            </w:r>
            <w:r>
              <w:t>2</w:t>
            </w:r>
          </w:p>
        </w:tc>
        <w:tc>
          <w:tcPr>
            <w:tcW w:w="7105" w:type="dxa"/>
          </w:tcPr>
          <w:p w14:paraId="4C2D5DBA" w14:textId="63926623" w:rsidR="006F58B0" w:rsidRPr="00C042DD" w:rsidRDefault="00BD4FA3" w:rsidP="003A2900">
            <w:r w:rsidRPr="00C042DD">
              <w:t>U.S.</w:t>
            </w:r>
            <w:r w:rsidR="006F58B0" w:rsidRPr="00C042DD">
              <w:t xml:space="preserve"> begins the quarter at </w:t>
            </w:r>
            <w:r w:rsidR="00C042DD" w:rsidRPr="00C042DD">
              <w:t>420</w:t>
            </w:r>
            <w:r w:rsidR="005F344C" w:rsidRPr="00C042DD">
              <w:t>,</w:t>
            </w:r>
            <w:r w:rsidR="00C042DD" w:rsidRPr="00C042DD">
              <w:t>755</w:t>
            </w:r>
            <w:r w:rsidR="006F58B0" w:rsidRPr="00C042DD">
              <w:t xml:space="preserve"> daily cases, </w:t>
            </w:r>
            <w:r w:rsidR="005F344C" w:rsidRPr="00C042DD">
              <w:t>1,</w:t>
            </w:r>
            <w:r w:rsidR="00C042DD" w:rsidRPr="00C042DD">
              <w:t>245</w:t>
            </w:r>
            <w:r w:rsidR="006F58B0" w:rsidRPr="00C042DD">
              <w:t xml:space="preserve"> daily deaths</w:t>
            </w:r>
            <w:r w:rsidR="00E26E3C" w:rsidRPr="00C042DD">
              <w:t xml:space="preserve"> (7-day moving average)</w:t>
            </w:r>
            <w:r w:rsidR="006F58B0" w:rsidRPr="00C042DD">
              <w:t xml:space="preserve">. </w:t>
            </w:r>
            <w:r w:rsidR="005F344C" w:rsidRPr="00C042DD">
              <w:t>6</w:t>
            </w:r>
            <w:r w:rsidR="00C042DD" w:rsidRPr="00C042DD">
              <w:t>2</w:t>
            </w:r>
            <w:r w:rsidR="006F58B0" w:rsidRPr="00C042DD">
              <w:t>% of Americans are fully vaccinated</w:t>
            </w:r>
            <w:r w:rsidR="003531E6">
              <w:t>;</w:t>
            </w:r>
            <w:r w:rsidR="00C042DD" w:rsidRPr="00C042DD">
              <w:t xml:space="preserve"> 22% have received an additional booster</w:t>
            </w:r>
            <w:r w:rsidR="006F58B0" w:rsidRPr="00C042DD">
              <w:t>.</w:t>
            </w:r>
          </w:p>
        </w:tc>
      </w:tr>
      <w:tr w:rsidR="00467365" w:rsidRPr="00E26E3C" w14:paraId="6922B589" w14:textId="77777777" w:rsidTr="007E321E">
        <w:tc>
          <w:tcPr>
            <w:tcW w:w="2245" w:type="dxa"/>
          </w:tcPr>
          <w:p w14:paraId="5BF92D7D" w14:textId="3DE666D9" w:rsidR="00467365" w:rsidRDefault="00905C9B" w:rsidP="003A2900">
            <w:r>
              <w:t>January 10</w:t>
            </w:r>
            <w:r w:rsidR="00467365">
              <w:t>, 202</w:t>
            </w:r>
            <w:r>
              <w:t>2</w:t>
            </w:r>
          </w:p>
        </w:tc>
        <w:tc>
          <w:tcPr>
            <w:tcW w:w="7105" w:type="dxa"/>
          </w:tcPr>
          <w:p w14:paraId="0153063B" w14:textId="0734B39F" w:rsidR="00467365" w:rsidRDefault="00905C9B" w:rsidP="003A2900">
            <w:r>
              <w:t>U.S. exceeds</w:t>
            </w:r>
            <w:r w:rsidRPr="00905C9B">
              <w:t xml:space="preserve"> 1 </w:t>
            </w:r>
            <w:r>
              <w:t>m</w:t>
            </w:r>
            <w:r w:rsidRPr="00905C9B">
              <w:t xml:space="preserve">illion </w:t>
            </w:r>
            <w:r>
              <w:t xml:space="preserve">daily </w:t>
            </w:r>
            <w:r w:rsidRPr="00905C9B">
              <w:t xml:space="preserve">COVID-19 </w:t>
            </w:r>
            <w:r>
              <w:t>c</w:t>
            </w:r>
            <w:r w:rsidRPr="00905C9B">
              <w:t>ases</w:t>
            </w:r>
            <w:r w:rsidR="005D022C">
              <w:t>.</w:t>
            </w:r>
          </w:p>
        </w:tc>
      </w:tr>
      <w:tr w:rsidR="006F58B0" w:rsidRPr="00E26E3C" w14:paraId="5120A14F" w14:textId="77777777" w:rsidTr="007E3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45" w:type="dxa"/>
          </w:tcPr>
          <w:p w14:paraId="28CA6D35" w14:textId="56A1A96F" w:rsidR="006F58B0" w:rsidRPr="00E26E3C" w:rsidRDefault="00C16A86" w:rsidP="003A2900">
            <w:r>
              <w:t>January 15</w:t>
            </w:r>
            <w:r w:rsidR="00905C9B">
              <w:t>, 2022</w:t>
            </w:r>
          </w:p>
        </w:tc>
        <w:tc>
          <w:tcPr>
            <w:tcW w:w="7105" w:type="dxa"/>
          </w:tcPr>
          <w:p w14:paraId="78CC4FDC" w14:textId="3453A02D" w:rsidR="006F58B0" w:rsidRPr="00E26E3C" w:rsidRDefault="00C16A86" w:rsidP="003A2900">
            <w:r>
              <w:t>Fifth wave of COVID-19 in US peaks at 808,229 daily cases (7-day moving average)</w:t>
            </w:r>
            <w:r w:rsidR="005D022C">
              <w:t>.</w:t>
            </w:r>
          </w:p>
        </w:tc>
      </w:tr>
      <w:tr w:rsidR="0055673A" w:rsidRPr="00E26E3C" w14:paraId="636EAF57" w14:textId="77777777" w:rsidTr="007E321E">
        <w:tc>
          <w:tcPr>
            <w:tcW w:w="2245" w:type="dxa"/>
          </w:tcPr>
          <w:p w14:paraId="2397DC96" w14:textId="24C0A7FA" w:rsidR="0055673A" w:rsidRDefault="0055673A" w:rsidP="00C16A86">
            <w:r>
              <w:t>January 31, 2022</w:t>
            </w:r>
          </w:p>
        </w:tc>
        <w:tc>
          <w:tcPr>
            <w:tcW w:w="7105" w:type="dxa"/>
          </w:tcPr>
          <w:p w14:paraId="13F61ACC" w14:textId="15673B1E" w:rsidR="0055673A" w:rsidRDefault="0055673A" w:rsidP="00C16A86">
            <w:r>
              <w:t>U.S. reaches</w:t>
            </w:r>
            <w:r w:rsidRPr="00905C9B">
              <w:t xml:space="preserve"> </w:t>
            </w:r>
            <w:r>
              <w:t>75</w:t>
            </w:r>
            <w:r w:rsidRPr="00905C9B">
              <w:t xml:space="preserve"> </w:t>
            </w:r>
            <w:r>
              <w:t>m</w:t>
            </w:r>
            <w:r w:rsidRPr="00905C9B">
              <w:t xml:space="preserve">illion </w:t>
            </w:r>
            <w:r>
              <w:t xml:space="preserve">total </w:t>
            </w:r>
            <w:r w:rsidRPr="00905C9B">
              <w:t xml:space="preserve">COVID-19 </w:t>
            </w:r>
            <w:r>
              <w:t>c</w:t>
            </w:r>
            <w:r w:rsidRPr="00905C9B">
              <w:t>ases</w:t>
            </w:r>
            <w:r w:rsidR="005D022C">
              <w:t>.</w:t>
            </w:r>
          </w:p>
        </w:tc>
      </w:tr>
      <w:tr w:rsidR="00C16A86" w:rsidRPr="00E26E3C" w14:paraId="16ED6E30" w14:textId="77777777" w:rsidTr="007E3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45" w:type="dxa"/>
          </w:tcPr>
          <w:p w14:paraId="62E02DE0" w14:textId="0EC05382" w:rsidR="00C16A86" w:rsidRDefault="00C16A86" w:rsidP="00C16A86">
            <w:r>
              <w:t>February 2, 2022</w:t>
            </w:r>
          </w:p>
        </w:tc>
        <w:tc>
          <w:tcPr>
            <w:tcW w:w="7105" w:type="dxa"/>
          </w:tcPr>
          <w:p w14:paraId="4D4CD0A7" w14:textId="153B0CD0" w:rsidR="00C16A86" w:rsidRDefault="00C16A86" w:rsidP="00C16A86">
            <w:r>
              <w:t xml:space="preserve">Deaths from </w:t>
            </w:r>
            <w:r w:rsidR="0055673A">
              <w:t>fifth</w:t>
            </w:r>
            <w:r>
              <w:t xml:space="preserve"> wave of COVID-19 in U</w:t>
            </w:r>
            <w:r w:rsidR="0055673A">
              <w:t>.</w:t>
            </w:r>
            <w:r>
              <w:t>S</w:t>
            </w:r>
            <w:r w:rsidR="0055673A">
              <w:t>.</w:t>
            </w:r>
            <w:r>
              <w:t xml:space="preserve"> peak at 2,682 daily (7-day moving average)</w:t>
            </w:r>
            <w:r w:rsidR="005D022C">
              <w:t>.</w:t>
            </w:r>
          </w:p>
        </w:tc>
      </w:tr>
      <w:tr w:rsidR="00C16A86" w:rsidRPr="00E26E3C" w14:paraId="18734DF9" w14:textId="77777777" w:rsidTr="007E321E">
        <w:tc>
          <w:tcPr>
            <w:tcW w:w="2245" w:type="dxa"/>
          </w:tcPr>
          <w:p w14:paraId="5624A209" w14:textId="28FBCD18" w:rsidR="00C16A86" w:rsidRDefault="00C16A86" w:rsidP="00C16A86">
            <w:r>
              <w:t>February 8, 2022</w:t>
            </w:r>
          </w:p>
        </w:tc>
        <w:tc>
          <w:tcPr>
            <w:tcW w:w="7105" w:type="dxa"/>
          </w:tcPr>
          <w:p w14:paraId="566915B9" w14:textId="20346608" w:rsidR="00C16A86" w:rsidRDefault="00C16A86" w:rsidP="00C16A86">
            <w:r>
              <w:t xml:space="preserve">U.S. reaches </w:t>
            </w:r>
            <w:r w:rsidRPr="00905C9B">
              <w:t xml:space="preserve">900,000 </w:t>
            </w:r>
            <w:r>
              <w:t xml:space="preserve">total deaths from </w:t>
            </w:r>
            <w:r w:rsidRPr="00905C9B">
              <w:t>COVID-19</w:t>
            </w:r>
            <w:r w:rsidR="005D022C">
              <w:t>.</w:t>
            </w:r>
          </w:p>
        </w:tc>
      </w:tr>
      <w:tr w:rsidR="00C16A86" w:rsidRPr="00E26E3C" w14:paraId="615163C9" w14:textId="77777777" w:rsidTr="007E3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45" w:type="dxa"/>
          </w:tcPr>
          <w:p w14:paraId="56F344DC" w14:textId="37985017" w:rsidR="00C16A86" w:rsidRPr="00E26E3C" w:rsidRDefault="00C16A86" w:rsidP="00C16A86">
            <w:r>
              <w:t>February 11, 2022</w:t>
            </w:r>
          </w:p>
        </w:tc>
        <w:tc>
          <w:tcPr>
            <w:tcW w:w="7105" w:type="dxa"/>
          </w:tcPr>
          <w:p w14:paraId="4DA580F7" w14:textId="19530004" w:rsidR="00C16A86" w:rsidRPr="00E26E3C" w:rsidRDefault="000345F7" w:rsidP="00C16A86">
            <w:r w:rsidRPr="000345F7">
              <w:t xml:space="preserve">Pfizer and BioNTech </w:t>
            </w:r>
            <w:r>
              <w:t xml:space="preserve">delay </w:t>
            </w:r>
            <w:r w:rsidRPr="000345F7">
              <w:t xml:space="preserve">emergency use authorization </w:t>
            </w:r>
            <w:r>
              <w:t xml:space="preserve">application </w:t>
            </w:r>
            <w:r w:rsidRPr="000345F7">
              <w:t>for vaccine for children 6 months to 4 years old</w:t>
            </w:r>
            <w:r w:rsidR="005D022C">
              <w:t>.</w:t>
            </w:r>
          </w:p>
        </w:tc>
      </w:tr>
      <w:tr w:rsidR="00C16A86" w:rsidRPr="00E26E3C" w14:paraId="006E5E8D" w14:textId="77777777" w:rsidTr="007E321E">
        <w:tc>
          <w:tcPr>
            <w:tcW w:w="2245" w:type="dxa"/>
          </w:tcPr>
          <w:p w14:paraId="58928D20" w14:textId="1898CD9B" w:rsidR="00C16A86" w:rsidRDefault="00C16A86" w:rsidP="00C16A86">
            <w:r>
              <w:t>February 17, 2022</w:t>
            </w:r>
          </w:p>
        </w:tc>
        <w:tc>
          <w:tcPr>
            <w:tcW w:w="7105" w:type="dxa"/>
          </w:tcPr>
          <w:p w14:paraId="093CE6C9" w14:textId="35806297" w:rsidR="00C16A86" w:rsidRDefault="00C16A86" w:rsidP="00C16A86">
            <w:r>
              <w:t>65% of Americans are fully vaccinated</w:t>
            </w:r>
            <w:r w:rsidR="005D022C">
              <w:t>.</w:t>
            </w:r>
          </w:p>
        </w:tc>
      </w:tr>
      <w:tr w:rsidR="003A4B97" w:rsidRPr="00E26E3C" w14:paraId="189BB975" w14:textId="77777777" w:rsidTr="007E3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45" w:type="dxa"/>
          </w:tcPr>
          <w:p w14:paraId="745FB2DB" w14:textId="6E4FBCD5" w:rsidR="003A4B97" w:rsidRDefault="00AF60A5" w:rsidP="003A2900">
            <w:r>
              <w:t>March 26</w:t>
            </w:r>
            <w:r w:rsidR="003A4B97">
              <w:t>, 2021</w:t>
            </w:r>
          </w:p>
        </w:tc>
        <w:tc>
          <w:tcPr>
            <w:tcW w:w="7105" w:type="dxa"/>
          </w:tcPr>
          <w:p w14:paraId="165D6942" w14:textId="6AD982EB" w:rsidR="003A4B97" w:rsidRPr="007E321E" w:rsidRDefault="003A4B97" w:rsidP="003A2900">
            <w:r>
              <w:t>Omicron</w:t>
            </w:r>
            <w:r w:rsidR="00AF60A5">
              <w:t xml:space="preserve"> BA.2</w:t>
            </w:r>
            <w:r>
              <w:t xml:space="preserve"> variant becomes dominant strain in </w:t>
            </w:r>
            <w:r w:rsidR="00BD4FA3">
              <w:t>U.S.</w:t>
            </w:r>
            <w:r>
              <w:t xml:space="preserve"> according to CDC 1-week estimates</w:t>
            </w:r>
            <w:r w:rsidR="005D022C">
              <w:t>.</w:t>
            </w:r>
          </w:p>
        </w:tc>
      </w:tr>
      <w:tr w:rsidR="009E2682" w:rsidRPr="00E26E3C" w14:paraId="7BEECDDB" w14:textId="77777777" w:rsidTr="007E321E">
        <w:tc>
          <w:tcPr>
            <w:tcW w:w="2245" w:type="dxa"/>
          </w:tcPr>
          <w:p w14:paraId="5813D88D" w14:textId="61ADA2C8" w:rsidR="006F58B0" w:rsidRPr="00E26E3C" w:rsidRDefault="0055673A" w:rsidP="003A2900">
            <w:r>
              <w:lastRenderedPageBreak/>
              <w:t>March</w:t>
            </w:r>
            <w:r w:rsidR="00467365">
              <w:t xml:space="preserve"> 3</w:t>
            </w:r>
            <w:r w:rsidR="0058330E">
              <w:t>1</w:t>
            </w:r>
            <w:r w:rsidR="00467365">
              <w:t>, 2021</w:t>
            </w:r>
          </w:p>
        </w:tc>
        <w:tc>
          <w:tcPr>
            <w:tcW w:w="7105" w:type="dxa"/>
          </w:tcPr>
          <w:p w14:paraId="0C678F3D" w14:textId="2FBC40F2" w:rsidR="006F58B0" w:rsidRPr="00E26E3C" w:rsidRDefault="00BD4FA3" w:rsidP="003A2900">
            <w:r>
              <w:t>U.S.</w:t>
            </w:r>
            <w:r w:rsidR="00467365">
              <w:t xml:space="preserve"> ends the quarter at </w:t>
            </w:r>
            <w:r w:rsidR="0055673A">
              <w:t>25</w:t>
            </w:r>
            <w:r w:rsidR="0058330E">
              <w:t>,</w:t>
            </w:r>
            <w:r w:rsidR="0055673A">
              <w:t>571</w:t>
            </w:r>
            <w:r w:rsidR="00467365">
              <w:t xml:space="preserve"> daily cases, </w:t>
            </w:r>
            <w:r w:rsidR="0055673A">
              <w:t>612</w:t>
            </w:r>
            <w:r w:rsidR="00467365">
              <w:t xml:space="preserve"> daily deaths (7-day moving average)</w:t>
            </w:r>
            <w:r w:rsidR="005D022C">
              <w:t>.</w:t>
            </w:r>
            <w:r w:rsidR="007E4E9D">
              <w:t xml:space="preserve"> </w:t>
            </w:r>
            <w:r w:rsidR="0058330E">
              <w:t>6</w:t>
            </w:r>
            <w:r w:rsidR="005D022C">
              <w:t>6</w:t>
            </w:r>
            <w:r w:rsidR="007E4E9D">
              <w:t>% of Americans are fully vaccinated</w:t>
            </w:r>
            <w:r w:rsidR="003531E6">
              <w:t xml:space="preserve">; </w:t>
            </w:r>
            <w:r w:rsidR="005D022C" w:rsidRPr="00C042DD">
              <w:t>2</w:t>
            </w:r>
            <w:r w:rsidR="005D022C">
              <w:t>9</w:t>
            </w:r>
            <w:r w:rsidR="005D022C" w:rsidRPr="00C042DD">
              <w:t>% have received an additional booster</w:t>
            </w:r>
            <w:r w:rsidR="007E4E9D">
              <w:t>.</w:t>
            </w:r>
          </w:p>
        </w:tc>
      </w:tr>
    </w:tbl>
    <w:p w14:paraId="0C65A06D" w14:textId="77777777" w:rsidR="00E50A6B" w:rsidRDefault="00E50A6B" w:rsidP="008F1FD4"/>
    <w:p w14:paraId="3455B81D" w14:textId="5658168A" w:rsidR="008F1FD4" w:rsidRDefault="008F1FD4" w:rsidP="008F1FD4">
      <w:r>
        <w:t>Despite the significantly mutated Omicron variant causing frequent “breakthrough infections” among vaccinated people, vaccines continued to prove highly effective at preventing serious illness and death. Although</w:t>
      </w:r>
      <w:r w:rsidRPr="00BD4FA3">
        <w:t xml:space="preserve"> </w:t>
      </w:r>
      <w:r>
        <w:t>many in</w:t>
      </w:r>
      <w:r w:rsidRPr="00BD4FA3">
        <w:t xml:space="preserve"> the </w:t>
      </w:r>
      <w:r>
        <w:t>U.S.</w:t>
      </w:r>
      <w:r w:rsidRPr="00BD4FA3">
        <w:t xml:space="preserve"> </w:t>
      </w:r>
      <w:r>
        <w:t xml:space="preserve">are still unwilling to </w:t>
      </w:r>
      <w:r w:rsidRPr="00BD4FA3">
        <w:t>receive the shot</w:t>
      </w:r>
      <w:r>
        <w:t xml:space="preserve"> and children under age 5 continue to await an approved vaccine</w:t>
      </w:r>
      <w:r w:rsidRPr="00BD4FA3">
        <w:t xml:space="preserve">, </w:t>
      </w:r>
      <w:r>
        <w:t>global vaccination efforts are pushing closer to the WHO’s 70% goal</w:t>
      </w:r>
      <w:r w:rsidRPr="00BD4FA3">
        <w:t xml:space="preserve">. Through </w:t>
      </w:r>
      <w:r w:rsidR="003531E6">
        <w:t xml:space="preserve">worldwide </w:t>
      </w:r>
      <w:r w:rsidRPr="00BD4FA3">
        <w:t xml:space="preserve">vaccination and the </w:t>
      </w:r>
      <w:r>
        <w:t>huge numbers of people recently infected with</w:t>
      </w:r>
      <w:r w:rsidRPr="00BD4FA3">
        <w:t xml:space="preserve"> the Omicron variant</w:t>
      </w:r>
      <w:r>
        <w:t>—including nearly 60 percent of the U.S. population—</w:t>
      </w:r>
      <w:r w:rsidRPr="00BD4FA3">
        <w:t xml:space="preserve">the pandemic </w:t>
      </w:r>
      <w:r>
        <w:t>is moving into a more controlled phase. Still, experts agree that the ever-mutating COVID-19 virus is not yet l</w:t>
      </w:r>
      <w:r w:rsidRPr="00BD4FA3">
        <w:t xml:space="preserve">imited </w:t>
      </w:r>
      <w:r>
        <w:t xml:space="preserve">enough in </w:t>
      </w:r>
      <w:r w:rsidRPr="00BD4FA3">
        <w:t xml:space="preserve">deadliness and reach </w:t>
      </w:r>
      <w:r>
        <w:t>to be considered endemic, leaving governments still striving to balance virus control with opportunity for economic growth</w:t>
      </w:r>
      <w:r w:rsidRPr="00BD4FA3">
        <w:t>.</w:t>
      </w:r>
    </w:p>
    <w:p w14:paraId="380DE2B2" w14:textId="4A84973C" w:rsidR="00F03302" w:rsidRPr="00BD7409" w:rsidRDefault="00B36811" w:rsidP="001E26E8">
      <w:pPr>
        <w:spacing w:before="160"/>
        <w:rPr>
          <w:strike/>
        </w:rPr>
      </w:pPr>
      <w:r>
        <w:t>A multifactor indicator of economic strength, the</w:t>
      </w:r>
      <w:r w:rsidR="00A615E8" w:rsidRPr="00BD7409">
        <w:t xml:space="preserve"> Philadelphia Fed’s coincident index</w:t>
      </w:r>
      <w:r w:rsidR="00EC7CB1" w:rsidRPr="00BD7409">
        <w:rPr>
          <w:rStyle w:val="FootnoteReference"/>
        </w:rPr>
        <w:footnoteReference w:id="1"/>
      </w:r>
      <w:r w:rsidR="00A615E8" w:rsidRPr="00BD7409">
        <w:t xml:space="preserve"> of economic activity in the U.S. </w:t>
      </w:r>
      <w:r w:rsidR="003A390C" w:rsidRPr="00BD7409">
        <w:t xml:space="preserve">rose </w:t>
      </w:r>
      <w:r w:rsidR="00795ECE" w:rsidRPr="00BD7409">
        <w:t>0.</w:t>
      </w:r>
      <w:r w:rsidR="00121A39">
        <w:t>5</w:t>
      </w:r>
      <w:r w:rsidR="003A390C" w:rsidRPr="00BD7409">
        <w:t xml:space="preserve">% in </w:t>
      </w:r>
      <w:r w:rsidR="00121A39">
        <w:t>March</w:t>
      </w:r>
      <w:r w:rsidR="00795ECE" w:rsidRPr="00BD7409">
        <w:t xml:space="preserve"> 202</w:t>
      </w:r>
      <w:r w:rsidR="00121A39">
        <w:t>2</w:t>
      </w:r>
      <w:r w:rsidR="00795ECE" w:rsidRPr="00BD7409">
        <w:t xml:space="preserve"> </w:t>
      </w:r>
      <w:r w:rsidR="00C10F0A" w:rsidRPr="00BD7409">
        <w:t xml:space="preserve">and </w:t>
      </w:r>
      <w:r w:rsidR="005D3F1A">
        <w:t>1.4</w:t>
      </w:r>
      <w:r w:rsidR="00C10F0A" w:rsidRPr="00BD7409">
        <w:t xml:space="preserve">% </w:t>
      </w:r>
      <w:r w:rsidR="00EC7CB1" w:rsidRPr="00BD7409">
        <w:t>during</w:t>
      </w:r>
      <w:r w:rsidR="00A615E8" w:rsidRPr="00BD7409">
        <w:t xml:space="preserve"> the </w:t>
      </w:r>
      <w:r w:rsidR="005D3F1A">
        <w:t>1</w:t>
      </w:r>
      <w:r w:rsidR="005D3F1A" w:rsidRPr="005D3F1A">
        <w:rPr>
          <w:vertAlign w:val="superscript"/>
        </w:rPr>
        <w:t>st</w:t>
      </w:r>
      <w:r w:rsidR="005D3F1A">
        <w:t xml:space="preserve"> </w:t>
      </w:r>
      <w:r w:rsidR="00A615E8" w:rsidRPr="00BD7409">
        <w:t>quarter</w:t>
      </w:r>
      <w:r w:rsidR="00AF420E" w:rsidRPr="00BD7409">
        <w:t xml:space="preserve">. </w:t>
      </w:r>
      <w:r w:rsidR="00EC7CB1" w:rsidRPr="00BD7409">
        <w:t>For the quarter</w:t>
      </w:r>
      <w:r w:rsidR="00A615E8" w:rsidRPr="00BD7409">
        <w:t xml:space="preserve">, coincident indexes </w:t>
      </w:r>
      <w:r w:rsidR="00C10F0A" w:rsidRPr="00BD7409">
        <w:t>increased</w:t>
      </w:r>
      <w:r w:rsidR="003A390C" w:rsidRPr="00BD7409">
        <w:t xml:space="preserve"> in </w:t>
      </w:r>
      <w:r w:rsidR="00C70EAC">
        <w:t>46</w:t>
      </w:r>
      <w:r w:rsidR="00BD7409">
        <w:t xml:space="preserve"> </w:t>
      </w:r>
      <w:r w:rsidR="003A390C" w:rsidRPr="00BD7409">
        <w:t>state</w:t>
      </w:r>
      <w:r w:rsidR="005B7A7E">
        <w:t>s</w:t>
      </w:r>
      <w:r w:rsidR="00C70EAC">
        <w:t xml:space="preserve">, remained unchanged in 2 states, a </w:t>
      </w:r>
      <w:r w:rsidR="00F22E71">
        <w:t>declined in 2 states</w:t>
      </w:r>
      <w:r w:rsidR="00A615E8" w:rsidRPr="00BD7409">
        <w:t xml:space="preserve">. Coincident indexes reflect </w:t>
      </w:r>
      <w:r w:rsidR="00714B74" w:rsidRPr="00BD7409">
        <w:t>unemployment, payroll employment, manufacturing hours, and wages and salaries</w:t>
      </w:r>
      <w:r w:rsidR="00A14CD4" w:rsidRPr="00BD7409">
        <w:t>.</w:t>
      </w:r>
      <w:r w:rsidR="00714B74" w:rsidRPr="00BD7409">
        <w:t xml:space="preserve"> </w:t>
      </w:r>
    </w:p>
    <w:p w14:paraId="7739DC43" w14:textId="3022295C" w:rsidR="00A96A6A" w:rsidRDefault="0027585A" w:rsidP="006D4E8F">
      <w:pPr>
        <w:jc w:val="center"/>
      </w:pPr>
      <w:r w:rsidRPr="00F04A88">
        <w:rPr>
          <w:noProof/>
          <w:highlight w:val="yellow"/>
        </w:rPr>
        <w:t xml:space="preserve"> </w:t>
      </w:r>
      <w:r w:rsidR="00605F4E" w:rsidRPr="00605F4E">
        <w:rPr>
          <w:noProof/>
        </w:rPr>
        <w:drawing>
          <wp:inline distT="0" distB="0" distL="0" distR="0" wp14:anchorId="3060862C" wp14:editId="10E47158">
            <wp:extent cx="5943600" cy="3261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F26" w14:textId="619808B5" w:rsidR="003477B7" w:rsidRDefault="00CA4851" w:rsidP="008C0F54">
      <w:pPr>
        <w:spacing w:before="160"/>
      </w:pPr>
      <w:r>
        <w:lastRenderedPageBreak/>
        <w:t>T</w:t>
      </w:r>
      <w:r w:rsidR="009E4D8D" w:rsidRPr="00CA74AC">
        <w:t>he U.S. dollar index</w:t>
      </w:r>
      <w:r w:rsidR="00DA3959">
        <w:t xml:space="preserve"> for goods and services</w:t>
      </w:r>
      <w:r w:rsidR="00053E46">
        <w:rPr>
          <w:rStyle w:val="FootnoteReference"/>
        </w:rPr>
        <w:footnoteReference w:id="2"/>
      </w:r>
      <w:r w:rsidR="009E4D8D" w:rsidRPr="00CA74AC">
        <w:t xml:space="preserve"> </w:t>
      </w:r>
      <w:r w:rsidR="003D52B8">
        <w:t xml:space="preserve">was </w:t>
      </w:r>
      <w:r w:rsidR="000A6B19">
        <w:t>virtually</w:t>
      </w:r>
      <w:r w:rsidR="003D52B8">
        <w:t xml:space="preserve"> unchanged</w:t>
      </w:r>
      <w:r w:rsidR="00442565">
        <w:t xml:space="preserve"> during</w:t>
      </w:r>
      <w:r w:rsidR="00DA3959">
        <w:t xml:space="preserve"> the </w:t>
      </w:r>
      <w:r w:rsidR="003D52B8">
        <w:t>1</w:t>
      </w:r>
      <w:r w:rsidR="003D52B8" w:rsidRPr="003D52B8">
        <w:rPr>
          <w:vertAlign w:val="superscript"/>
        </w:rPr>
        <w:t>st</w:t>
      </w:r>
      <w:r w:rsidR="001E483E">
        <w:t xml:space="preserve"> </w:t>
      </w:r>
      <w:r w:rsidR="00D5040E">
        <w:t>quarter of 202</w:t>
      </w:r>
      <w:r w:rsidR="003D52B8">
        <w:t>2, inching up 0.0</w:t>
      </w:r>
      <w:r w:rsidR="000A6B19">
        <w:t>3</w:t>
      </w:r>
      <w:r w:rsidR="003D52B8">
        <w:t>%</w:t>
      </w:r>
      <w:r w:rsidR="000A6B19">
        <w:t xml:space="preserve"> to a level </w:t>
      </w:r>
      <w:r w:rsidR="003D52B8">
        <w:t>1.</w:t>
      </w:r>
      <w:r w:rsidR="00F22E71">
        <w:t>06</w:t>
      </w:r>
      <w:r w:rsidR="007939CA">
        <w:t xml:space="preserve">% </w:t>
      </w:r>
      <w:r w:rsidR="001E483E">
        <w:t>higher</w:t>
      </w:r>
      <w:r w:rsidR="007939CA">
        <w:t xml:space="preserve"> than in </w:t>
      </w:r>
      <w:r w:rsidR="003D52B8">
        <w:t>March of 2021</w:t>
      </w:r>
      <w:r w:rsidR="009E4D8D" w:rsidRPr="00CA74AC">
        <w:t>.</w:t>
      </w:r>
      <w:r w:rsidR="002857FD">
        <w:t xml:space="preserve"> </w:t>
      </w:r>
      <w:r w:rsidR="000B43C0">
        <w:t xml:space="preserve">The dollar </w:t>
      </w:r>
      <w:r w:rsidR="00940DF6">
        <w:t>dominated foreign exchange markets</w:t>
      </w:r>
      <w:r w:rsidR="000A6B19">
        <w:t xml:space="preserve"> in early March </w:t>
      </w:r>
      <w:r w:rsidR="003B2A9D">
        <w:t>after Russia waged war on the Ukraine, sending investors flocking toward low-risk investments</w:t>
      </w:r>
      <w:r w:rsidR="00285D03">
        <w:t>, then regressed as peace negotiations and Ukraine’s defenses seemed more promising throughout the month</w:t>
      </w:r>
      <w:r w:rsidR="004B2DF4">
        <w:t>.</w:t>
      </w:r>
      <w:r w:rsidR="0079151F">
        <w:t xml:space="preserve"> </w:t>
      </w:r>
      <w:r w:rsidR="00285D03">
        <w:t xml:space="preserve">Meanwhile, inflation continued to </w:t>
      </w:r>
      <w:r w:rsidR="00940DF6">
        <w:t>intensify</w:t>
      </w:r>
      <w:r w:rsidR="006C534C">
        <w:t>, pushing the Fed</w:t>
      </w:r>
      <w:r w:rsidR="003531E6">
        <w:t>eral Reserve</w:t>
      </w:r>
      <w:r w:rsidR="006C534C">
        <w:t xml:space="preserve"> to its first target interest rate hike in more than 3 years</w:t>
      </w:r>
      <w:r w:rsidR="0079151F">
        <w:t>.</w:t>
      </w:r>
      <w:r w:rsidR="006C534C">
        <w:t xml:space="preserve"> Fed officials signaled intentions for a forceful push against the </w:t>
      </w:r>
      <w:r w:rsidR="00940DF6">
        <w:t>mounting price pressures, bolstering the dollar’s position in the investment market.</w:t>
      </w:r>
    </w:p>
    <w:p w14:paraId="5FD9C9E3" w14:textId="1F82C65B" w:rsidR="004D1C9D" w:rsidRDefault="00605F4E" w:rsidP="006D4E8F">
      <w:pPr>
        <w:jc w:val="center"/>
      </w:pPr>
      <w:r>
        <w:rPr>
          <w:noProof/>
        </w:rPr>
        <w:drawing>
          <wp:inline distT="0" distB="0" distL="0" distR="0" wp14:anchorId="071B777B" wp14:editId="427BB95C">
            <wp:extent cx="4097020" cy="2658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EF9" w14:textId="75A1960E" w:rsidR="002731EF" w:rsidRPr="00BC13CC" w:rsidRDefault="001058D4" w:rsidP="001475FF">
      <w:pPr>
        <w:pStyle w:val="Heading1"/>
      </w:pPr>
      <w:r>
        <w:t>Q</w:t>
      </w:r>
      <w:r w:rsidR="00FF1401">
        <w:t>1</w:t>
      </w:r>
      <w:r>
        <w:t xml:space="preserve"> </w:t>
      </w:r>
      <w:r w:rsidR="002731EF" w:rsidRPr="00BC13CC">
        <w:t>Economic Highlights</w:t>
      </w:r>
    </w:p>
    <w:p w14:paraId="7FCBE057" w14:textId="01AB363F" w:rsidR="00540D2B" w:rsidRDefault="00540D2B" w:rsidP="00E528F7">
      <w:pPr>
        <w:pStyle w:val="ListParagraph"/>
        <w:numPr>
          <w:ilvl w:val="0"/>
          <w:numId w:val="3"/>
        </w:numPr>
      </w:pPr>
      <w:r>
        <w:t>The</w:t>
      </w:r>
      <w:r w:rsidRPr="00BD7409">
        <w:t xml:space="preserve"> Philadelphia Fed’s coincident index of economic activity in the U.S. rose </w:t>
      </w:r>
      <w:r w:rsidR="00795053" w:rsidRPr="00BD7409">
        <w:t>0.</w:t>
      </w:r>
      <w:r w:rsidR="00795053">
        <w:t>5</w:t>
      </w:r>
      <w:r w:rsidR="00795053" w:rsidRPr="00BD7409">
        <w:t xml:space="preserve">% in </w:t>
      </w:r>
      <w:r w:rsidR="00795053">
        <w:t>March</w:t>
      </w:r>
      <w:r w:rsidR="00795053" w:rsidRPr="00BD7409">
        <w:t xml:space="preserve"> 202</w:t>
      </w:r>
      <w:r w:rsidR="00795053">
        <w:t>2</w:t>
      </w:r>
      <w:r w:rsidR="00795053" w:rsidRPr="00BD7409">
        <w:t xml:space="preserve"> and </w:t>
      </w:r>
      <w:r w:rsidR="00795053">
        <w:t>1.4</w:t>
      </w:r>
      <w:r w:rsidR="00795053" w:rsidRPr="00BD7409">
        <w:t xml:space="preserve">% during the </w:t>
      </w:r>
      <w:r w:rsidR="00795053">
        <w:t>1</w:t>
      </w:r>
      <w:r w:rsidR="00795053" w:rsidRPr="005D3F1A">
        <w:rPr>
          <w:vertAlign w:val="superscript"/>
        </w:rPr>
        <w:t>st</w:t>
      </w:r>
      <w:r w:rsidR="00795053">
        <w:t xml:space="preserve"> </w:t>
      </w:r>
      <w:r w:rsidR="00795053" w:rsidRPr="00BD7409">
        <w:t>quarter</w:t>
      </w:r>
      <w:r w:rsidRPr="00BD7409">
        <w:t>.</w:t>
      </w:r>
    </w:p>
    <w:p w14:paraId="149D5EFA" w14:textId="75F3B40B" w:rsidR="002608F3" w:rsidRPr="00BC13CC" w:rsidRDefault="006C2DAB" w:rsidP="00E528F7">
      <w:pPr>
        <w:pStyle w:val="ListParagraph"/>
        <w:numPr>
          <w:ilvl w:val="0"/>
          <w:numId w:val="3"/>
        </w:numPr>
      </w:pPr>
      <w:r w:rsidRPr="00BC13CC">
        <w:t xml:space="preserve">Real GDP </w:t>
      </w:r>
      <w:r w:rsidR="00D93A8B" w:rsidRPr="00BC13CC">
        <w:t xml:space="preserve">for the </w:t>
      </w:r>
      <w:r w:rsidR="00795053">
        <w:t>1</w:t>
      </w:r>
      <w:r w:rsidR="00795053" w:rsidRPr="00413F0F">
        <w:rPr>
          <w:vertAlign w:val="superscript"/>
        </w:rPr>
        <w:t>st</w:t>
      </w:r>
      <w:r w:rsidR="00795053">
        <w:t xml:space="preserve"> </w:t>
      </w:r>
      <w:r w:rsidR="00795053" w:rsidRPr="00B36811">
        <w:t>quarter of 202</w:t>
      </w:r>
      <w:r w:rsidR="00795053">
        <w:t>2</w:t>
      </w:r>
      <w:r w:rsidR="00795053" w:rsidRPr="00B36811">
        <w:t xml:space="preserve"> </w:t>
      </w:r>
      <w:r w:rsidR="00795053">
        <w:t>declined</w:t>
      </w:r>
      <w:r w:rsidR="00795053" w:rsidRPr="00B36811">
        <w:t xml:space="preserve"> at an annualized rate of </w:t>
      </w:r>
      <w:r w:rsidR="00795053">
        <w:t>1.4</w:t>
      </w:r>
      <w:r w:rsidR="00795053" w:rsidRPr="00B36811">
        <w:t xml:space="preserve">%, </w:t>
      </w:r>
      <w:r w:rsidR="00795053">
        <w:t>a slide from the 4</w:t>
      </w:r>
      <w:r w:rsidR="00795053" w:rsidRPr="00413F0F">
        <w:rPr>
          <w:vertAlign w:val="superscript"/>
        </w:rPr>
        <w:t>th</w:t>
      </w:r>
      <w:r w:rsidR="00795053">
        <w:t xml:space="preserve"> quarter’s 6.9% gain and the first decrease since the 2</w:t>
      </w:r>
      <w:r w:rsidR="00795053" w:rsidRPr="00413F0F">
        <w:rPr>
          <w:vertAlign w:val="superscript"/>
        </w:rPr>
        <w:t>nd</w:t>
      </w:r>
      <w:r w:rsidR="00795053">
        <w:t xml:space="preserve"> quarter of 2020</w:t>
      </w:r>
      <w:r w:rsidR="00D93A8B" w:rsidRPr="00BC13CC">
        <w:t>.</w:t>
      </w:r>
    </w:p>
    <w:p w14:paraId="149D5EFC" w14:textId="7C0CBCA8" w:rsidR="00E24F81" w:rsidRPr="00BC13CC" w:rsidRDefault="00E24F81" w:rsidP="00E528F7">
      <w:pPr>
        <w:pStyle w:val="ListParagraph"/>
        <w:numPr>
          <w:ilvl w:val="0"/>
          <w:numId w:val="3"/>
        </w:numPr>
      </w:pPr>
      <w:r w:rsidRPr="00BC13CC">
        <w:t xml:space="preserve">The U.S. dollar index </w:t>
      </w:r>
      <w:r w:rsidR="00795053">
        <w:t>was virtually unchanged during the 1</w:t>
      </w:r>
      <w:r w:rsidR="00795053" w:rsidRPr="003D52B8">
        <w:rPr>
          <w:vertAlign w:val="superscript"/>
        </w:rPr>
        <w:t>st</w:t>
      </w:r>
      <w:r w:rsidR="00795053">
        <w:t xml:space="preserve"> quarter of 2022, inching up 0.03% to a level 1.</w:t>
      </w:r>
      <w:r w:rsidR="009C0789">
        <w:t>06</w:t>
      </w:r>
      <w:r w:rsidR="00795053">
        <w:t>% higher than in March of 2021</w:t>
      </w:r>
      <w:r w:rsidRPr="00BC13CC">
        <w:t>.</w:t>
      </w:r>
    </w:p>
    <w:p w14:paraId="149D5EFD" w14:textId="59C95AA1" w:rsidR="0076717F" w:rsidRPr="00BC13CC" w:rsidRDefault="00591A62" w:rsidP="00E528F7">
      <w:pPr>
        <w:pStyle w:val="ListParagraph"/>
        <w:numPr>
          <w:ilvl w:val="0"/>
          <w:numId w:val="3"/>
        </w:numPr>
      </w:pPr>
      <w:r>
        <w:t>T</w:t>
      </w:r>
      <w:r w:rsidRPr="003F4CDB">
        <w:t xml:space="preserve">he effective federal funds rate </w:t>
      </w:r>
      <w:r>
        <w:t>rose to 0.20% during the 1</w:t>
      </w:r>
      <w:r w:rsidRPr="00B377D4">
        <w:rPr>
          <w:vertAlign w:val="superscript"/>
        </w:rPr>
        <w:t>st</w:t>
      </w:r>
      <w:r>
        <w:t xml:space="preserve"> quarter after remaining near zero since April 2020</w:t>
      </w:r>
      <w:r w:rsidR="00D93A8B" w:rsidRPr="00BC13CC">
        <w:t xml:space="preserve">. </w:t>
      </w:r>
    </w:p>
    <w:p w14:paraId="6AA929FC" w14:textId="77777777" w:rsidR="00591A62" w:rsidRPr="00591A62" w:rsidRDefault="00591A62" w:rsidP="0069122E">
      <w:pPr>
        <w:pStyle w:val="ListParagraph"/>
        <w:numPr>
          <w:ilvl w:val="0"/>
          <w:numId w:val="3"/>
        </w:numPr>
      </w:pPr>
      <w:r w:rsidRPr="003F4CDB">
        <w:t xml:space="preserve">The 1-year and 2-year annual treasury yields ended the </w:t>
      </w:r>
      <w:r>
        <w:t>1</w:t>
      </w:r>
      <w:r w:rsidRPr="00A14458">
        <w:rPr>
          <w:vertAlign w:val="superscript"/>
        </w:rPr>
        <w:t>st</w:t>
      </w:r>
      <w:r>
        <w:t xml:space="preserve"> </w:t>
      </w:r>
      <w:r w:rsidRPr="003F4CDB">
        <w:t xml:space="preserve">quarter at </w:t>
      </w:r>
      <w:r>
        <w:t>1.63</w:t>
      </w:r>
      <w:r w:rsidRPr="003F4CDB">
        <w:t xml:space="preserve">% and </w:t>
      </w:r>
      <w:r>
        <w:t>2.28</w:t>
      </w:r>
      <w:r w:rsidRPr="003F4CDB">
        <w:t xml:space="preserve">%, respectively. The benchmark 10-year treasury yielded </w:t>
      </w:r>
      <w:r>
        <w:t>2.32</w:t>
      </w:r>
      <w:r w:rsidRPr="003F4CDB">
        <w:t xml:space="preserve">% annually at the end of the quarter, while the 30-year treasury yielded </w:t>
      </w:r>
      <w:r>
        <w:t>2.44</w:t>
      </w:r>
      <w:r w:rsidRPr="003F4CDB">
        <w:t>%</w:t>
      </w:r>
      <w:r w:rsidRPr="003F4CDB">
        <w:rPr>
          <w:color w:val="000000" w:themeColor="text1"/>
        </w:rPr>
        <w:t xml:space="preserve">. </w:t>
      </w:r>
    </w:p>
    <w:p w14:paraId="2A4826B3" w14:textId="320A7EE0" w:rsidR="0069122E" w:rsidRPr="00BC13CC" w:rsidRDefault="0069122E" w:rsidP="0069122E">
      <w:pPr>
        <w:pStyle w:val="ListParagraph"/>
        <w:numPr>
          <w:ilvl w:val="0"/>
          <w:numId w:val="3"/>
        </w:numPr>
      </w:pPr>
      <w:r w:rsidRPr="00BC13CC">
        <w:t xml:space="preserve">Unemployment </w:t>
      </w:r>
      <w:r w:rsidR="00591A62">
        <w:t>fell to 3.6</w:t>
      </w:r>
      <w:r w:rsidR="00591A62" w:rsidRPr="003412DA">
        <w:t>%</w:t>
      </w:r>
      <w:r w:rsidR="00591A62">
        <w:t xml:space="preserve"> in March 2022</w:t>
      </w:r>
      <w:r w:rsidR="00D04F3A">
        <w:t xml:space="preserve">, </w:t>
      </w:r>
      <w:r w:rsidRPr="00BC13CC">
        <w:t xml:space="preserve">and </w:t>
      </w:r>
      <w:r w:rsidR="00CF666C">
        <w:t xml:space="preserve">nonfarm </w:t>
      </w:r>
      <w:r w:rsidRPr="00BC13CC">
        <w:t xml:space="preserve">payroll employment </w:t>
      </w:r>
      <w:r w:rsidR="00591A62">
        <w:t>grew by 1.7 million jobs in the 1</w:t>
      </w:r>
      <w:r w:rsidR="00591A62" w:rsidRPr="0022416D">
        <w:rPr>
          <w:vertAlign w:val="superscript"/>
        </w:rPr>
        <w:t>st</w:t>
      </w:r>
      <w:r w:rsidR="00591A62">
        <w:t xml:space="preserve"> quarter</w:t>
      </w:r>
      <w:r w:rsidR="00CF666C">
        <w:rPr>
          <w:color w:val="000000" w:themeColor="text1"/>
        </w:rPr>
        <w:t>.</w:t>
      </w:r>
      <w:r w:rsidR="00C328EF" w:rsidRPr="00BC13CC">
        <w:t xml:space="preserve"> </w:t>
      </w:r>
    </w:p>
    <w:p w14:paraId="149D5EFF" w14:textId="2D6444F4" w:rsidR="003E4ACB" w:rsidRPr="00BC13CC" w:rsidRDefault="007A4896" w:rsidP="00E528F7">
      <w:pPr>
        <w:pStyle w:val="ListParagraph"/>
        <w:numPr>
          <w:ilvl w:val="0"/>
          <w:numId w:val="3"/>
        </w:numPr>
      </w:pPr>
      <w:r>
        <w:lastRenderedPageBreak/>
        <w:t>The Consumer Price Index</w:t>
      </w:r>
      <w:r w:rsidR="006E4B4F" w:rsidRPr="00BC13CC">
        <w:t xml:space="preserve"> </w:t>
      </w:r>
      <w:r w:rsidR="00D04F3A">
        <w:t xml:space="preserve">rose </w:t>
      </w:r>
      <w:r w:rsidR="00591A62">
        <w:t>8.6% year-over-year in March</w:t>
      </w:r>
      <w:r w:rsidR="00D04F3A">
        <w:t xml:space="preserve">, its fastest growth since </w:t>
      </w:r>
      <w:r w:rsidR="00591A62">
        <w:t>December</w:t>
      </w:r>
      <w:r w:rsidR="00D04F3A">
        <w:t xml:space="preserve"> of 198</w:t>
      </w:r>
      <w:r w:rsidR="00591A62">
        <w:t>1</w:t>
      </w:r>
      <w:r w:rsidR="00880496">
        <w:t xml:space="preserve">. Excluding volatile energy prices, the index rose </w:t>
      </w:r>
      <w:r w:rsidR="00591A62">
        <w:t>6.8</w:t>
      </w:r>
      <w:r w:rsidR="00D04F3A">
        <w:t>%.</w:t>
      </w:r>
    </w:p>
    <w:p w14:paraId="02DFF80C" w14:textId="6A3B0071" w:rsidR="0069122E" w:rsidRPr="00BC13CC" w:rsidRDefault="00D04F3A" w:rsidP="0069122E">
      <w:pPr>
        <w:pStyle w:val="ListParagraph"/>
        <w:numPr>
          <w:ilvl w:val="0"/>
          <w:numId w:val="3"/>
        </w:numPr>
      </w:pPr>
      <w:r w:rsidRPr="007E1BB9">
        <w:t xml:space="preserve">Crude </w:t>
      </w:r>
      <w:r w:rsidR="0024113D">
        <w:t xml:space="preserve">oil </w:t>
      </w:r>
      <w:r w:rsidRPr="007E1BB9">
        <w:t xml:space="preserve">prices ended the period at </w:t>
      </w:r>
      <w:r w:rsidR="00591A62" w:rsidRPr="007E1BB9">
        <w:t>$</w:t>
      </w:r>
      <w:r w:rsidR="00591A62">
        <w:t>100.53</w:t>
      </w:r>
      <w:r w:rsidR="00591A62" w:rsidRPr="007E1BB9">
        <w:t xml:space="preserve"> per barrel, </w:t>
      </w:r>
      <w:r w:rsidR="00591A62">
        <w:t>33.5</w:t>
      </w:r>
      <w:r w:rsidR="00591A62" w:rsidRPr="007E1BB9">
        <w:t>% higher than one quarter earlier</w:t>
      </w:r>
      <w:r w:rsidR="0069122E" w:rsidRPr="00BC13CC">
        <w:t>.</w:t>
      </w:r>
    </w:p>
    <w:p w14:paraId="149D5F00" w14:textId="63CD9B20" w:rsidR="003E4ACB" w:rsidRPr="00BC13CC" w:rsidRDefault="00D04F3A" w:rsidP="00E528F7">
      <w:pPr>
        <w:pStyle w:val="ListParagraph"/>
        <w:numPr>
          <w:ilvl w:val="0"/>
          <w:numId w:val="3"/>
        </w:numPr>
      </w:pPr>
      <w:r>
        <w:t>New</w:t>
      </w:r>
      <w:r w:rsidRPr="0094654A">
        <w:t xml:space="preserve"> home starts </w:t>
      </w:r>
      <w:r w:rsidR="004C1749">
        <w:t xml:space="preserve">rose to 1.79 </w:t>
      </w:r>
      <w:r w:rsidR="004C1749" w:rsidRPr="0094654A">
        <w:t>million</w:t>
      </w:r>
      <w:r w:rsidR="004C1749">
        <w:t xml:space="preserve"> in March, up 2.2% for the quarter and 3.9% for the year</w:t>
      </w:r>
      <w:r w:rsidR="0035542E" w:rsidRPr="00BC13CC">
        <w:t>.</w:t>
      </w:r>
      <w:r w:rsidR="00BC13CC" w:rsidRPr="00BC13CC">
        <w:t xml:space="preserve"> </w:t>
      </w:r>
    </w:p>
    <w:p w14:paraId="149D5F03" w14:textId="327FD007" w:rsidR="00867D68" w:rsidRDefault="004C1749" w:rsidP="00F94484">
      <w:pPr>
        <w:pStyle w:val="ListParagraph"/>
        <w:numPr>
          <w:ilvl w:val="0"/>
          <w:numId w:val="3"/>
        </w:numPr>
      </w:pPr>
      <w:r>
        <w:rPr>
          <w:noProof/>
        </w:rPr>
        <w:t>The NASDAQ Composite dropped 9.1% d</w:t>
      </w:r>
      <w:r w:rsidR="00AE3D01">
        <w:rPr>
          <w:noProof/>
        </w:rPr>
        <w:t>ur</w:t>
      </w:r>
      <w:r>
        <w:rPr>
          <w:noProof/>
        </w:rPr>
        <w:t>ing the 1</w:t>
      </w:r>
      <w:r w:rsidRPr="00D40A47">
        <w:rPr>
          <w:noProof/>
          <w:vertAlign w:val="superscript"/>
        </w:rPr>
        <w:t>st</w:t>
      </w:r>
      <w:r>
        <w:rPr>
          <w:noProof/>
        </w:rPr>
        <w:t xml:space="preserve"> quarter of 2022 and the Wilshire 5000 fell </w:t>
      </w:r>
      <w:r w:rsidR="009C0789">
        <w:rPr>
          <w:noProof/>
        </w:rPr>
        <w:t>8.5</w:t>
      </w:r>
      <w:r>
        <w:rPr>
          <w:noProof/>
        </w:rPr>
        <w:t xml:space="preserve">%. </w:t>
      </w:r>
      <w:r w:rsidR="00F22E71">
        <w:rPr>
          <w:noProof/>
        </w:rPr>
        <w:t xml:space="preserve">The </w:t>
      </w:r>
      <w:r>
        <w:rPr>
          <w:noProof/>
        </w:rPr>
        <w:t>S&amp;P 500 was down 4.9% during the quarter and the Dow Jones Industrial Average was down 4.6%</w:t>
      </w:r>
      <w:r w:rsidR="00867D68">
        <w:t xml:space="preserve">. </w:t>
      </w:r>
    </w:p>
    <w:p w14:paraId="149D5F04" w14:textId="77777777" w:rsidR="00057711" w:rsidRDefault="00057711" w:rsidP="00057711">
      <w:pPr>
        <w:pStyle w:val="Heading1"/>
      </w:pPr>
      <w:r>
        <w:t>Business Activity</w:t>
      </w:r>
    </w:p>
    <w:p w14:paraId="25413EE4" w14:textId="5EF154C8" w:rsidR="00A96A6A" w:rsidRPr="00B36811" w:rsidRDefault="00142F71" w:rsidP="00057711">
      <w:r>
        <w:t>R</w:t>
      </w:r>
      <w:r w:rsidR="0080028D" w:rsidRPr="00B36811">
        <w:t>eal gross domestic product (GDP)</w:t>
      </w:r>
      <w:r w:rsidR="00A8559D" w:rsidRPr="00B36811">
        <w:rPr>
          <w:rStyle w:val="FootnoteReference"/>
        </w:rPr>
        <w:footnoteReference w:id="3"/>
      </w:r>
      <w:r w:rsidR="0080028D" w:rsidRPr="00B36811">
        <w:t xml:space="preserve"> </w:t>
      </w:r>
      <w:r w:rsidR="00BD0BA8" w:rsidRPr="00B36811">
        <w:t xml:space="preserve">for the </w:t>
      </w:r>
      <w:r w:rsidR="00413F0F">
        <w:t>1</w:t>
      </w:r>
      <w:r w:rsidR="00413F0F" w:rsidRPr="00413F0F">
        <w:rPr>
          <w:vertAlign w:val="superscript"/>
        </w:rPr>
        <w:t>st</w:t>
      </w:r>
      <w:r w:rsidR="00413F0F">
        <w:t xml:space="preserve"> </w:t>
      </w:r>
      <w:r w:rsidR="00B91356" w:rsidRPr="00B36811">
        <w:t>quarter of 202</w:t>
      </w:r>
      <w:r w:rsidR="00413F0F">
        <w:t>2</w:t>
      </w:r>
      <w:r w:rsidR="00700166" w:rsidRPr="00B36811">
        <w:t xml:space="preserve"> </w:t>
      </w:r>
      <w:r w:rsidR="00413F0F">
        <w:t>declined</w:t>
      </w:r>
      <w:r w:rsidR="00BD0BA8" w:rsidRPr="00B36811">
        <w:t xml:space="preserve"> </w:t>
      </w:r>
      <w:r w:rsidR="0080028D" w:rsidRPr="00B36811">
        <w:t>at an annual</w:t>
      </w:r>
      <w:r w:rsidR="009140B9" w:rsidRPr="00B36811">
        <w:t>ized</w:t>
      </w:r>
      <w:r w:rsidR="0080028D" w:rsidRPr="00B36811">
        <w:t xml:space="preserve"> rate of </w:t>
      </w:r>
      <w:r w:rsidR="00413F0F">
        <w:t>1.4</w:t>
      </w:r>
      <w:r w:rsidR="00321AA2" w:rsidRPr="00B36811">
        <w:t>%</w:t>
      </w:r>
      <w:r w:rsidR="001756EC" w:rsidRPr="00B36811">
        <w:t>,</w:t>
      </w:r>
      <w:r w:rsidR="0080028D" w:rsidRPr="00B36811">
        <w:t xml:space="preserve"> </w:t>
      </w:r>
      <w:r w:rsidR="00413F0F">
        <w:t>a slide</w:t>
      </w:r>
      <w:r w:rsidR="0079151F">
        <w:t xml:space="preserve"> from </w:t>
      </w:r>
      <w:r w:rsidR="00413F0F">
        <w:t>the 4</w:t>
      </w:r>
      <w:r w:rsidR="00413F0F" w:rsidRPr="00413F0F">
        <w:rPr>
          <w:vertAlign w:val="superscript"/>
        </w:rPr>
        <w:t>th</w:t>
      </w:r>
      <w:r w:rsidR="00413F0F">
        <w:t xml:space="preserve"> </w:t>
      </w:r>
      <w:r w:rsidR="0079151F">
        <w:t>quarter</w:t>
      </w:r>
      <w:r w:rsidR="00413F0F">
        <w:t>’s 6.9% gain and the first decrease since the 2</w:t>
      </w:r>
      <w:r w:rsidR="00413F0F" w:rsidRPr="00413F0F">
        <w:rPr>
          <w:vertAlign w:val="superscript"/>
        </w:rPr>
        <w:t>nd</w:t>
      </w:r>
      <w:r w:rsidR="00413F0F">
        <w:t xml:space="preserve"> quarter of 2020</w:t>
      </w:r>
      <w:r w:rsidR="00B36811" w:rsidRPr="00134929">
        <w:t>.</w:t>
      </w:r>
      <w:r w:rsidR="00413F0F">
        <w:t xml:space="preserve"> </w:t>
      </w:r>
      <w:r w:rsidR="00447F8B">
        <w:t>During the 1</w:t>
      </w:r>
      <w:r w:rsidR="00447F8B" w:rsidRPr="00447F8B">
        <w:rPr>
          <w:vertAlign w:val="superscript"/>
        </w:rPr>
        <w:t>st</w:t>
      </w:r>
      <w:r w:rsidR="00447F8B">
        <w:t xml:space="preserve"> quarter, a wave of COVID-19 fueled by the</w:t>
      </w:r>
      <w:r w:rsidR="00413F0F" w:rsidRPr="00413F0F">
        <w:t xml:space="preserve"> Omicron variant </w:t>
      </w:r>
      <w:r w:rsidR="00447F8B">
        <w:t>disrupted business operations in some regions while federal</w:t>
      </w:r>
      <w:r w:rsidR="00413F0F" w:rsidRPr="00413F0F">
        <w:t xml:space="preserve"> assistance </w:t>
      </w:r>
      <w:r w:rsidR="00447F8B">
        <w:t>dwindled</w:t>
      </w:r>
      <w:r w:rsidR="00B377D4">
        <w:t xml:space="preserve">, including the </w:t>
      </w:r>
      <w:r w:rsidR="0024113D">
        <w:t>tapering</w:t>
      </w:r>
      <w:r w:rsidR="00B377D4">
        <w:t xml:space="preserve"> of the Fed’s dovish bond-buying program</w:t>
      </w:r>
      <w:r w:rsidR="00413F0F" w:rsidRPr="00413F0F">
        <w:t>.</w:t>
      </w:r>
      <w:r w:rsidR="00E6698E">
        <w:t xml:space="preserve"> Meanwhile, blazing inflation</w:t>
      </w:r>
      <w:r w:rsidR="0024113D">
        <w:t>,</w:t>
      </w:r>
      <w:r w:rsidR="00E6698E">
        <w:t xml:space="preserve"> </w:t>
      </w:r>
      <w:r w:rsidR="0024113D">
        <w:t>exacerbated by</w:t>
      </w:r>
      <w:r w:rsidR="00E6698E">
        <w:t xml:space="preserve"> Russia’s invasion of the Ukraine</w:t>
      </w:r>
      <w:r w:rsidR="0024113D">
        <w:t>,</w:t>
      </w:r>
      <w:r w:rsidR="00E6698E">
        <w:t xml:space="preserve"> </w:t>
      </w:r>
      <w:r w:rsidR="00453738">
        <w:t xml:space="preserve">further constrained growth. Although the decrease in GDP disappointed economists’ expectations, underlying figures </w:t>
      </w:r>
      <w:r w:rsidR="003E62D6">
        <w:t>paint a less-dismal picture.</w:t>
      </w:r>
    </w:p>
    <w:p w14:paraId="7810A9C6" w14:textId="646BD329" w:rsidR="00A96A6A" w:rsidRPr="006B166E" w:rsidRDefault="0022724A" w:rsidP="005117CA">
      <w:pPr>
        <w:jc w:val="center"/>
        <w:rPr>
          <w:highlight w:val="yellow"/>
        </w:rPr>
      </w:pPr>
      <w:r w:rsidRPr="0022724A">
        <w:rPr>
          <w:noProof/>
        </w:rPr>
        <w:drawing>
          <wp:inline distT="0" distB="0" distL="0" distR="0" wp14:anchorId="68B9236D" wp14:editId="6EA2538A">
            <wp:extent cx="4097020" cy="2603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85ADE" w14:textId="63491F51" w:rsidR="006B1EB1" w:rsidRDefault="00255C11" w:rsidP="006B1EB1">
      <w:r>
        <w:t>Net exports</w:t>
      </w:r>
      <w:r>
        <w:rPr>
          <w:rStyle w:val="FootnoteReference"/>
        </w:rPr>
        <w:footnoteReference w:id="4"/>
      </w:r>
      <w:r>
        <w:t xml:space="preserve"> were the leading contributor to the drop in GDP</w:t>
      </w:r>
      <w:r w:rsidR="00A768DC">
        <w:t xml:space="preserve"> </w:t>
      </w:r>
      <w:r w:rsidR="00B82663">
        <w:t>in the 1</w:t>
      </w:r>
      <w:r w:rsidR="00B82663" w:rsidRPr="00B82663">
        <w:rPr>
          <w:vertAlign w:val="superscript"/>
        </w:rPr>
        <w:t>st</w:t>
      </w:r>
      <w:r w:rsidR="00B82663">
        <w:t xml:space="preserve"> quarter of 2022 </w:t>
      </w:r>
      <w:r w:rsidR="00A768DC">
        <w:t>with a</w:t>
      </w:r>
      <w:r w:rsidR="0024113D">
        <w:t xml:space="preserve"> </w:t>
      </w:r>
      <w:r w:rsidR="00B82663">
        <w:t>n</w:t>
      </w:r>
      <w:r w:rsidR="0024113D">
        <w:t>egative 3.2%</w:t>
      </w:r>
      <w:r w:rsidR="00B82663">
        <w:t xml:space="preserve"> </w:t>
      </w:r>
      <w:r w:rsidR="00A768DC">
        <w:t>effect</w:t>
      </w:r>
      <w:r>
        <w:t xml:space="preserve"> resulting from another strong advance in imports and a concurrent decrease in exports. </w:t>
      </w:r>
      <w:r w:rsidR="003E62D6">
        <w:t xml:space="preserve">While supply chains struggles persist, businesses are </w:t>
      </w:r>
      <w:r w:rsidR="00FB5FB0">
        <w:t>endeavoring</w:t>
      </w:r>
      <w:r w:rsidR="003E62D6">
        <w:t xml:space="preserve"> to meet </w:t>
      </w:r>
      <w:r w:rsidR="003E62D6">
        <w:lastRenderedPageBreak/>
        <w:t xml:space="preserve">consumer demand. </w:t>
      </w:r>
      <w:r w:rsidR="00C93FDB">
        <w:t xml:space="preserve">Falling government </w:t>
      </w:r>
      <w:r w:rsidR="00E24CD9">
        <w:t>expenditures</w:t>
      </w:r>
      <w:r w:rsidR="00E24CD9">
        <w:rPr>
          <w:rStyle w:val="FootnoteReference"/>
        </w:rPr>
        <w:footnoteReference w:id="5"/>
      </w:r>
      <w:r w:rsidR="00C93FDB">
        <w:t xml:space="preserve"> at the federal level</w:t>
      </w:r>
      <w:r w:rsidR="003E62D6">
        <w:t>, including a notable drop in defense spending,</w:t>
      </w:r>
      <w:r w:rsidR="00C93FDB">
        <w:t xml:space="preserve"> </w:t>
      </w:r>
      <w:r w:rsidR="00FB5FB0">
        <w:t>as well as</w:t>
      </w:r>
      <w:r w:rsidR="00C93FDB">
        <w:t xml:space="preserve"> </w:t>
      </w:r>
      <w:r w:rsidR="003E62D6">
        <w:t xml:space="preserve">at </w:t>
      </w:r>
      <w:r w:rsidR="00C93FDB">
        <w:t xml:space="preserve">the state and local level contributed </w:t>
      </w:r>
      <w:r w:rsidR="00A768DC">
        <w:t xml:space="preserve">an additional </w:t>
      </w:r>
      <w:r w:rsidR="00FB5FB0">
        <w:t xml:space="preserve">negative </w:t>
      </w:r>
      <w:r w:rsidR="00A768DC">
        <w:t xml:space="preserve">0.5% </w:t>
      </w:r>
      <w:r w:rsidR="00C93FDB">
        <w:t xml:space="preserve">to the </w:t>
      </w:r>
      <w:r w:rsidR="00B82663">
        <w:t>1</w:t>
      </w:r>
      <w:r w:rsidR="00B82663" w:rsidRPr="00B82663">
        <w:rPr>
          <w:vertAlign w:val="superscript"/>
        </w:rPr>
        <w:t>st</w:t>
      </w:r>
      <w:r w:rsidR="00B82663">
        <w:t xml:space="preserve">-quarter </w:t>
      </w:r>
      <w:r w:rsidR="00C93FDB">
        <w:t>GDP decline</w:t>
      </w:r>
      <w:r w:rsidR="006B1EB1" w:rsidRPr="00134929">
        <w:t>.</w:t>
      </w:r>
      <w:r w:rsidR="00967B10">
        <w:t xml:space="preserve"> </w:t>
      </w:r>
    </w:p>
    <w:p w14:paraId="08A40A18" w14:textId="07434597" w:rsidR="00A768DC" w:rsidRDefault="00E24CD9" w:rsidP="00E24CD9">
      <w:r>
        <w:t>Gross domestic private investment</w:t>
      </w:r>
      <w:r>
        <w:rPr>
          <w:rStyle w:val="FootnoteReference"/>
        </w:rPr>
        <w:footnoteReference w:id="6"/>
      </w:r>
      <w:r>
        <w:t xml:space="preserve"> had a small positive effect </w:t>
      </w:r>
      <w:r w:rsidR="00A768DC">
        <w:t xml:space="preserve">of 0.4% </w:t>
      </w:r>
      <w:r>
        <w:t>on the GDP</w:t>
      </w:r>
      <w:r w:rsidR="00B82663">
        <w:t xml:space="preserve"> in the 1</w:t>
      </w:r>
      <w:r w:rsidR="00B82663" w:rsidRPr="00B82663">
        <w:rPr>
          <w:vertAlign w:val="superscript"/>
        </w:rPr>
        <w:t>st</w:t>
      </w:r>
      <w:r w:rsidR="00B82663">
        <w:t xml:space="preserve"> quarter of 2022</w:t>
      </w:r>
      <w:r>
        <w:t xml:space="preserve">; however, </w:t>
      </w:r>
      <w:r w:rsidR="00FF0317">
        <w:t xml:space="preserve">the sub-category of </w:t>
      </w:r>
      <w:r w:rsidRPr="00A202A9">
        <w:t>private invento</w:t>
      </w:r>
      <w:r>
        <w:t xml:space="preserve">ries </w:t>
      </w:r>
      <w:r w:rsidR="00B82663">
        <w:t>contributed</w:t>
      </w:r>
      <w:r w:rsidR="00FB5FB0">
        <w:t xml:space="preserve"> negative </w:t>
      </w:r>
      <w:r w:rsidR="00B82663">
        <w:t>0.8% to the overall drop, falling</w:t>
      </w:r>
      <w:r w:rsidR="00A768DC">
        <w:t xml:space="preserve"> in both the nonfarm and farm sectors</w:t>
      </w:r>
      <w:r w:rsidRPr="00134929">
        <w:t>.</w:t>
      </w:r>
      <w:r w:rsidR="00A768DC">
        <w:t xml:space="preserve"> Fixed investment rose</w:t>
      </w:r>
      <w:r w:rsidR="00B82663">
        <w:t xml:space="preserve"> during the 1</w:t>
      </w:r>
      <w:r w:rsidR="00B82663" w:rsidRPr="00B82663">
        <w:rPr>
          <w:vertAlign w:val="superscript"/>
        </w:rPr>
        <w:t>st</w:t>
      </w:r>
      <w:r w:rsidR="00B82663">
        <w:t xml:space="preserve"> quarter</w:t>
      </w:r>
      <w:r w:rsidR="00A768DC">
        <w:t>, particularly for equipment and intellectual property.</w:t>
      </w:r>
    </w:p>
    <w:p w14:paraId="4567FCDF" w14:textId="29DEBD5C" w:rsidR="00E24CD9" w:rsidRDefault="00E24CD9" w:rsidP="00E24CD9">
      <w:r>
        <w:t>Personal consumption expenditures</w:t>
      </w:r>
      <w:r>
        <w:rPr>
          <w:rStyle w:val="FootnoteReference"/>
        </w:rPr>
        <w:footnoteReference w:id="7"/>
      </w:r>
      <w:r>
        <w:t xml:space="preserve"> (PCE) </w:t>
      </w:r>
      <w:r w:rsidR="00B82663">
        <w:t>moderated the 1</w:t>
      </w:r>
      <w:r w:rsidR="00B82663" w:rsidRPr="00B82663">
        <w:rPr>
          <w:vertAlign w:val="superscript"/>
        </w:rPr>
        <w:t>st</w:t>
      </w:r>
      <w:r w:rsidR="00B82663">
        <w:t xml:space="preserve"> quarter’s GDP decline</w:t>
      </w:r>
      <w:r w:rsidR="00FB5FB0">
        <w:t xml:space="preserve"> with</w:t>
      </w:r>
      <w:r w:rsidR="00B82663">
        <w:t xml:space="preserve"> a positive 1.8</w:t>
      </w:r>
      <w:r>
        <w:t xml:space="preserve">% </w:t>
      </w:r>
      <w:r w:rsidR="00FF0317">
        <w:t xml:space="preserve">effect </w:t>
      </w:r>
      <w:r w:rsidR="00B82663">
        <w:t>on</w:t>
      </w:r>
      <w:r>
        <w:t xml:space="preserve"> real GD</w:t>
      </w:r>
      <w:r w:rsidR="00B82663">
        <w:t>P. Growth in personal spending was</w:t>
      </w:r>
      <w:r>
        <w:t xml:space="preserve"> led by broad increases in household services consumption including health care, </w:t>
      </w:r>
      <w:r w:rsidR="00EF14EE">
        <w:t>financial services and insurance</w:t>
      </w:r>
      <w:r>
        <w:t xml:space="preserve">, and </w:t>
      </w:r>
      <w:r w:rsidR="00EF14EE">
        <w:t>housing and utilities</w:t>
      </w:r>
      <w:r>
        <w:t>.</w:t>
      </w:r>
    </w:p>
    <w:p w14:paraId="59E2FBC9" w14:textId="77777777" w:rsidR="00E24CD9" w:rsidRDefault="00E24CD9" w:rsidP="006B1EB1"/>
    <w:p w14:paraId="3014DE71" w14:textId="5C0FC672" w:rsidR="00B66CB7" w:rsidRPr="006B166E" w:rsidRDefault="0022724A" w:rsidP="005117CA">
      <w:pPr>
        <w:jc w:val="center"/>
        <w:rPr>
          <w:highlight w:val="yellow"/>
        </w:rPr>
      </w:pPr>
      <w:r w:rsidRPr="0022724A">
        <w:rPr>
          <w:noProof/>
        </w:rPr>
        <w:drawing>
          <wp:inline distT="0" distB="0" distL="0" distR="0" wp14:anchorId="65BD542E" wp14:editId="02784C32">
            <wp:extent cx="4224655" cy="332232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33888" w14:textId="51D99584" w:rsidR="004D1C9D" w:rsidRPr="006B1EB1" w:rsidRDefault="00D03164" w:rsidP="00174BCD">
      <w:pPr>
        <w:rPr>
          <w:strike/>
        </w:rPr>
      </w:pPr>
      <w:r w:rsidRPr="006B1EB1">
        <w:lastRenderedPageBreak/>
        <w:t>The Industrial Production Index</w:t>
      </w:r>
      <w:r w:rsidRPr="006B1EB1">
        <w:rPr>
          <w:rStyle w:val="FootnoteReference"/>
        </w:rPr>
        <w:footnoteReference w:id="8"/>
      </w:r>
      <w:r w:rsidRPr="006B1EB1">
        <w:t xml:space="preserve"> is an economic indicator that measures real output for all facilities located in the United States manufacturing, mining, and electric, and gas utilities. The index stood at 10</w:t>
      </w:r>
      <w:r w:rsidR="00EF14EE">
        <w:t>4.6</w:t>
      </w:r>
      <w:r w:rsidRPr="006B1EB1">
        <w:t xml:space="preserve"> at the end of </w:t>
      </w:r>
      <w:r w:rsidR="006B1EB1" w:rsidRPr="006B1EB1">
        <w:t xml:space="preserve">the </w:t>
      </w:r>
      <w:r w:rsidR="00EF14EE">
        <w:t>1</w:t>
      </w:r>
      <w:r w:rsidR="00EF14EE" w:rsidRPr="00EF14EE">
        <w:rPr>
          <w:vertAlign w:val="superscript"/>
        </w:rPr>
        <w:t>st</w:t>
      </w:r>
      <w:r w:rsidR="00EF14EE">
        <w:t xml:space="preserve"> </w:t>
      </w:r>
      <w:r w:rsidR="006B1EB1" w:rsidRPr="006B1EB1">
        <w:t>quarter</w:t>
      </w:r>
      <w:r w:rsidRPr="006B1EB1">
        <w:t xml:space="preserve">, </w:t>
      </w:r>
      <w:r w:rsidR="00967B10">
        <w:t xml:space="preserve">up </w:t>
      </w:r>
      <w:r w:rsidR="00EF14EE">
        <w:t>2.</w:t>
      </w:r>
      <w:r w:rsidR="00CB5D37">
        <w:t>9</w:t>
      </w:r>
      <w:r w:rsidRPr="006B1EB1">
        <w:t xml:space="preserve">% </w:t>
      </w:r>
      <w:r w:rsidR="00EF14EE">
        <w:t>from</w:t>
      </w:r>
      <w:r w:rsidR="006B1EB1" w:rsidRPr="006B1EB1">
        <w:t xml:space="preserve"> the previous quarter</w:t>
      </w:r>
      <w:r w:rsidRPr="006B1EB1">
        <w:t>.</w:t>
      </w:r>
    </w:p>
    <w:p w14:paraId="149D5F1F" w14:textId="44585CEB" w:rsidR="00172307" w:rsidRPr="006B166E" w:rsidRDefault="00CC1966" w:rsidP="00BA7A2C">
      <w:pPr>
        <w:jc w:val="center"/>
        <w:rPr>
          <w:highlight w:val="yellow"/>
        </w:rPr>
      </w:pPr>
      <w:r w:rsidRPr="0005394D">
        <w:rPr>
          <w:noProof/>
        </w:rPr>
        <w:drawing>
          <wp:inline distT="0" distB="0" distL="0" distR="0" wp14:anchorId="52AA12DD" wp14:editId="1B55C44C">
            <wp:extent cx="3816350" cy="26460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8C44B" w14:textId="5FD116C5" w:rsidR="007A05AD" w:rsidRPr="006B1EB1" w:rsidRDefault="007A05AD" w:rsidP="007A05AD">
      <w:r w:rsidRPr="006B1EB1">
        <w:t>The Capacity Utilization Index</w:t>
      </w:r>
      <w:r w:rsidRPr="006B1EB1">
        <w:rPr>
          <w:rStyle w:val="FootnoteReference"/>
        </w:rPr>
        <w:footnoteReference w:id="9"/>
      </w:r>
      <w:r w:rsidRPr="006B1EB1">
        <w:t>, which attempts to capture industrial output as a percentage of the economy’s maximum production capacity, increased to 7</w:t>
      </w:r>
      <w:r w:rsidR="00953DF2">
        <w:t>9.0</w:t>
      </w:r>
      <w:r w:rsidRPr="006B1EB1">
        <w:t>%</w:t>
      </w:r>
      <w:r w:rsidR="00137248">
        <w:t xml:space="preserve"> during the </w:t>
      </w:r>
      <w:r w:rsidR="00953DF2">
        <w:t>1</w:t>
      </w:r>
      <w:r w:rsidR="00953DF2" w:rsidRPr="00953DF2">
        <w:rPr>
          <w:vertAlign w:val="superscript"/>
        </w:rPr>
        <w:t>st</w:t>
      </w:r>
      <w:r w:rsidR="00137248">
        <w:t xml:space="preserve"> quarter</w:t>
      </w:r>
      <w:r w:rsidR="00953DF2">
        <w:t xml:space="preserve"> of 2022, its highest level since July 2007</w:t>
      </w:r>
      <w:r w:rsidRPr="006B1EB1">
        <w:t xml:space="preserve">. </w:t>
      </w:r>
      <w:r w:rsidR="00273DCA">
        <w:t>March 2022’s level was above the</w:t>
      </w:r>
      <w:r w:rsidRPr="006B1EB1">
        <w:t xml:space="preserve"> </w:t>
      </w:r>
      <w:r w:rsidR="00953DF2">
        <w:t>30-year average</w:t>
      </w:r>
      <w:r w:rsidR="00273DCA" w:rsidRPr="00273DCA">
        <w:t xml:space="preserve"> </w:t>
      </w:r>
      <w:r w:rsidR="00273DCA">
        <w:t>of</w:t>
      </w:r>
      <w:r w:rsidR="00273DCA" w:rsidRPr="006B1EB1">
        <w:t xml:space="preserve"> 7</w:t>
      </w:r>
      <w:r w:rsidR="00273DCA">
        <w:t>6</w:t>
      </w:r>
      <w:r w:rsidR="00273DCA" w:rsidRPr="006B1EB1">
        <w:t>.</w:t>
      </w:r>
      <w:r w:rsidR="00CB5D37">
        <w:t>7</w:t>
      </w:r>
      <w:r w:rsidR="00273DCA" w:rsidRPr="006B1EB1">
        <w:t>%</w:t>
      </w:r>
      <w:r w:rsidRPr="006B1EB1">
        <w:t xml:space="preserve"> for th</w:t>
      </w:r>
      <w:r w:rsidR="00273DCA">
        <w:t>is</w:t>
      </w:r>
      <w:r w:rsidRPr="006B1EB1">
        <w:t xml:space="preserve"> metric.</w:t>
      </w:r>
    </w:p>
    <w:p w14:paraId="2B52197D" w14:textId="176AA549" w:rsidR="007A05AD" w:rsidRDefault="00CC1966" w:rsidP="00BA7A2C">
      <w:pPr>
        <w:jc w:val="center"/>
      </w:pPr>
      <w:r>
        <w:rPr>
          <w:noProof/>
        </w:rPr>
        <w:drawing>
          <wp:inline distT="0" distB="0" distL="0" distR="0" wp14:anchorId="22A4734A" wp14:editId="73C63EF8">
            <wp:extent cx="3816350" cy="26460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0" w14:textId="72147876" w:rsidR="00005111" w:rsidRPr="005261C1" w:rsidRDefault="00005111" w:rsidP="005261C1">
      <w:pPr>
        <w:pStyle w:val="Heading1"/>
      </w:pPr>
      <w:r w:rsidRPr="005261C1">
        <w:lastRenderedPageBreak/>
        <w:t>Interest Rates</w:t>
      </w:r>
    </w:p>
    <w:p w14:paraId="472CBB47" w14:textId="5E685E48" w:rsidR="00A96A6A" w:rsidRPr="003F4CDB" w:rsidRDefault="004005A4" w:rsidP="00952E0A">
      <w:pPr>
        <w:rPr>
          <w:color w:val="000000" w:themeColor="text1"/>
        </w:rPr>
      </w:pPr>
      <w:r>
        <w:t>T</w:t>
      </w:r>
      <w:r w:rsidR="00231BB2" w:rsidRPr="003F4CDB">
        <w:t xml:space="preserve">he effective </w:t>
      </w:r>
      <w:r w:rsidR="00814E45" w:rsidRPr="003F4CDB">
        <w:t>federal f</w:t>
      </w:r>
      <w:r w:rsidR="00231BB2" w:rsidRPr="003F4CDB">
        <w:t>unds rate</w:t>
      </w:r>
      <w:r w:rsidR="00814E45" w:rsidRPr="003F4CDB">
        <w:rPr>
          <w:rStyle w:val="FootnoteReference"/>
        </w:rPr>
        <w:footnoteReference w:id="10"/>
      </w:r>
      <w:r w:rsidR="00231BB2" w:rsidRPr="003F4CDB">
        <w:t xml:space="preserve"> </w:t>
      </w:r>
      <w:r w:rsidR="00B377D4">
        <w:t>rose during the 1</w:t>
      </w:r>
      <w:r w:rsidR="00B377D4" w:rsidRPr="00B377D4">
        <w:rPr>
          <w:vertAlign w:val="superscript"/>
        </w:rPr>
        <w:t>st</w:t>
      </w:r>
      <w:r w:rsidR="00B377D4">
        <w:t xml:space="preserve"> quarter after remaining near zero since April 2020</w:t>
      </w:r>
      <w:r w:rsidR="00814E45" w:rsidRPr="003F4CDB">
        <w:t xml:space="preserve">. </w:t>
      </w:r>
      <w:r w:rsidR="00A14458">
        <w:t>S</w:t>
      </w:r>
      <w:r w:rsidR="00231BB2" w:rsidRPr="003F4CDB">
        <w:t>hort-term</w:t>
      </w:r>
      <w:r w:rsidR="00A14458">
        <w:t xml:space="preserve"> </w:t>
      </w:r>
      <w:r w:rsidR="00231BB2" w:rsidRPr="003F4CDB">
        <w:t xml:space="preserve">treasury </w:t>
      </w:r>
      <w:r w:rsidR="003F4CDB">
        <w:t>bond yields</w:t>
      </w:r>
      <w:r w:rsidR="005A0EC4">
        <w:rPr>
          <w:rStyle w:val="FootnoteReference"/>
        </w:rPr>
        <w:footnoteReference w:id="11"/>
      </w:r>
      <w:r w:rsidR="00A73A66" w:rsidRPr="003F4CDB">
        <w:t xml:space="preserve"> </w:t>
      </w:r>
      <w:r w:rsidR="00A14458">
        <w:t>rose accordingly during the 1</w:t>
      </w:r>
      <w:r w:rsidR="00A14458" w:rsidRPr="00A14458">
        <w:rPr>
          <w:vertAlign w:val="superscript"/>
        </w:rPr>
        <w:t>st</w:t>
      </w:r>
      <w:r w:rsidR="00A14458">
        <w:t xml:space="preserve"> quarter. Long-term treasury yields </w:t>
      </w:r>
      <w:r w:rsidR="00376778">
        <w:t>rose to a lesser degree, resulting in a flatter-than-usual yield curve</w:t>
      </w:r>
      <w:r w:rsidR="00231BB2" w:rsidRPr="003F4CDB">
        <w:t>.</w:t>
      </w:r>
      <w:r w:rsidR="0092287E" w:rsidRPr="003F4CDB">
        <w:t xml:space="preserve"> </w:t>
      </w:r>
      <w:r w:rsidR="00376778">
        <w:t>The two- and ten-year rates inverted briefly at the end of March 2022</w:t>
      </w:r>
      <w:r w:rsidR="005E1BD2">
        <w:t xml:space="preserve">, yet the ten-year rate quickly overtook the two-year rate again. </w:t>
      </w:r>
      <w:r w:rsidR="003F4CDB" w:rsidRPr="003F4CDB">
        <w:t>The</w:t>
      </w:r>
      <w:r w:rsidR="008844A2" w:rsidRPr="003F4CDB">
        <w:t xml:space="preserve"> 1</w:t>
      </w:r>
      <w:r w:rsidR="005E7A94" w:rsidRPr="003F4CDB">
        <w:t xml:space="preserve">-year and 2-year annual treasury yields </w:t>
      </w:r>
      <w:r w:rsidR="00B65667" w:rsidRPr="003F4CDB">
        <w:t xml:space="preserve">ended the </w:t>
      </w:r>
      <w:r w:rsidR="00A14458">
        <w:t>1</w:t>
      </w:r>
      <w:r w:rsidR="00A14458" w:rsidRPr="00A14458">
        <w:rPr>
          <w:vertAlign w:val="superscript"/>
        </w:rPr>
        <w:t>st</w:t>
      </w:r>
      <w:r w:rsidR="00A14458">
        <w:t xml:space="preserve"> </w:t>
      </w:r>
      <w:r w:rsidR="00B65667" w:rsidRPr="003F4CDB">
        <w:t>quarter</w:t>
      </w:r>
      <w:r w:rsidR="005E7A94" w:rsidRPr="003F4CDB">
        <w:t xml:space="preserve"> at </w:t>
      </w:r>
      <w:r w:rsidR="00A14458">
        <w:t>1.63</w:t>
      </w:r>
      <w:r w:rsidR="005E7A94" w:rsidRPr="003F4CDB">
        <w:t>%</w:t>
      </w:r>
      <w:r w:rsidR="008844A2" w:rsidRPr="003F4CDB">
        <w:t xml:space="preserve"> and </w:t>
      </w:r>
      <w:r w:rsidR="00A14458">
        <w:t>2.28</w:t>
      </w:r>
      <w:r w:rsidR="006E6EAA" w:rsidRPr="003F4CDB">
        <w:t>%, respectively</w:t>
      </w:r>
      <w:r w:rsidR="005E7A94" w:rsidRPr="003F4CDB">
        <w:t>.</w:t>
      </w:r>
      <w:r w:rsidR="00231BB2" w:rsidRPr="003F4CDB">
        <w:t xml:space="preserve"> The </w:t>
      </w:r>
      <w:r w:rsidR="005E7A94" w:rsidRPr="003F4CDB">
        <w:t xml:space="preserve">benchmark </w:t>
      </w:r>
      <w:r w:rsidR="00022BB4" w:rsidRPr="003F4CDB">
        <w:t>1</w:t>
      </w:r>
      <w:r w:rsidR="0061080D" w:rsidRPr="003F4CDB">
        <w:t xml:space="preserve">0-year treasury </w:t>
      </w:r>
      <w:r w:rsidR="005E7A94" w:rsidRPr="003F4CDB">
        <w:t>yielded</w:t>
      </w:r>
      <w:r w:rsidR="0061080D" w:rsidRPr="003F4CDB">
        <w:t xml:space="preserve"> </w:t>
      </w:r>
      <w:r w:rsidR="00A14458">
        <w:t>2.32</w:t>
      </w:r>
      <w:r w:rsidR="0061080D" w:rsidRPr="003F4CDB">
        <w:t>%</w:t>
      </w:r>
      <w:r w:rsidR="005E7A94" w:rsidRPr="003F4CDB">
        <w:t xml:space="preserve"> at the</w:t>
      </w:r>
      <w:r w:rsidR="00B65667" w:rsidRPr="003F4CDB">
        <w:t xml:space="preserve"> end of </w:t>
      </w:r>
      <w:r w:rsidR="008844A2" w:rsidRPr="003F4CDB">
        <w:t>the quarter</w:t>
      </w:r>
      <w:r w:rsidR="005E7A94" w:rsidRPr="003F4CDB">
        <w:t xml:space="preserve">, while </w:t>
      </w:r>
      <w:r w:rsidR="00D851AB" w:rsidRPr="003F4CDB">
        <w:t xml:space="preserve">the </w:t>
      </w:r>
      <w:r w:rsidR="00022BB4" w:rsidRPr="003F4CDB">
        <w:t>3</w:t>
      </w:r>
      <w:r w:rsidR="00D851AB" w:rsidRPr="003F4CDB">
        <w:t xml:space="preserve">0-year treasury </w:t>
      </w:r>
      <w:r w:rsidR="00B65667" w:rsidRPr="003F4CDB">
        <w:t>yielded</w:t>
      </w:r>
      <w:r w:rsidR="00D851AB" w:rsidRPr="003F4CDB">
        <w:t xml:space="preserve"> </w:t>
      </w:r>
      <w:r w:rsidR="00A14458">
        <w:t>2.44</w:t>
      </w:r>
      <w:r w:rsidR="00D851AB" w:rsidRPr="003F4CDB">
        <w:t>%</w:t>
      </w:r>
      <w:r w:rsidR="00AE64EF" w:rsidRPr="003F4CDB">
        <w:rPr>
          <w:color w:val="000000" w:themeColor="text1"/>
        </w:rPr>
        <w:t>.</w:t>
      </w:r>
      <w:r w:rsidR="002301AB" w:rsidRPr="003F4CDB">
        <w:rPr>
          <w:color w:val="000000" w:themeColor="text1"/>
        </w:rPr>
        <w:t xml:space="preserve"> See </w:t>
      </w:r>
      <w:r w:rsidR="002301AB" w:rsidRPr="003F4CDB">
        <w:rPr>
          <w:i/>
          <w:iCs/>
          <w:color w:val="000000" w:themeColor="text1"/>
        </w:rPr>
        <w:t>Appendix – Selected Interest Rates</w:t>
      </w:r>
      <w:r w:rsidR="002301AB" w:rsidRPr="003F4CDB">
        <w:rPr>
          <w:color w:val="000000" w:themeColor="text1"/>
        </w:rPr>
        <w:t xml:space="preserve"> for detailed interest rate data. </w:t>
      </w:r>
    </w:p>
    <w:p w14:paraId="0614E8BB" w14:textId="32BB81C4" w:rsidR="004D1C9D" w:rsidRPr="004B5284" w:rsidRDefault="00CC1966" w:rsidP="005117CA">
      <w:pPr>
        <w:jc w:val="center"/>
      </w:pPr>
      <w:r>
        <w:rPr>
          <w:noProof/>
        </w:rPr>
        <w:drawing>
          <wp:inline distT="0" distB="0" distL="0" distR="0" wp14:anchorId="69E461FC" wp14:editId="5CB54F99">
            <wp:extent cx="3493135" cy="26644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CA932" w14:textId="10F2FC5E" w:rsidR="00B00681" w:rsidRPr="004B5284" w:rsidRDefault="00171C8E" w:rsidP="00005111">
      <w:r w:rsidRPr="004B5284">
        <w:t xml:space="preserve">In </w:t>
      </w:r>
      <w:r w:rsidR="00B34926" w:rsidRPr="004B5284">
        <w:t xml:space="preserve">the </w:t>
      </w:r>
      <w:r w:rsidR="005E1BD2">
        <w:t>1</w:t>
      </w:r>
      <w:r w:rsidR="005E1BD2" w:rsidRPr="005E1BD2">
        <w:rPr>
          <w:vertAlign w:val="superscript"/>
        </w:rPr>
        <w:t>st</w:t>
      </w:r>
      <w:r w:rsidR="005E1BD2">
        <w:t xml:space="preserve"> </w:t>
      </w:r>
      <w:r w:rsidR="00B34926" w:rsidRPr="004B5284">
        <w:t>quarter of 202</w:t>
      </w:r>
      <w:r w:rsidR="005E1BD2">
        <w:t>2</w:t>
      </w:r>
      <w:r w:rsidR="00FE4D42" w:rsidRPr="004B5284">
        <w:t>,</w:t>
      </w:r>
      <w:r w:rsidRPr="004B5284">
        <w:t xml:space="preserve"> the Federal Reserve </w:t>
      </w:r>
      <w:r w:rsidR="005E1BD2">
        <w:t>enacted the first</w:t>
      </w:r>
      <w:r w:rsidR="00D851AB" w:rsidRPr="004B5284">
        <w:t xml:space="preserve"> federal funds target rate</w:t>
      </w:r>
      <w:r w:rsidR="00740863" w:rsidRPr="004B5284">
        <w:t xml:space="preserve"> </w:t>
      </w:r>
      <w:r w:rsidR="005E1BD2">
        <w:t>hike since December 2018, an increase of 25 basis points</w:t>
      </w:r>
      <w:r w:rsidR="00B34926" w:rsidRPr="004B5284">
        <w:t xml:space="preserve"> </w:t>
      </w:r>
      <w:r w:rsidR="005E1BD2">
        <w:t>to</w:t>
      </w:r>
      <w:r w:rsidR="004709B0" w:rsidRPr="004B5284">
        <w:t xml:space="preserve"> </w:t>
      </w:r>
      <w:r w:rsidR="00624AEF" w:rsidRPr="004B5284">
        <w:t xml:space="preserve">a range of </w:t>
      </w:r>
      <w:r w:rsidR="00B65667" w:rsidRPr="004B5284">
        <w:t>0.</w:t>
      </w:r>
      <w:r w:rsidR="005E1BD2">
        <w:t>25</w:t>
      </w:r>
      <w:r w:rsidR="00455D78">
        <w:t>%</w:t>
      </w:r>
      <w:r w:rsidR="00624AEF" w:rsidRPr="004B5284">
        <w:t xml:space="preserve"> to </w:t>
      </w:r>
      <w:r w:rsidR="00B65667" w:rsidRPr="004B5284">
        <w:t>0.</w:t>
      </w:r>
      <w:r w:rsidR="005E7A94" w:rsidRPr="004B5284">
        <w:t>5</w:t>
      </w:r>
      <w:r w:rsidR="005E1BD2">
        <w:t>0</w:t>
      </w:r>
      <w:r w:rsidR="00455D78">
        <w:t>%.</w:t>
      </w:r>
      <w:r w:rsidR="000B0583" w:rsidRPr="004B5284">
        <w:t xml:space="preserve"> </w:t>
      </w:r>
      <w:r w:rsidR="00C5430F">
        <w:t>The committee signaled an intention to continue raisi</w:t>
      </w:r>
      <w:r w:rsidR="00A54ACF">
        <w:t>n</w:t>
      </w:r>
      <w:r w:rsidR="00C5430F">
        <w:t xml:space="preserve">g target rates at each of the six remaining meetings in 2022. </w:t>
      </w:r>
      <w:r w:rsidR="003F5061" w:rsidRPr="00A54ACF">
        <w:t>The effective federal funds rate</w:t>
      </w:r>
      <w:r w:rsidR="003F5061" w:rsidRPr="00A54ACF">
        <w:rPr>
          <w:rStyle w:val="FootnoteReference"/>
        </w:rPr>
        <w:footnoteReference w:id="12"/>
      </w:r>
      <w:r w:rsidR="003F5061" w:rsidRPr="00A54ACF">
        <w:t xml:space="preserve"> </w:t>
      </w:r>
      <w:r w:rsidR="005E1BD2" w:rsidRPr="00A54ACF">
        <w:t>rose to 0.2</w:t>
      </w:r>
      <w:r w:rsidR="00795053">
        <w:t>0</w:t>
      </w:r>
      <w:r w:rsidR="00455D78" w:rsidRPr="00A54ACF">
        <w:t>%</w:t>
      </w:r>
      <w:r w:rsidR="005E1BD2" w:rsidRPr="00A54ACF">
        <w:t xml:space="preserve"> in March</w:t>
      </w:r>
      <w:r w:rsidR="00A73A66" w:rsidRPr="00A54ACF">
        <w:t>.</w:t>
      </w:r>
      <w:r w:rsidR="00A73A66" w:rsidRPr="004B5284">
        <w:t xml:space="preserve"> </w:t>
      </w:r>
    </w:p>
    <w:p w14:paraId="515AD2F7" w14:textId="59427694" w:rsidR="004D1C9D" w:rsidRPr="00D62169" w:rsidRDefault="0022724A" w:rsidP="00166C08">
      <w:pPr>
        <w:jc w:val="center"/>
        <w:rPr>
          <w:highlight w:val="yellow"/>
        </w:rPr>
      </w:pPr>
      <w:r w:rsidRPr="0022724A">
        <w:rPr>
          <w:noProof/>
        </w:rPr>
        <w:lastRenderedPageBreak/>
        <w:drawing>
          <wp:inline distT="0" distB="0" distL="0" distR="0" wp14:anchorId="7024C4A2" wp14:editId="46C045CC">
            <wp:extent cx="3493135" cy="26035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26DBE" w14:textId="191ECBB5" w:rsidR="004D1C9D" w:rsidRPr="004B5284" w:rsidRDefault="005117CA" w:rsidP="005261C1">
      <w:r w:rsidRPr="004B5284">
        <w:t>T</w:t>
      </w:r>
      <w:r w:rsidR="002978F9" w:rsidRPr="004B5284">
        <w:t xml:space="preserve">he yield on the </w:t>
      </w:r>
      <w:r w:rsidR="0039196F" w:rsidRPr="004B5284">
        <w:t xml:space="preserve">benchmark </w:t>
      </w:r>
      <w:r w:rsidR="002978F9" w:rsidRPr="004B5284">
        <w:t>10-year U.S. treasury</w:t>
      </w:r>
      <w:r w:rsidR="004759DB" w:rsidRPr="004B5284">
        <w:rPr>
          <w:rStyle w:val="FootnoteReference"/>
        </w:rPr>
        <w:footnoteReference w:id="13"/>
      </w:r>
      <w:r w:rsidR="002978F9" w:rsidRPr="004B5284">
        <w:t xml:space="preserve"> </w:t>
      </w:r>
      <w:r w:rsidR="00455D78">
        <w:t xml:space="preserve">ended the </w:t>
      </w:r>
      <w:r w:rsidR="00C5430F">
        <w:t>1</w:t>
      </w:r>
      <w:r w:rsidR="00C5430F" w:rsidRPr="00C5430F">
        <w:rPr>
          <w:vertAlign w:val="superscript"/>
        </w:rPr>
        <w:t>st</w:t>
      </w:r>
      <w:r w:rsidR="00C5430F">
        <w:t xml:space="preserve"> </w:t>
      </w:r>
      <w:r w:rsidRPr="004B5284">
        <w:t>quarter</w:t>
      </w:r>
      <w:r w:rsidR="00A73A66" w:rsidRPr="004B5284">
        <w:t xml:space="preserve"> </w:t>
      </w:r>
      <w:r w:rsidR="00455D78">
        <w:t>at</w:t>
      </w:r>
      <w:r w:rsidR="00A73A66" w:rsidRPr="004B5284">
        <w:t xml:space="preserve"> </w:t>
      </w:r>
      <w:r w:rsidR="00C5430F">
        <w:t>2.32</w:t>
      </w:r>
      <w:r w:rsidR="00A73A66" w:rsidRPr="004B5284">
        <w:t xml:space="preserve">%, </w:t>
      </w:r>
      <w:r w:rsidR="00C5430F">
        <w:t>up 0.8 percentage points</w:t>
      </w:r>
      <w:r w:rsidR="00455D78">
        <w:t xml:space="preserve"> from the previous quarter, but </w:t>
      </w:r>
      <w:r w:rsidR="004B3D9F">
        <w:t xml:space="preserve">still </w:t>
      </w:r>
      <w:r w:rsidR="00D22D6A" w:rsidRPr="004B5284">
        <w:t xml:space="preserve">well </w:t>
      </w:r>
      <w:r w:rsidR="00071875" w:rsidRPr="004B5284">
        <w:t xml:space="preserve">below the average yield of </w:t>
      </w:r>
      <w:r w:rsidR="006B19C3">
        <w:t>4.01</w:t>
      </w:r>
      <w:r w:rsidR="004965CE" w:rsidRPr="004B5284">
        <w:t>% over the last 30 years</w:t>
      </w:r>
      <w:r w:rsidR="00CB629F" w:rsidRPr="004B5284">
        <w:t>.</w:t>
      </w:r>
      <w:r w:rsidR="00A73A66" w:rsidRPr="004B5284">
        <w:t xml:space="preserve"> </w:t>
      </w:r>
    </w:p>
    <w:p w14:paraId="67433862" w14:textId="425FE561" w:rsidR="004D1C9D" w:rsidRPr="004B5284" w:rsidRDefault="0022724A" w:rsidP="005117CA">
      <w:pPr>
        <w:jc w:val="center"/>
      </w:pPr>
      <w:r>
        <w:rPr>
          <w:noProof/>
        </w:rPr>
        <w:drawing>
          <wp:inline distT="0" distB="0" distL="0" distR="0" wp14:anchorId="4E09E31C" wp14:editId="21D6A40A">
            <wp:extent cx="3499485" cy="2603500"/>
            <wp:effectExtent l="0" t="0" r="571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1124" w14:textId="203C1D3E" w:rsidR="001945EC" w:rsidRDefault="00F02B3A" w:rsidP="00460436">
      <w:r w:rsidRPr="001945EC">
        <w:t>Moody’s Baa Corpor</w:t>
      </w:r>
      <w:r w:rsidR="00102080" w:rsidRPr="001945EC">
        <w:t xml:space="preserve">ate Bond Yield </w:t>
      </w:r>
      <w:r w:rsidR="004E3393" w:rsidRPr="001945EC">
        <w:t>Index</w:t>
      </w:r>
      <w:r w:rsidR="004E5EC0" w:rsidRPr="001945EC">
        <w:rPr>
          <w:rStyle w:val="FootnoteReference"/>
        </w:rPr>
        <w:footnoteReference w:id="14"/>
      </w:r>
      <w:r w:rsidR="004E3393" w:rsidRPr="001945EC">
        <w:t xml:space="preserve"> </w:t>
      </w:r>
      <w:r w:rsidR="009D42AA" w:rsidRPr="001945EC">
        <w:t xml:space="preserve">ended the </w:t>
      </w:r>
      <w:r w:rsidR="00412C1A">
        <w:t>1</w:t>
      </w:r>
      <w:r w:rsidR="00412C1A" w:rsidRPr="00412C1A">
        <w:rPr>
          <w:vertAlign w:val="superscript"/>
        </w:rPr>
        <w:t>st</w:t>
      </w:r>
      <w:r w:rsidR="00455D78">
        <w:t xml:space="preserve"> </w:t>
      </w:r>
      <w:r w:rsidR="009D42AA" w:rsidRPr="001945EC">
        <w:t xml:space="preserve">quarter </w:t>
      </w:r>
      <w:r w:rsidR="00551CFE">
        <w:t xml:space="preserve">of 2022 </w:t>
      </w:r>
      <w:r w:rsidR="009D42AA" w:rsidRPr="001945EC">
        <w:t xml:space="preserve">at </w:t>
      </w:r>
      <w:r w:rsidR="00412C1A">
        <w:t>4.25</w:t>
      </w:r>
      <w:r w:rsidR="009D42AA" w:rsidRPr="00E73654">
        <w:t>%</w:t>
      </w:r>
      <w:r w:rsidR="00F72263" w:rsidRPr="00E73654">
        <w:t>,</w:t>
      </w:r>
      <w:r w:rsidR="009D42AA" w:rsidRPr="001945EC">
        <w:t xml:space="preserve"> </w:t>
      </w:r>
      <w:r w:rsidR="00412C1A">
        <w:t xml:space="preserve">up </w:t>
      </w:r>
      <w:r w:rsidR="00ED4F2C">
        <w:t>0.88</w:t>
      </w:r>
      <w:r w:rsidR="00412C1A">
        <w:t xml:space="preserve">% since the previous </w:t>
      </w:r>
      <w:r w:rsidR="009D42AA" w:rsidRPr="001945EC">
        <w:t>quarter</w:t>
      </w:r>
      <w:r w:rsidR="00823E2B" w:rsidRPr="001945EC">
        <w:t xml:space="preserve">. </w:t>
      </w:r>
      <w:r w:rsidR="00261A6E" w:rsidRPr="001945EC">
        <w:t xml:space="preserve">Moody’s </w:t>
      </w:r>
      <w:r w:rsidR="00536AD4">
        <w:t xml:space="preserve">less-risky </w:t>
      </w:r>
      <w:r w:rsidR="00261A6E" w:rsidRPr="001945EC">
        <w:t>Aaa</w:t>
      </w:r>
      <w:r w:rsidR="009D42AA" w:rsidRPr="001945EC">
        <w:rPr>
          <w:rStyle w:val="FootnoteReference"/>
        </w:rPr>
        <w:footnoteReference w:id="15"/>
      </w:r>
      <w:r w:rsidR="00261A6E" w:rsidRPr="001945EC">
        <w:t xml:space="preserve"> Index </w:t>
      </w:r>
      <w:r w:rsidR="00551CFE">
        <w:t xml:space="preserve">similarly rose </w:t>
      </w:r>
      <w:r w:rsidR="00ED4F2C">
        <w:t>0.67</w:t>
      </w:r>
      <w:r w:rsidR="00551CFE">
        <w:t>% during the quarter to a level of 3.38</w:t>
      </w:r>
      <w:r w:rsidR="00261A6E" w:rsidRPr="001945EC">
        <w:t>%.</w:t>
      </w:r>
    </w:p>
    <w:p w14:paraId="62B8B6AA" w14:textId="284DDBB6" w:rsidR="00A96A6A" w:rsidRDefault="009C53E4" w:rsidP="00460436">
      <w:r>
        <w:t xml:space="preserve">The upward pressure on corporate bond yields </w:t>
      </w:r>
      <w:r w:rsidR="00FB35E9">
        <w:t xml:space="preserve">came at least in part due to policy moves by the </w:t>
      </w:r>
      <w:r w:rsidR="00234E76" w:rsidRPr="00132201">
        <w:t>Fed</w:t>
      </w:r>
      <w:r w:rsidR="00234E76">
        <w:t>eral Reserve</w:t>
      </w:r>
      <w:r w:rsidR="00234E76" w:rsidRPr="00132201">
        <w:t xml:space="preserve"> </w:t>
      </w:r>
      <w:r w:rsidR="00FB35E9">
        <w:t xml:space="preserve">to cool searing inflation. </w:t>
      </w:r>
      <w:r w:rsidR="00FB35E9" w:rsidRPr="00132201">
        <w:t xml:space="preserve">The </w:t>
      </w:r>
      <w:r w:rsidR="00234E76">
        <w:t xml:space="preserve">Fed </w:t>
      </w:r>
      <w:r w:rsidR="00FB35E9">
        <w:t>followed through on promises to taper its</w:t>
      </w:r>
      <w:r w:rsidR="00FB35E9" w:rsidRPr="00132201">
        <w:t xml:space="preserve"> </w:t>
      </w:r>
      <w:r w:rsidR="00FB35E9">
        <w:lastRenderedPageBreak/>
        <w:t>pandemic-era quantitative easing program</w:t>
      </w:r>
      <w:r w:rsidR="00536AD4">
        <w:t xml:space="preserve"> </w:t>
      </w:r>
      <w:r w:rsidR="00FB35E9">
        <w:t xml:space="preserve">during the </w:t>
      </w:r>
      <w:r w:rsidR="00735CBB">
        <w:t>1</w:t>
      </w:r>
      <w:r w:rsidR="00735CBB" w:rsidRPr="00735CBB">
        <w:rPr>
          <w:vertAlign w:val="superscript"/>
        </w:rPr>
        <w:t>st</w:t>
      </w:r>
      <w:r w:rsidR="00FB35E9">
        <w:t xml:space="preserve"> quarter of 2022. </w:t>
      </w:r>
      <w:r w:rsidR="00536AD4">
        <w:t>The multi-billion</w:t>
      </w:r>
      <w:r w:rsidR="00735CBB">
        <w:t>-</w:t>
      </w:r>
      <w:r w:rsidR="00536AD4">
        <w:t xml:space="preserve">dollar bond buying program had </w:t>
      </w:r>
      <w:r w:rsidR="00536AD4" w:rsidRPr="001945EC">
        <w:t>effectively backstopp</w:t>
      </w:r>
      <w:r w:rsidR="00536AD4">
        <w:t>ed</w:t>
      </w:r>
      <w:r w:rsidR="00536AD4" w:rsidRPr="001945EC">
        <w:t xml:space="preserve"> the corporate bond market</w:t>
      </w:r>
      <w:r w:rsidR="00536AD4">
        <w:t xml:space="preserve"> since March of 2020</w:t>
      </w:r>
      <w:r w:rsidR="00234E76">
        <w:t>—s</w:t>
      </w:r>
      <w:r w:rsidR="00536AD4" w:rsidRPr="001945EC">
        <w:t xml:space="preserve">hortly after </w:t>
      </w:r>
      <w:r w:rsidR="00234E76">
        <w:t>the program</w:t>
      </w:r>
      <w:r w:rsidR="00536AD4">
        <w:t xml:space="preserve"> began</w:t>
      </w:r>
      <w:r w:rsidR="00536AD4" w:rsidRPr="001945EC">
        <w:t xml:space="preserve">, </w:t>
      </w:r>
      <w:r w:rsidR="00536AD4">
        <w:t xml:space="preserve">both </w:t>
      </w:r>
      <w:r w:rsidR="00536AD4" w:rsidRPr="001945EC">
        <w:t xml:space="preserve">the Baa </w:t>
      </w:r>
      <w:r w:rsidR="00536AD4">
        <w:t>and</w:t>
      </w:r>
      <w:r w:rsidR="00536AD4" w:rsidRPr="001945EC">
        <w:t xml:space="preserve"> Aaa markets</w:t>
      </w:r>
      <w:r w:rsidR="00735CBB">
        <w:t xml:space="preserve"> reversed the spikes brought on by the initial pandemic anxiety</w:t>
      </w:r>
      <w:r w:rsidR="00536AD4" w:rsidRPr="001945EC">
        <w:t xml:space="preserve">. </w:t>
      </w:r>
      <w:r w:rsidR="00735CBB">
        <w:t>In March, the Fed indicated</w:t>
      </w:r>
      <w:r w:rsidR="00FB35E9">
        <w:t xml:space="preserve"> </w:t>
      </w:r>
      <w:r w:rsidR="00735CBB">
        <w:t xml:space="preserve">that </w:t>
      </w:r>
      <w:r w:rsidR="00ED4F2C">
        <w:t xml:space="preserve">sales </w:t>
      </w:r>
      <w:r w:rsidR="00FB35E9">
        <w:t xml:space="preserve">of its </w:t>
      </w:r>
      <w:r w:rsidR="00ED4F2C">
        <w:t xml:space="preserve">bond </w:t>
      </w:r>
      <w:r w:rsidR="00FB35E9">
        <w:t>holdings could begin in the 2</w:t>
      </w:r>
      <w:r w:rsidR="00FB35E9" w:rsidRPr="009C53E4">
        <w:rPr>
          <w:vertAlign w:val="superscript"/>
        </w:rPr>
        <w:t>nd</w:t>
      </w:r>
      <w:r w:rsidR="00FB35E9">
        <w:t xml:space="preserve"> quarter</w:t>
      </w:r>
      <w:r w:rsidR="00735CBB">
        <w:t xml:space="preserve"> of 2022</w:t>
      </w:r>
      <w:r w:rsidR="00FB35E9" w:rsidRPr="00132201">
        <w:t>.</w:t>
      </w:r>
      <w:r w:rsidR="00FB35E9">
        <w:t xml:space="preserve"> </w:t>
      </w:r>
    </w:p>
    <w:p w14:paraId="7CE57D35" w14:textId="6A77B1A8" w:rsidR="005117CA" w:rsidRDefault="0022724A" w:rsidP="005117CA">
      <w:pPr>
        <w:jc w:val="center"/>
      </w:pPr>
      <w:r>
        <w:rPr>
          <w:noProof/>
        </w:rPr>
        <w:drawing>
          <wp:inline distT="0" distB="0" distL="0" distR="0" wp14:anchorId="161C9124" wp14:editId="60104018">
            <wp:extent cx="3493135" cy="26035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F" w14:textId="479C442E" w:rsidR="00005111" w:rsidRDefault="00005111" w:rsidP="005261C1">
      <w:pPr>
        <w:pStyle w:val="Heading1"/>
      </w:pPr>
      <w:r>
        <w:t>Employment</w:t>
      </w:r>
    </w:p>
    <w:p w14:paraId="6A12E6BF" w14:textId="20BAEB70" w:rsidR="003412DA" w:rsidRDefault="003412DA" w:rsidP="003412DA">
      <w:r w:rsidRPr="003412DA">
        <w:t>The official unemployment rate</w:t>
      </w:r>
      <w:r w:rsidR="009D7CB0">
        <w:rPr>
          <w:rStyle w:val="FootnoteReference"/>
        </w:rPr>
        <w:footnoteReference w:id="16"/>
      </w:r>
      <w:r w:rsidRPr="003412DA">
        <w:t xml:space="preserve"> </w:t>
      </w:r>
      <w:r w:rsidR="00D62169">
        <w:t xml:space="preserve">fell to </w:t>
      </w:r>
      <w:r w:rsidR="00F34E7B">
        <w:t>3.</w:t>
      </w:r>
      <w:r w:rsidR="0004341A">
        <w:t>6</w:t>
      </w:r>
      <w:r w:rsidRPr="003412DA">
        <w:t>%</w:t>
      </w:r>
      <w:r w:rsidR="00D62169">
        <w:t xml:space="preserve"> in </w:t>
      </w:r>
      <w:r w:rsidR="0004341A">
        <w:t>March</w:t>
      </w:r>
      <w:r w:rsidR="00D62169">
        <w:t xml:space="preserve"> 202</w:t>
      </w:r>
      <w:r w:rsidR="0004341A">
        <w:t>2</w:t>
      </w:r>
      <w:r w:rsidR="006F1876">
        <w:t xml:space="preserve">, </w:t>
      </w:r>
      <w:r w:rsidR="0004341A">
        <w:t>inching nearer to</w:t>
      </w:r>
      <w:r w:rsidR="006F1876">
        <w:t xml:space="preserve"> </w:t>
      </w:r>
      <w:r w:rsidR="00A83C79">
        <w:t xml:space="preserve">its </w:t>
      </w:r>
      <w:r w:rsidR="006F1876">
        <w:t>pre-pandemic level and outperforming its 30-year average of 5.</w:t>
      </w:r>
      <w:r w:rsidR="0004341A">
        <w:t>8</w:t>
      </w:r>
      <w:r w:rsidR="006F1876">
        <w:t xml:space="preserve">%. </w:t>
      </w:r>
      <w:r w:rsidR="0004341A">
        <w:t>Additionally, the labor force</w:t>
      </w:r>
      <w:r w:rsidR="007B4191">
        <w:rPr>
          <w:rStyle w:val="FootnoteReference"/>
        </w:rPr>
        <w:footnoteReference w:id="17"/>
      </w:r>
      <w:r w:rsidR="0004341A">
        <w:t xml:space="preserve"> increased by </w:t>
      </w:r>
      <w:r w:rsidR="00831E7B">
        <w:t>2.1</w:t>
      </w:r>
      <w:r w:rsidR="0004341A">
        <w:t xml:space="preserve"> million workers during the 1</w:t>
      </w:r>
      <w:r w:rsidR="0004341A" w:rsidRPr="0004341A">
        <w:rPr>
          <w:vertAlign w:val="superscript"/>
        </w:rPr>
        <w:t>st</w:t>
      </w:r>
      <w:r w:rsidR="0004341A">
        <w:t xml:space="preserve"> quarter</w:t>
      </w:r>
      <w:r w:rsidR="00134DA5">
        <w:t>.</w:t>
      </w:r>
      <w:r w:rsidR="006859BA">
        <w:t xml:space="preserve"> </w:t>
      </w:r>
      <w:r w:rsidR="00134DA5">
        <w:t>T</w:t>
      </w:r>
      <w:r w:rsidR="0004341A">
        <w:t>he</w:t>
      </w:r>
      <w:r w:rsidR="006859BA">
        <w:t xml:space="preserve"> labor force participation rate</w:t>
      </w:r>
      <w:r w:rsidR="006859BA">
        <w:rPr>
          <w:rStyle w:val="FootnoteReference"/>
        </w:rPr>
        <w:footnoteReference w:id="18"/>
      </w:r>
      <w:r w:rsidR="006859BA">
        <w:t xml:space="preserve"> </w:t>
      </w:r>
      <w:r w:rsidR="00134DA5">
        <w:t>rose</w:t>
      </w:r>
      <w:r w:rsidR="0004341A">
        <w:t xml:space="preserve"> to 62.4</w:t>
      </w:r>
      <w:r w:rsidR="00A83C79">
        <w:t>%</w:t>
      </w:r>
      <w:r w:rsidR="00134DA5">
        <w:t xml:space="preserve">, climbing </w:t>
      </w:r>
      <w:r w:rsidR="00507645">
        <w:t>within 1.0 percentage point of</w:t>
      </w:r>
      <w:r w:rsidR="00134DA5">
        <w:t xml:space="preserve"> its pre-pandemic level</w:t>
      </w:r>
      <w:r w:rsidR="006859BA">
        <w:t xml:space="preserve">. </w:t>
      </w:r>
      <w:r w:rsidR="00D62169">
        <w:t>E</w:t>
      </w:r>
      <w:r w:rsidRPr="003412DA">
        <w:t xml:space="preserve">conomists </w:t>
      </w:r>
      <w:r w:rsidR="006859BA">
        <w:t>polled by</w:t>
      </w:r>
      <w:r w:rsidR="00D62169">
        <w:t xml:space="preserve"> </w:t>
      </w:r>
      <w:r w:rsidRPr="003412DA">
        <w:t>the Livingston Survey</w:t>
      </w:r>
      <w:r w:rsidR="00C7535D">
        <w:rPr>
          <w:rStyle w:val="FootnoteReference"/>
        </w:rPr>
        <w:footnoteReference w:id="19"/>
      </w:r>
      <w:r w:rsidRPr="003412DA">
        <w:t xml:space="preserve"> </w:t>
      </w:r>
      <w:r w:rsidR="00D62169">
        <w:t xml:space="preserve">in </w:t>
      </w:r>
      <w:r w:rsidR="006F1876">
        <w:t>December</w:t>
      </w:r>
      <w:r w:rsidR="00D62169">
        <w:t xml:space="preserve"> </w:t>
      </w:r>
      <w:r w:rsidR="00391D3A">
        <w:t xml:space="preserve">of 2021 had </w:t>
      </w:r>
      <w:r w:rsidR="00D62169">
        <w:t>projected</w:t>
      </w:r>
      <w:r w:rsidRPr="003412DA">
        <w:t xml:space="preserve"> </w:t>
      </w:r>
      <w:r w:rsidR="006F1876">
        <w:t>an unemployment rate of</w:t>
      </w:r>
      <w:r w:rsidRPr="003412DA">
        <w:t xml:space="preserve"> 4.</w:t>
      </w:r>
      <w:r w:rsidR="00134DA5">
        <w:t>0</w:t>
      </w:r>
      <w:r w:rsidRPr="003412DA">
        <w:t>%</w:t>
      </w:r>
      <w:r w:rsidR="00D62169">
        <w:t xml:space="preserve"> </w:t>
      </w:r>
      <w:r w:rsidR="006F1876">
        <w:t>in</w:t>
      </w:r>
      <w:r w:rsidR="00D62169">
        <w:t xml:space="preserve"> </w:t>
      </w:r>
      <w:r w:rsidR="00134DA5">
        <w:t>June 2022</w:t>
      </w:r>
      <w:r w:rsidR="006F1876">
        <w:t xml:space="preserve">, </w:t>
      </w:r>
      <w:r w:rsidR="00D62169">
        <w:t xml:space="preserve">declining to </w:t>
      </w:r>
      <w:r w:rsidR="006F1876">
        <w:t>3.8</w:t>
      </w:r>
      <w:r w:rsidRPr="003412DA">
        <w:t xml:space="preserve">% in </w:t>
      </w:r>
      <w:r w:rsidR="006F1876">
        <w:t>December</w:t>
      </w:r>
      <w:r w:rsidRPr="003412DA">
        <w:t xml:space="preserve"> of 202</w:t>
      </w:r>
      <w:r w:rsidR="00D62169">
        <w:t>2</w:t>
      </w:r>
      <w:r w:rsidRPr="003412DA">
        <w:t xml:space="preserve">. </w:t>
      </w:r>
    </w:p>
    <w:p w14:paraId="4B4FCC94" w14:textId="0D572CDE" w:rsidR="00D029B3" w:rsidRDefault="009E7A0A" w:rsidP="003412DA">
      <w:r>
        <w:t>In February 2022, n</w:t>
      </w:r>
      <w:r w:rsidR="00D029B3">
        <w:t>onfarm worker quits</w:t>
      </w:r>
      <w:r w:rsidR="00D029B3">
        <w:rPr>
          <w:rStyle w:val="FootnoteReference"/>
        </w:rPr>
        <w:footnoteReference w:id="20"/>
      </w:r>
      <w:r w:rsidR="00D029B3">
        <w:t xml:space="preserve"> </w:t>
      </w:r>
      <w:r w:rsidR="005505E0">
        <w:t xml:space="preserve">stood at 4.4 million, </w:t>
      </w:r>
      <w:r>
        <w:t xml:space="preserve">almost 0.2 million </w:t>
      </w:r>
      <w:r w:rsidR="005505E0">
        <w:t>lower than</w:t>
      </w:r>
      <w:r>
        <w:t xml:space="preserve"> their</w:t>
      </w:r>
      <w:r w:rsidR="00D029B3">
        <w:t xml:space="preserve"> </w:t>
      </w:r>
      <w:r w:rsidR="007A4A4B">
        <w:t xml:space="preserve">record high in </w:t>
      </w:r>
      <w:r w:rsidR="00D029B3">
        <w:t>November 2021</w:t>
      </w:r>
      <w:r>
        <w:t>, yet 0.8 million higher than their pre-pandemic level</w:t>
      </w:r>
      <w:r w:rsidR="00D029B3">
        <w:t xml:space="preserve">. The number of quits </w:t>
      </w:r>
      <w:r w:rsidR="005505E0">
        <w:t>rose 2.2</w:t>
      </w:r>
      <w:r w:rsidR="00D029B3">
        <w:t xml:space="preserve">% </w:t>
      </w:r>
      <w:r w:rsidR="005505E0">
        <w:t>over the month</w:t>
      </w:r>
      <w:r w:rsidR="00D029B3">
        <w:t xml:space="preserve"> and </w:t>
      </w:r>
      <w:r w:rsidR="005505E0">
        <w:t>26.5</w:t>
      </w:r>
      <w:r w:rsidR="00F361C0">
        <w:t xml:space="preserve">% </w:t>
      </w:r>
      <w:r w:rsidR="005505E0">
        <w:t>since</w:t>
      </w:r>
      <w:r w:rsidR="00F361C0">
        <w:t xml:space="preserve"> </w:t>
      </w:r>
      <w:r w:rsidR="005505E0">
        <w:t>February</w:t>
      </w:r>
      <w:r w:rsidR="00F361C0">
        <w:t xml:space="preserve"> 202</w:t>
      </w:r>
      <w:r w:rsidR="005505E0">
        <w:t>1</w:t>
      </w:r>
      <w:r w:rsidR="00F361C0">
        <w:t xml:space="preserve">. The </w:t>
      </w:r>
      <w:r w:rsidR="005505E0">
        <w:t>elevated</w:t>
      </w:r>
      <w:r w:rsidR="00F361C0">
        <w:t xml:space="preserve"> level of </w:t>
      </w:r>
      <w:r w:rsidR="005505E0">
        <w:t>quits, sometimes referred to as The Great Resignation,</w:t>
      </w:r>
      <w:r w:rsidR="00F361C0">
        <w:t xml:space="preserve"> has been attributed to disparate reasons, with burnout, anxiety, and dissatisfaction arising from the COVID-19 pandemic on the </w:t>
      </w:r>
      <w:r w:rsidR="00F361C0">
        <w:lastRenderedPageBreak/>
        <w:t>one hand, and increased opportunities on the other.</w:t>
      </w:r>
      <w:r w:rsidR="007A4A4B">
        <w:t xml:space="preserve"> Job openings</w:t>
      </w:r>
      <w:r w:rsidR="007A4A4B">
        <w:rPr>
          <w:rStyle w:val="FootnoteReference"/>
        </w:rPr>
        <w:footnoteReference w:id="21"/>
      </w:r>
      <w:r w:rsidR="007A4A4B">
        <w:t xml:space="preserve"> totaled 11.3 million in February 2022, 0.2 million below their record high in December 2021 and 2.6 times the number of resignations.</w:t>
      </w:r>
      <w:r w:rsidR="007A4A4B">
        <w:rPr>
          <w:rStyle w:val="CommentReference"/>
        </w:rPr>
        <w:t xml:space="preserve"> </w:t>
      </w:r>
    </w:p>
    <w:p w14:paraId="799A9D83" w14:textId="123C8FE7" w:rsidR="009526E8" w:rsidRDefault="0022724A" w:rsidP="009526E8">
      <w:pPr>
        <w:jc w:val="center"/>
      </w:pPr>
      <w:r>
        <w:rPr>
          <w:noProof/>
        </w:rPr>
        <w:drawing>
          <wp:inline distT="0" distB="0" distL="0" distR="0" wp14:anchorId="264CADF6" wp14:editId="5BACE0E5">
            <wp:extent cx="3493135" cy="26035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05F54" w14:textId="12F40235" w:rsidR="007A4896" w:rsidRDefault="007A4896" w:rsidP="007A4896">
      <w:r w:rsidRPr="003412DA">
        <w:t xml:space="preserve">The U-6 </w:t>
      </w:r>
      <w:r w:rsidR="00895002">
        <w:t xml:space="preserve">unemployment </w:t>
      </w:r>
      <w:r w:rsidRPr="003412DA">
        <w:t>rate</w:t>
      </w:r>
      <w:r w:rsidR="009D7CB0">
        <w:rPr>
          <w:rStyle w:val="FootnoteReference"/>
        </w:rPr>
        <w:footnoteReference w:id="22"/>
      </w:r>
      <w:r w:rsidRPr="003412DA">
        <w:t xml:space="preserve"> is an alternative measure of unemployment with a broader definition, </w:t>
      </w:r>
      <w:r w:rsidR="001F297B">
        <w:t>including such groups</w:t>
      </w:r>
      <w:r w:rsidRPr="003412DA">
        <w:t xml:space="preserve"> as discouraged workers who are not actively searching for jobs but want full-time work and part-time workers who want full-time work. The U</w:t>
      </w:r>
      <w:r w:rsidRPr="003412DA">
        <w:noBreakHyphen/>
        <w:t xml:space="preserve">6 </w:t>
      </w:r>
      <w:r w:rsidR="00895002">
        <w:t xml:space="preserve">unemployment </w:t>
      </w:r>
      <w:r w:rsidRPr="003412DA">
        <w:t>rate has generally followed the same pattern as the official rate</w:t>
      </w:r>
      <w:r w:rsidR="001F297B">
        <w:t xml:space="preserve">; it fell to </w:t>
      </w:r>
      <w:r w:rsidR="007A4A4B">
        <w:t>6.9</w:t>
      </w:r>
      <w:r w:rsidR="001F297B">
        <w:t xml:space="preserve">% in </w:t>
      </w:r>
      <w:r w:rsidR="007A4A4B">
        <w:t>March</w:t>
      </w:r>
      <w:r w:rsidR="001F297B">
        <w:t xml:space="preserve"> 202</w:t>
      </w:r>
      <w:r w:rsidR="007A4A4B">
        <w:t>2</w:t>
      </w:r>
      <w:r w:rsidR="001F297B">
        <w:t xml:space="preserve">, </w:t>
      </w:r>
      <w:r w:rsidR="0022416D">
        <w:t>reaching a level not seen since</w:t>
      </w:r>
      <w:r w:rsidR="001F297B">
        <w:t xml:space="preserve"> prior to the onset of the COVID-19 pandemic</w:t>
      </w:r>
      <w:r w:rsidRPr="003412DA">
        <w:t>.</w:t>
      </w:r>
    </w:p>
    <w:p w14:paraId="6B09010C" w14:textId="78F5AFCF" w:rsidR="007A4896" w:rsidRDefault="0022724A" w:rsidP="004846E4">
      <w:pPr>
        <w:jc w:val="center"/>
      </w:pPr>
      <w:r>
        <w:rPr>
          <w:noProof/>
        </w:rPr>
        <w:drawing>
          <wp:inline distT="0" distB="0" distL="0" distR="0" wp14:anchorId="4BF28FF0" wp14:editId="4D4C08AD">
            <wp:extent cx="3493135" cy="26035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58EAA" w14:textId="3688934C" w:rsidR="003412DA" w:rsidRPr="003412DA" w:rsidRDefault="009D7CB0" w:rsidP="003412DA">
      <w:r>
        <w:lastRenderedPageBreak/>
        <w:t>Nonfarm p</w:t>
      </w:r>
      <w:r w:rsidR="003412DA">
        <w:t>ayrolls</w:t>
      </w:r>
      <w:r>
        <w:rPr>
          <w:rStyle w:val="FootnoteReference"/>
        </w:rPr>
        <w:footnoteReference w:id="23"/>
      </w:r>
      <w:r w:rsidR="003412DA">
        <w:t xml:space="preserve"> grew by </w:t>
      </w:r>
      <w:r w:rsidR="0022416D">
        <w:t>1.7</w:t>
      </w:r>
      <w:r w:rsidR="003412DA">
        <w:t xml:space="preserve"> million jobs in </w:t>
      </w:r>
      <w:r w:rsidR="008A7107">
        <w:t xml:space="preserve">the </w:t>
      </w:r>
      <w:r w:rsidR="0022416D">
        <w:t>1</w:t>
      </w:r>
      <w:r w:rsidR="0022416D" w:rsidRPr="0022416D">
        <w:rPr>
          <w:vertAlign w:val="superscript"/>
        </w:rPr>
        <w:t>st</w:t>
      </w:r>
      <w:r w:rsidR="0022416D">
        <w:t xml:space="preserve"> </w:t>
      </w:r>
      <w:r w:rsidR="008A7107">
        <w:t xml:space="preserve">quarter. </w:t>
      </w:r>
      <w:r w:rsidR="00BD4FA3">
        <w:t>U.S.</w:t>
      </w:r>
      <w:r w:rsidR="008A7107">
        <w:t xml:space="preserve"> nonfarm payrolls </w:t>
      </w:r>
      <w:r w:rsidR="00F72263">
        <w:t xml:space="preserve">in </w:t>
      </w:r>
      <w:r w:rsidR="0022416D">
        <w:t>March 2022</w:t>
      </w:r>
      <w:r w:rsidR="00F72263">
        <w:t xml:space="preserve"> totaled</w:t>
      </w:r>
      <w:r w:rsidR="008A7107">
        <w:t xml:space="preserve"> </w:t>
      </w:r>
      <w:r w:rsidR="0022416D">
        <w:t>150.9</w:t>
      </w:r>
      <w:r w:rsidR="008A7107">
        <w:t>, up</w:t>
      </w:r>
      <w:r w:rsidR="00A14C86">
        <w:t xml:space="preserve"> </w:t>
      </w:r>
      <w:r w:rsidR="006528B7">
        <w:t>6.</w:t>
      </w:r>
      <w:r w:rsidR="0022416D">
        <w:t>5</w:t>
      </w:r>
      <w:r w:rsidR="00A14C86">
        <w:t xml:space="preserve"> million compared to the same period last year</w:t>
      </w:r>
      <w:r w:rsidR="003412DA">
        <w:t>,</w:t>
      </w:r>
      <w:r w:rsidR="008A7107">
        <w:t xml:space="preserve"> yet still </w:t>
      </w:r>
      <w:r w:rsidR="0022416D">
        <w:t>1</w:t>
      </w:r>
      <w:r w:rsidR="006528B7">
        <w:t>.6</w:t>
      </w:r>
      <w:r w:rsidR="00F72263">
        <w:t xml:space="preserve"> </w:t>
      </w:r>
      <w:r w:rsidR="008A7107">
        <w:t>million jobs below</w:t>
      </w:r>
      <w:r w:rsidR="003412DA">
        <w:t xml:space="preserve"> </w:t>
      </w:r>
      <w:r w:rsidR="008A7107">
        <w:t>their pre-pandemic (</w:t>
      </w:r>
      <w:r w:rsidR="00F72263">
        <w:t>Feb</w:t>
      </w:r>
      <w:r w:rsidR="008A7107">
        <w:t>r</w:t>
      </w:r>
      <w:r w:rsidR="00F72263">
        <w:t>uary</w:t>
      </w:r>
      <w:r w:rsidR="008A7107">
        <w:t xml:space="preserve"> 2020) levels</w:t>
      </w:r>
      <w:r w:rsidR="003412DA">
        <w:t xml:space="preserve">. </w:t>
      </w:r>
      <w:r w:rsidR="00E16DF8">
        <w:t>The largest gains were recorded in the leisure and hospitality industry and the professional and business services industry.</w:t>
      </w:r>
    </w:p>
    <w:p w14:paraId="1926EEEC" w14:textId="77BEBD50" w:rsidR="0017576B" w:rsidRDefault="00831E7B" w:rsidP="009526E8">
      <w:pPr>
        <w:jc w:val="center"/>
      </w:pPr>
      <w:r>
        <w:rPr>
          <w:noProof/>
        </w:rPr>
        <w:drawing>
          <wp:inline distT="0" distB="0" distL="0" distR="0" wp14:anchorId="6ED9DD79" wp14:editId="7EF77E8C">
            <wp:extent cx="3853180" cy="26517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8" w14:textId="77777777" w:rsidR="00005111" w:rsidRDefault="00005111" w:rsidP="001475FF">
      <w:pPr>
        <w:pStyle w:val="Heading1"/>
      </w:pPr>
      <w:r>
        <w:t>Inflation</w:t>
      </w:r>
    </w:p>
    <w:p w14:paraId="52A0C1E8" w14:textId="384B8EBA" w:rsidR="00176F91" w:rsidRDefault="00152215" w:rsidP="00005111">
      <w:r>
        <w:t>After</w:t>
      </w:r>
      <w:r w:rsidR="000D4AF1">
        <w:t xml:space="preserve"> many </w:t>
      </w:r>
      <w:r>
        <w:t xml:space="preserve">tame </w:t>
      </w:r>
      <w:r w:rsidR="000D4AF1">
        <w:t xml:space="preserve">years, inflation is </w:t>
      </w:r>
      <w:r w:rsidR="006528B7">
        <w:t>now at the forefront of the economic conversation</w:t>
      </w:r>
      <w:r w:rsidR="000D4AF1">
        <w:t xml:space="preserve">. </w:t>
      </w:r>
      <w:r w:rsidR="00661AA7">
        <w:t>The Consumer Price Index</w:t>
      </w:r>
      <w:r w:rsidR="009B52AF">
        <w:rPr>
          <w:rStyle w:val="FootnoteReference"/>
        </w:rPr>
        <w:footnoteReference w:id="24"/>
      </w:r>
      <w:r w:rsidR="00661AA7">
        <w:t xml:space="preserve"> </w:t>
      </w:r>
      <w:r w:rsidR="004E1574">
        <w:t>rose</w:t>
      </w:r>
      <w:r w:rsidR="000D4AF1">
        <w:t xml:space="preserve"> </w:t>
      </w:r>
      <w:r w:rsidR="005C6F0D">
        <w:t>8.6</w:t>
      </w:r>
      <w:r w:rsidR="000D4AF1">
        <w:t xml:space="preserve">% year-over-year in </w:t>
      </w:r>
      <w:r w:rsidR="005C6F0D">
        <w:t>March</w:t>
      </w:r>
      <w:r w:rsidR="00B36811">
        <w:t xml:space="preserve">, its fastest growth </w:t>
      </w:r>
      <w:r w:rsidR="006528B7">
        <w:t xml:space="preserve">since </w:t>
      </w:r>
      <w:r w:rsidR="005C6F0D">
        <w:t>December</w:t>
      </w:r>
      <w:r w:rsidR="006528B7">
        <w:t xml:space="preserve"> of 198</w:t>
      </w:r>
      <w:r w:rsidR="005C6F0D">
        <w:t>1</w:t>
      </w:r>
      <w:r w:rsidR="002E0F29">
        <w:t>. Excluding volatile energy prices</w:t>
      </w:r>
      <w:r w:rsidR="00EF1F20">
        <w:rPr>
          <w:rStyle w:val="FootnoteReference"/>
        </w:rPr>
        <w:footnoteReference w:id="25"/>
      </w:r>
      <w:r w:rsidR="002E0F29">
        <w:t>, the index rose</w:t>
      </w:r>
      <w:r w:rsidR="003A2900">
        <w:t xml:space="preserve"> </w:t>
      </w:r>
      <w:r w:rsidR="005C6F0D">
        <w:t>6.8</w:t>
      </w:r>
      <w:r w:rsidR="000D4AF1">
        <w:t>%. Notably, the price</w:t>
      </w:r>
      <w:r w:rsidR="005C22CA">
        <w:t xml:space="preserve"> of a gallon of gas</w:t>
      </w:r>
      <w:r w:rsidR="003A2900">
        <w:rPr>
          <w:rStyle w:val="FootnoteReference"/>
        </w:rPr>
        <w:footnoteReference w:id="26"/>
      </w:r>
      <w:r w:rsidR="005C22CA">
        <w:t xml:space="preserve"> </w:t>
      </w:r>
      <w:r w:rsidR="00A83C79">
        <w:t>jumped</w:t>
      </w:r>
      <w:r w:rsidR="000D4AF1">
        <w:t xml:space="preserve"> </w:t>
      </w:r>
      <w:r w:rsidR="00EF1F20">
        <w:t>5</w:t>
      </w:r>
      <w:r w:rsidR="005C6F0D">
        <w:t>4.5</w:t>
      </w:r>
      <w:r w:rsidR="000D4AF1">
        <w:t>%</w:t>
      </w:r>
      <w:r w:rsidR="003A2900">
        <w:t xml:space="preserve"> from a national average of $2.</w:t>
      </w:r>
      <w:r w:rsidR="005C6F0D">
        <w:t>79</w:t>
      </w:r>
      <w:r w:rsidR="003A2900">
        <w:t xml:space="preserve"> in </w:t>
      </w:r>
      <w:r w:rsidR="005C6F0D">
        <w:t>March 2021</w:t>
      </w:r>
      <w:r w:rsidR="003A2900">
        <w:t xml:space="preserve"> to </w:t>
      </w:r>
      <w:r w:rsidR="004F4F4F">
        <w:t xml:space="preserve">a record-high </w:t>
      </w:r>
      <w:r w:rsidR="003A2900">
        <w:t>$</w:t>
      </w:r>
      <w:r w:rsidR="005C6F0D">
        <w:t>4.3</w:t>
      </w:r>
      <w:r w:rsidR="00EF1F20">
        <w:t>1</w:t>
      </w:r>
      <w:r w:rsidR="003A2900">
        <w:t xml:space="preserve"> in </w:t>
      </w:r>
      <w:r w:rsidR="005C6F0D">
        <w:t>March</w:t>
      </w:r>
      <w:r w:rsidR="003A2900">
        <w:t xml:space="preserve"> 202</w:t>
      </w:r>
      <w:r w:rsidR="005C6F0D">
        <w:t>2</w:t>
      </w:r>
      <w:r w:rsidR="004F4F4F">
        <w:t xml:space="preserve"> </w:t>
      </w:r>
      <w:r w:rsidR="008B3356">
        <w:t xml:space="preserve">after Russia’s invasion of Ukraine shocked energy markets and triggered a US import ban on Russian oil. </w:t>
      </w:r>
      <w:r w:rsidR="00156E24">
        <w:t xml:space="preserve">In addition to gasoline, shelter and food prices were among the largest contributors to </w:t>
      </w:r>
      <w:r w:rsidR="00350673">
        <w:t xml:space="preserve">the </w:t>
      </w:r>
      <w:r w:rsidR="00156E24">
        <w:t xml:space="preserve">severe inflation. </w:t>
      </w:r>
      <w:r w:rsidR="000D4AF1">
        <w:t>The Federal Reserve</w:t>
      </w:r>
      <w:r w:rsidR="00350673">
        <w:t xml:space="preserve"> has begun taking action to curb inflation, beginning a series of</w:t>
      </w:r>
      <w:r w:rsidR="00F376E4">
        <w:t xml:space="preserve"> target interest rate</w:t>
      </w:r>
      <w:r w:rsidR="00350673">
        <w:t xml:space="preserve"> hike</w:t>
      </w:r>
      <w:r w:rsidR="00F376E4">
        <w:t xml:space="preserve">s and </w:t>
      </w:r>
      <w:r w:rsidR="00BB4123">
        <w:t>reversing</w:t>
      </w:r>
      <w:r w:rsidR="00350673">
        <w:t xml:space="preserve"> its</w:t>
      </w:r>
      <w:r w:rsidR="00F376E4">
        <w:t xml:space="preserve"> massive bon</w:t>
      </w:r>
      <w:r w:rsidR="00350673">
        <w:t>d-buying program</w:t>
      </w:r>
      <w:r w:rsidR="00A94F52">
        <w:t>.</w:t>
      </w:r>
    </w:p>
    <w:p w14:paraId="3ED812A9" w14:textId="7DBE84C8" w:rsidR="00176F91" w:rsidRDefault="00BB4123" w:rsidP="009526E8">
      <w:pPr>
        <w:jc w:val="center"/>
      </w:pPr>
      <w:r>
        <w:rPr>
          <w:noProof/>
        </w:rPr>
        <w:lastRenderedPageBreak/>
        <w:drawing>
          <wp:inline distT="0" distB="0" distL="0" distR="0" wp14:anchorId="2AB2066D" wp14:editId="29AA1A45">
            <wp:extent cx="3499485" cy="2651760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E" w14:textId="52A27514" w:rsidR="00A11CAC" w:rsidRDefault="00A17C3A" w:rsidP="006F7FB2">
      <w:r w:rsidRPr="00507B5A">
        <w:t>The Producer Price Index</w:t>
      </w:r>
      <w:r w:rsidR="009B52AF" w:rsidRPr="00507B5A">
        <w:rPr>
          <w:rStyle w:val="FootnoteReference"/>
        </w:rPr>
        <w:footnoteReference w:id="27"/>
      </w:r>
      <w:r w:rsidRPr="00507B5A">
        <w:t xml:space="preserve"> </w:t>
      </w:r>
      <w:r w:rsidR="004940F1">
        <w:t>rose 2.3</w:t>
      </w:r>
      <w:r w:rsidR="00A94F52">
        <w:t xml:space="preserve">% in </w:t>
      </w:r>
      <w:r w:rsidR="004940F1">
        <w:t>March to a level</w:t>
      </w:r>
      <w:r w:rsidR="00235B28" w:rsidRPr="00507B5A">
        <w:t xml:space="preserve"> 20.</w:t>
      </w:r>
      <w:r w:rsidR="004940F1">
        <w:t>5</w:t>
      </w:r>
      <w:r w:rsidR="00235B28" w:rsidRPr="00507B5A">
        <w:t xml:space="preserve">% higher than </w:t>
      </w:r>
      <w:r w:rsidR="004940F1">
        <w:t>March 2021</w:t>
      </w:r>
      <w:r w:rsidR="00235B28" w:rsidRPr="00507B5A">
        <w:t xml:space="preserve">, </w:t>
      </w:r>
      <w:r w:rsidR="004940F1">
        <w:t xml:space="preserve">far outpacing </w:t>
      </w:r>
      <w:r w:rsidR="00235B28" w:rsidRPr="00507B5A">
        <w:t xml:space="preserve">the </w:t>
      </w:r>
      <w:r w:rsidR="00507B5A" w:rsidRPr="00507B5A">
        <w:t>2.</w:t>
      </w:r>
      <w:r w:rsidR="004940F1">
        <w:t>6</w:t>
      </w:r>
      <w:r w:rsidR="00507B5A" w:rsidRPr="00507B5A">
        <w:t xml:space="preserve">% </w:t>
      </w:r>
      <w:r w:rsidR="00235B28" w:rsidRPr="00507B5A">
        <w:t>average annual increase over the last 30 years.</w:t>
      </w:r>
    </w:p>
    <w:p w14:paraId="149D5F40" w14:textId="18D6BDD0" w:rsidR="00B94E68" w:rsidRPr="005232D6" w:rsidRDefault="0022724A" w:rsidP="00166C08">
      <w:pPr>
        <w:jc w:val="center"/>
      </w:pPr>
      <w:r>
        <w:rPr>
          <w:noProof/>
        </w:rPr>
        <w:drawing>
          <wp:inline distT="0" distB="0" distL="0" distR="0" wp14:anchorId="23F651F2" wp14:editId="687CDA7C">
            <wp:extent cx="3499485" cy="2603500"/>
            <wp:effectExtent l="0" t="0" r="571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37979" w14:textId="552ACD92" w:rsidR="00661AA7" w:rsidRPr="005232D6" w:rsidRDefault="00661AA7" w:rsidP="00661AA7">
      <w:pPr>
        <w:rPr>
          <w:color w:val="000000" w:themeColor="text1"/>
        </w:rPr>
      </w:pPr>
      <w:r w:rsidRPr="005232D6">
        <w:rPr>
          <w:color w:val="000000" w:themeColor="text1"/>
        </w:rPr>
        <w:t xml:space="preserve">Treasury Inflation-Protected Securities (TIPS) are a longer-term Treasury debt instrument which pays a fixed interest rate but adjusts the principal value according to inflation, effectively indexing interest payments to inflation. TIPS have </w:t>
      </w:r>
      <w:r w:rsidR="00622313">
        <w:rPr>
          <w:color w:val="000000" w:themeColor="text1"/>
        </w:rPr>
        <w:t>sold</w:t>
      </w:r>
      <w:r w:rsidRPr="005232D6">
        <w:rPr>
          <w:color w:val="000000" w:themeColor="text1"/>
        </w:rPr>
        <w:t xml:space="preserve"> at a premium, reflecting higher inflation expectations</w:t>
      </w:r>
      <w:r w:rsidR="005232D6" w:rsidRPr="005232D6">
        <w:rPr>
          <w:color w:val="000000" w:themeColor="text1"/>
        </w:rPr>
        <w:t>; however, the Fed</w:t>
      </w:r>
      <w:r w:rsidR="00622313">
        <w:rPr>
          <w:color w:val="000000" w:themeColor="text1"/>
        </w:rPr>
        <w:t>’s</w:t>
      </w:r>
      <w:r w:rsidR="005232D6" w:rsidRPr="005232D6">
        <w:rPr>
          <w:color w:val="000000" w:themeColor="text1"/>
        </w:rPr>
        <w:t xml:space="preserve"> </w:t>
      </w:r>
      <w:r w:rsidR="00622313">
        <w:rPr>
          <w:color w:val="000000" w:themeColor="text1"/>
        </w:rPr>
        <w:t>impending</w:t>
      </w:r>
      <w:r w:rsidR="005232D6" w:rsidRPr="005232D6">
        <w:rPr>
          <w:color w:val="000000" w:themeColor="text1"/>
        </w:rPr>
        <w:t xml:space="preserve"> bond </w:t>
      </w:r>
      <w:r w:rsidR="00B6639B" w:rsidRPr="005232D6">
        <w:rPr>
          <w:color w:val="000000" w:themeColor="text1"/>
        </w:rPr>
        <w:t>selloffs</w:t>
      </w:r>
      <w:r w:rsidR="00622313">
        <w:rPr>
          <w:color w:val="000000" w:themeColor="text1"/>
        </w:rPr>
        <w:t xml:space="preserve"> are expected to dilute the market</w:t>
      </w:r>
      <w:r w:rsidRPr="005232D6">
        <w:rPr>
          <w:color w:val="000000" w:themeColor="text1"/>
        </w:rPr>
        <w:t xml:space="preserve">. The 5-year </w:t>
      </w:r>
      <w:r w:rsidR="00031DA4" w:rsidRPr="005232D6">
        <w:rPr>
          <w:color w:val="000000" w:themeColor="text1"/>
        </w:rPr>
        <w:t>breakeven</w:t>
      </w:r>
      <w:r w:rsidRPr="005232D6">
        <w:rPr>
          <w:color w:val="000000" w:themeColor="text1"/>
        </w:rPr>
        <w:t xml:space="preserve"> inflation rate</w:t>
      </w:r>
      <w:r w:rsidRPr="005232D6">
        <w:rPr>
          <w:rStyle w:val="FootnoteReference"/>
          <w:color w:val="000000" w:themeColor="text1"/>
        </w:rPr>
        <w:footnoteReference w:id="28"/>
      </w:r>
      <w:r w:rsidRPr="005232D6">
        <w:rPr>
          <w:color w:val="000000" w:themeColor="text1"/>
        </w:rPr>
        <w:t xml:space="preserve">, an indicator for the market’s inflation expectations for </w:t>
      </w:r>
      <w:r w:rsidRPr="005232D6">
        <w:rPr>
          <w:color w:val="000000" w:themeColor="text1"/>
        </w:rPr>
        <w:lastRenderedPageBreak/>
        <w:t xml:space="preserve">the period, </w:t>
      </w:r>
      <w:r w:rsidR="00981BE4">
        <w:rPr>
          <w:color w:val="000000" w:themeColor="text1"/>
        </w:rPr>
        <w:t xml:space="preserve">rose to </w:t>
      </w:r>
      <w:r w:rsidR="00E4039F">
        <w:rPr>
          <w:color w:val="000000" w:themeColor="text1"/>
        </w:rPr>
        <w:t>3.34</w:t>
      </w:r>
      <w:r w:rsidRPr="005232D6">
        <w:rPr>
          <w:color w:val="000000" w:themeColor="text1"/>
        </w:rPr>
        <w:t>%</w:t>
      </w:r>
      <w:r w:rsidR="00981BE4">
        <w:rPr>
          <w:color w:val="000000" w:themeColor="text1"/>
        </w:rPr>
        <w:t xml:space="preserve"> to end the </w:t>
      </w:r>
      <w:r w:rsidR="00E4039F">
        <w:rPr>
          <w:color w:val="000000" w:themeColor="text1"/>
        </w:rPr>
        <w:t>1</w:t>
      </w:r>
      <w:r w:rsidR="00E4039F" w:rsidRPr="00E4039F">
        <w:rPr>
          <w:color w:val="000000" w:themeColor="text1"/>
          <w:vertAlign w:val="superscript"/>
        </w:rPr>
        <w:t>st</w:t>
      </w:r>
      <w:r w:rsidR="00E4039F">
        <w:rPr>
          <w:color w:val="000000" w:themeColor="text1"/>
        </w:rPr>
        <w:t xml:space="preserve"> </w:t>
      </w:r>
      <w:r w:rsidR="00981BE4">
        <w:rPr>
          <w:color w:val="000000" w:themeColor="text1"/>
        </w:rPr>
        <w:t>quarter</w:t>
      </w:r>
      <w:r w:rsidR="00E4039F">
        <w:rPr>
          <w:color w:val="000000" w:themeColor="text1"/>
        </w:rPr>
        <w:t xml:space="preserve"> from </w:t>
      </w:r>
      <w:r w:rsidR="00981BE4">
        <w:rPr>
          <w:color w:val="000000" w:themeColor="text1"/>
        </w:rPr>
        <w:t>the 2.</w:t>
      </w:r>
      <w:r w:rsidR="00E4039F">
        <w:rPr>
          <w:color w:val="000000" w:themeColor="text1"/>
        </w:rPr>
        <w:t>87</w:t>
      </w:r>
      <w:r w:rsidR="005232D6">
        <w:rPr>
          <w:color w:val="000000" w:themeColor="text1"/>
        </w:rPr>
        <w:t xml:space="preserve">% </w:t>
      </w:r>
      <w:r w:rsidR="005232D6" w:rsidRPr="005232D6">
        <w:rPr>
          <w:color w:val="000000" w:themeColor="text1"/>
        </w:rPr>
        <w:t>rate</w:t>
      </w:r>
      <w:r w:rsidR="00981BE4">
        <w:rPr>
          <w:color w:val="000000" w:themeColor="text1"/>
        </w:rPr>
        <w:t xml:space="preserve"> at the end of the </w:t>
      </w:r>
      <w:r w:rsidR="00E4039F">
        <w:rPr>
          <w:color w:val="000000" w:themeColor="text1"/>
        </w:rPr>
        <w:t>4</w:t>
      </w:r>
      <w:r w:rsidR="00E4039F" w:rsidRPr="00E4039F">
        <w:rPr>
          <w:color w:val="000000" w:themeColor="text1"/>
          <w:vertAlign w:val="superscript"/>
        </w:rPr>
        <w:t>th</w:t>
      </w:r>
      <w:r w:rsidR="00E4039F">
        <w:rPr>
          <w:color w:val="000000" w:themeColor="text1"/>
        </w:rPr>
        <w:t xml:space="preserve"> </w:t>
      </w:r>
      <w:r w:rsidR="00981BE4">
        <w:rPr>
          <w:color w:val="000000" w:themeColor="text1"/>
        </w:rPr>
        <w:t>quarter</w:t>
      </w:r>
      <w:r w:rsidRPr="005232D6">
        <w:rPr>
          <w:color w:val="000000" w:themeColor="text1"/>
        </w:rPr>
        <w:t>.</w:t>
      </w:r>
    </w:p>
    <w:p w14:paraId="2FA7F119" w14:textId="276F601D" w:rsidR="00A83597" w:rsidRPr="005469DE" w:rsidRDefault="00BB4123" w:rsidP="00A83597">
      <w:pPr>
        <w:jc w:val="center"/>
        <w:rPr>
          <w:highlight w:val="yellow"/>
        </w:rPr>
      </w:pPr>
      <w:r w:rsidRPr="00BB4123">
        <w:rPr>
          <w:noProof/>
        </w:rPr>
        <w:drawing>
          <wp:inline distT="0" distB="0" distL="0" distR="0" wp14:anchorId="3F141546" wp14:editId="62CB2C4D">
            <wp:extent cx="3499485" cy="2651760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A6E5E" w14:textId="62A1D0F4" w:rsidR="00F03302" w:rsidRPr="007E1BB9" w:rsidRDefault="0074137C" w:rsidP="00A83597">
      <w:r w:rsidRPr="007E1BB9">
        <w:t>U.S. crude oil</w:t>
      </w:r>
      <w:r w:rsidRPr="007E1BB9">
        <w:rPr>
          <w:rStyle w:val="FootnoteReference"/>
        </w:rPr>
        <w:footnoteReference w:id="29"/>
      </w:r>
      <w:r w:rsidRPr="007E1BB9">
        <w:t xml:space="preserve"> </w:t>
      </w:r>
      <w:r w:rsidR="00660C7A" w:rsidRPr="007E1BB9">
        <w:t xml:space="preserve">prices </w:t>
      </w:r>
      <w:r w:rsidR="0020274B">
        <w:t>spiked in March to</w:t>
      </w:r>
      <w:r w:rsidR="00B6639B" w:rsidRPr="007E1BB9">
        <w:t xml:space="preserve"> their highest value </w:t>
      </w:r>
      <w:r w:rsidR="0020274B">
        <w:t xml:space="preserve">since August 2008 </w:t>
      </w:r>
      <w:r w:rsidR="00A43008">
        <w:t>when</w:t>
      </w:r>
      <w:r w:rsidR="0020274B">
        <w:t xml:space="preserve"> major players in the western market discussed joining the US in a Russian oil embargo following Russia’s invasion of the Ukraine</w:t>
      </w:r>
      <w:r w:rsidR="00694585">
        <w:t>.</w:t>
      </w:r>
      <w:r w:rsidR="00150655">
        <w:t xml:space="preserve"> Prices retreated </w:t>
      </w:r>
      <w:r w:rsidR="00A43008">
        <w:t xml:space="preserve">on a lack of unanimity in banning Russian oil products and moves by the US to replace some of the oil supply </w:t>
      </w:r>
      <w:r w:rsidR="00F62F17">
        <w:t>impacted</w:t>
      </w:r>
      <w:r w:rsidR="00A43008">
        <w:t xml:space="preserve"> by its embargo</w:t>
      </w:r>
      <w:r w:rsidR="00B6639B" w:rsidRPr="007E1BB9">
        <w:t xml:space="preserve">. Crude prices ended the </w:t>
      </w:r>
      <w:r w:rsidR="00A43008">
        <w:t>quarter</w:t>
      </w:r>
      <w:r w:rsidR="00F03302" w:rsidRPr="007E1BB9">
        <w:t xml:space="preserve"> at </w:t>
      </w:r>
      <w:r w:rsidRPr="007E1BB9">
        <w:t>$</w:t>
      </w:r>
      <w:r w:rsidR="00A43008">
        <w:t>100.53</w:t>
      </w:r>
      <w:r w:rsidRPr="007E1BB9">
        <w:t xml:space="preserve"> </w:t>
      </w:r>
      <w:r w:rsidR="00F03302" w:rsidRPr="007E1BB9">
        <w:t>per barrel</w:t>
      </w:r>
      <w:r w:rsidR="00B6639B" w:rsidRPr="007E1BB9">
        <w:t xml:space="preserve">, </w:t>
      </w:r>
      <w:r w:rsidR="00A43008">
        <w:t>33.5</w:t>
      </w:r>
      <w:r w:rsidR="00B6639B" w:rsidRPr="007E1BB9">
        <w:t>% higher than one quarter earlier</w:t>
      </w:r>
      <w:r w:rsidR="002E3E26" w:rsidRPr="007E1BB9">
        <w:t xml:space="preserve">.  </w:t>
      </w:r>
    </w:p>
    <w:p w14:paraId="51050840" w14:textId="70A82D37" w:rsidR="00F03302" w:rsidRPr="005469DE" w:rsidRDefault="0022724A" w:rsidP="00166C08">
      <w:pPr>
        <w:jc w:val="center"/>
        <w:rPr>
          <w:highlight w:val="yellow"/>
        </w:rPr>
      </w:pPr>
      <w:r w:rsidRPr="0022724A">
        <w:rPr>
          <w:noProof/>
        </w:rPr>
        <w:drawing>
          <wp:inline distT="0" distB="0" distL="0" distR="0" wp14:anchorId="3A49CA02" wp14:editId="30B37BFC">
            <wp:extent cx="3609340" cy="26035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1" w14:textId="77777777" w:rsidR="00005111" w:rsidRDefault="00005111" w:rsidP="001475FF">
      <w:pPr>
        <w:pStyle w:val="Heading1"/>
      </w:pPr>
      <w:r>
        <w:lastRenderedPageBreak/>
        <w:t>Housing</w:t>
      </w:r>
    </w:p>
    <w:p w14:paraId="7135DBE1" w14:textId="0DDE0AB7" w:rsidR="00A96A6A" w:rsidRDefault="00A26A65">
      <w:r>
        <w:t>In the</w:t>
      </w:r>
      <w:r w:rsidR="00976B7D" w:rsidRPr="00540D2B">
        <w:t xml:space="preserve"> </w:t>
      </w:r>
      <w:r>
        <w:t xml:space="preserve">ultra-tight </w:t>
      </w:r>
      <w:r w:rsidR="00976B7D" w:rsidRPr="00540D2B">
        <w:t>housing market</w:t>
      </w:r>
      <w:r>
        <w:t xml:space="preserve">, the </w:t>
      </w:r>
      <w:r w:rsidR="00F13C1C">
        <w:t>price pressures</w:t>
      </w:r>
      <w:r>
        <w:t xml:space="preserve"> of </w:t>
      </w:r>
      <w:r w:rsidR="00F13C1C">
        <w:t xml:space="preserve">record-low housing supply and a continually struggling supply chain now </w:t>
      </w:r>
      <w:bookmarkStart w:id="0" w:name="OLE_LINK1"/>
      <w:bookmarkStart w:id="1" w:name="OLE_LINK2"/>
      <w:r w:rsidR="00F13C1C">
        <w:t xml:space="preserve">clash with </w:t>
      </w:r>
      <w:r>
        <w:t>rising mortgage rates</w:t>
      </w:r>
      <w:r w:rsidR="00F13C1C">
        <w:t xml:space="preserve">, </w:t>
      </w:r>
      <w:r w:rsidR="00EC1B0C">
        <w:t>resulting</w:t>
      </w:r>
      <w:r w:rsidR="00F13C1C">
        <w:t xml:space="preserve"> in reduced affordability for first-time buyers</w:t>
      </w:r>
      <w:bookmarkEnd w:id="0"/>
      <w:bookmarkEnd w:id="1"/>
      <w:r w:rsidR="003F007D">
        <w:t>.</w:t>
      </w:r>
      <w:r w:rsidR="00894CA7">
        <w:t xml:space="preserve"> </w:t>
      </w:r>
      <w:r w:rsidR="003F007D">
        <w:t>New</w:t>
      </w:r>
      <w:r w:rsidR="00B0395F" w:rsidRPr="0094654A">
        <w:t xml:space="preserve"> home starts</w:t>
      </w:r>
      <w:r w:rsidR="00C828B0">
        <w:rPr>
          <w:rStyle w:val="FootnoteReference"/>
        </w:rPr>
        <w:footnoteReference w:id="30"/>
      </w:r>
      <w:r w:rsidR="00B0395F" w:rsidRPr="0094654A">
        <w:t xml:space="preserve"> </w:t>
      </w:r>
      <w:r w:rsidR="00F13C1C">
        <w:t>rose to</w:t>
      </w:r>
      <w:r w:rsidR="00BC04D5">
        <w:t xml:space="preserve"> 1.</w:t>
      </w:r>
      <w:r w:rsidR="00D37EF8">
        <w:t>7</w:t>
      </w:r>
      <w:r w:rsidR="00DD1434">
        <w:t>9</w:t>
      </w:r>
      <w:r w:rsidR="003F007D">
        <w:t xml:space="preserve"> </w:t>
      </w:r>
      <w:r w:rsidR="00B0395F" w:rsidRPr="0094654A">
        <w:t>million</w:t>
      </w:r>
      <w:r w:rsidR="00675122">
        <w:t xml:space="preserve"> in </w:t>
      </w:r>
      <w:r w:rsidR="00DD1434">
        <w:t>March</w:t>
      </w:r>
      <w:r w:rsidR="00F13C1C">
        <w:t xml:space="preserve"> due to an increase in m</w:t>
      </w:r>
      <w:r w:rsidR="00341282">
        <w:t>ultifamily unit</w:t>
      </w:r>
      <w:r w:rsidR="00F13C1C">
        <w:t xml:space="preserve"> starts. </w:t>
      </w:r>
      <w:r w:rsidR="003240BB">
        <w:t>Higher</w:t>
      </w:r>
      <w:r w:rsidR="00720E64">
        <w:t xml:space="preserve"> mortgage rates prompted a decline in single-family home starts in March</w:t>
      </w:r>
      <w:r w:rsidR="00341282">
        <w:t xml:space="preserve">. </w:t>
      </w:r>
      <w:r w:rsidR="00894434">
        <w:t xml:space="preserve">Total new home starts were up 2.2% for the quarter and </w:t>
      </w:r>
      <w:r w:rsidR="00720E64">
        <w:t>3.9</w:t>
      </w:r>
      <w:r w:rsidR="005D3FB8">
        <w:t xml:space="preserve">% </w:t>
      </w:r>
      <w:r w:rsidR="00894434">
        <w:t>for the</w:t>
      </w:r>
      <w:r w:rsidR="005D3FB8">
        <w:t xml:space="preserve"> year</w:t>
      </w:r>
      <w:r w:rsidR="00894434">
        <w:t>, ending the 1</w:t>
      </w:r>
      <w:r w:rsidR="00894434" w:rsidRPr="00894434">
        <w:rPr>
          <w:vertAlign w:val="superscript"/>
        </w:rPr>
        <w:t>st</w:t>
      </w:r>
      <w:r w:rsidR="00894434">
        <w:t xml:space="preserve"> quarter at a level well</w:t>
      </w:r>
      <w:r w:rsidR="005D3FB8">
        <w:t xml:space="preserve"> above their 30-year average of 1.3</w:t>
      </w:r>
      <w:r w:rsidR="00B403A1">
        <w:t>3</w:t>
      </w:r>
      <w:r w:rsidR="005D3FB8">
        <w:t xml:space="preserve"> million</w:t>
      </w:r>
      <w:r w:rsidR="005D3FB8" w:rsidRPr="0094654A">
        <w:t>.</w:t>
      </w:r>
    </w:p>
    <w:p w14:paraId="149D5F44" w14:textId="78F97C48" w:rsidR="00B5315D" w:rsidRDefault="0022724A" w:rsidP="001B4B76">
      <w:pPr>
        <w:jc w:val="center"/>
      </w:pPr>
      <w:r>
        <w:rPr>
          <w:noProof/>
        </w:rPr>
        <w:drawing>
          <wp:inline distT="0" distB="0" distL="0" distR="0" wp14:anchorId="42C07D00" wp14:editId="0859D2D2">
            <wp:extent cx="3816350" cy="26035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6" w14:textId="1F3AACB8" w:rsidR="00A96795" w:rsidRDefault="00A223EC" w:rsidP="000A1224">
      <w:r>
        <w:t xml:space="preserve">The cost </w:t>
      </w:r>
      <w:r w:rsidR="00BC00A7">
        <w:t xml:space="preserve">of financing </w:t>
      </w:r>
      <w:r>
        <w:t xml:space="preserve">for </w:t>
      </w:r>
      <w:r w:rsidR="001B4B76">
        <w:t xml:space="preserve">would-be homebuyers </w:t>
      </w:r>
      <w:r w:rsidR="00894434">
        <w:t xml:space="preserve">jumped to </w:t>
      </w:r>
      <w:r w:rsidR="00FB2D2D">
        <w:t>its highest level in more than three years</w:t>
      </w:r>
      <w:r w:rsidR="00B403A1">
        <w:t xml:space="preserve">, with </w:t>
      </w:r>
      <w:r w:rsidR="001B4B76">
        <w:t>the 30-year fixed-rate mortgage</w:t>
      </w:r>
      <w:r w:rsidR="00250313">
        <w:rPr>
          <w:rStyle w:val="FootnoteReference"/>
        </w:rPr>
        <w:footnoteReference w:id="31"/>
      </w:r>
      <w:r w:rsidR="0081792D">
        <w:t xml:space="preserve"> </w:t>
      </w:r>
      <w:r w:rsidR="00B403A1">
        <w:t xml:space="preserve">ending the </w:t>
      </w:r>
      <w:r w:rsidR="00FB2D2D">
        <w:t>1</w:t>
      </w:r>
      <w:r w:rsidR="00FB2D2D" w:rsidRPr="00FB2D2D">
        <w:rPr>
          <w:vertAlign w:val="superscript"/>
        </w:rPr>
        <w:t>st</w:t>
      </w:r>
      <w:r w:rsidR="00FB2D2D">
        <w:t xml:space="preserve"> </w:t>
      </w:r>
      <w:r w:rsidR="00B403A1">
        <w:t>quarter at</w:t>
      </w:r>
      <w:r w:rsidR="0055033B">
        <w:t xml:space="preserve"> </w:t>
      </w:r>
      <w:r w:rsidR="00FB2D2D">
        <w:t>4.67</w:t>
      </w:r>
      <w:r w:rsidR="0055033B">
        <w:t>%</w:t>
      </w:r>
      <w:r w:rsidR="001B4B76">
        <w:t>.</w:t>
      </w:r>
      <w:r w:rsidR="00A730DC">
        <w:t xml:space="preserve"> </w:t>
      </w:r>
    </w:p>
    <w:p w14:paraId="0D0A69F6" w14:textId="10269BE3" w:rsidR="00A96A6A" w:rsidRDefault="0022724A" w:rsidP="00453708">
      <w:pPr>
        <w:jc w:val="center"/>
      </w:pPr>
      <w:r>
        <w:rPr>
          <w:noProof/>
        </w:rPr>
        <w:lastRenderedPageBreak/>
        <w:drawing>
          <wp:inline distT="0" distB="0" distL="0" distR="0" wp14:anchorId="768BC9F0" wp14:editId="48A8D600">
            <wp:extent cx="3816350" cy="26035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DE37C" w14:textId="539922F3" w:rsidR="00A96A6A" w:rsidRDefault="00B767AE" w:rsidP="00773B5B">
      <w:r w:rsidRPr="00976B7D">
        <w:t>The S&amp;</w:t>
      </w:r>
      <w:r w:rsidR="00BD1AF4" w:rsidRPr="00976B7D">
        <w:t>P Case-Shiller Home Price Index (20-city)</w:t>
      </w:r>
      <w:r w:rsidR="00B2585A" w:rsidRPr="00976B7D">
        <w:rPr>
          <w:rStyle w:val="FootnoteReference"/>
        </w:rPr>
        <w:footnoteReference w:id="32"/>
      </w:r>
      <w:r w:rsidR="00BD1AF4" w:rsidRPr="00976B7D">
        <w:t xml:space="preserve"> </w:t>
      </w:r>
      <w:r w:rsidR="00A1037F" w:rsidRPr="00976B7D">
        <w:t>rose</w:t>
      </w:r>
      <w:r w:rsidR="001868CB" w:rsidRPr="00976B7D">
        <w:t xml:space="preserve"> </w:t>
      </w:r>
      <w:r w:rsidR="00FB2D2D">
        <w:t>20.2</w:t>
      </w:r>
      <w:r w:rsidR="00E2306A" w:rsidRPr="00976B7D">
        <w:t>%</w:t>
      </w:r>
      <w:r w:rsidR="0055033B" w:rsidRPr="00976B7D">
        <w:t xml:space="preserve"> </w:t>
      </w:r>
      <w:r w:rsidR="00FB2D2D">
        <w:t>during the year ended February 2022,</w:t>
      </w:r>
      <w:r w:rsidR="00933213" w:rsidRPr="00976B7D">
        <w:t xml:space="preserve"> </w:t>
      </w:r>
      <w:r w:rsidR="00A1037F" w:rsidRPr="00976B7D">
        <w:t>with</w:t>
      </w:r>
      <w:r w:rsidR="00FB2D2D">
        <w:t xml:space="preserve"> all 20 cities reporting double-digit increases</w:t>
      </w:r>
      <w:r w:rsidR="00654A68">
        <w:t>, led once again by</w:t>
      </w:r>
      <w:r w:rsidR="00FB2D2D">
        <w:t xml:space="preserve"> </w:t>
      </w:r>
      <w:r w:rsidR="006F49C7" w:rsidRPr="00976B7D">
        <w:t xml:space="preserve">Phoenix, </w:t>
      </w:r>
      <w:r w:rsidR="00A1037F" w:rsidRPr="00976B7D">
        <w:t>Tampa</w:t>
      </w:r>
      <w:r w:rsidR="00B403A1">
        <w:t>, and Miami</w:t>
      </w:r>
      <w:r w:rsidR="0096732C" w:rsidRPr="00976B7D">
        <w:t>.</w:t>
      </w:r>
      <w:r w:rsidR="00933213" w:rsidRPr="00976B7D">
        <w:t xml:space="preserve"> </w:t>
      </w:r>
      <w:r w:rsidR="00654A68">
        <w:t xml:space="preserve">February’s rise likely reflected </w:t>
      </w:r>
      <w:r w:rsidR="00D67161">
        <w:t>a swell</w:t>
      </w:r>
      <w:r w:rsidR="00654A68">
        <w:t xml:space="preserve"> of buyers trying to secure some of the </w:t>
      </w:r>
      <w:r w:rsidR="00D67161">
        <w:t>limited housing</w:t>
      </w:r>
      <w:r w:rsidR="00654A68">
        <w:t xml:space="preserve"> supply </w:t>
      </w:r>
      <w:r w:rsidR="00D67161">
        <w:t>before the Fed’s widely expected interest rate hikes boosted mortgage rates in March</w:t>
      </w:r>
      <w:r w:rsidR="00B432FD" w:rsidRPr="00976B7D">
        <w:t>.</w:t>
      </w:r>
      <w:r w:rsidR="006A656A">
        <w:t xml:space="preserve"> </w:t>
      </w:r>
    </w:p>
    <w:p w14:paraId="149D5F4C" w14:textId="5470367F" w:rsidR="0064538F" w:rsidRDefault="0022724A" w:rsidP="002775DB">
      <w:pPr>
        <w:jc w:val="center"/>
      </w:pPr>
      <w:r>
        <w:rPr>
          <w:noProof/>
        </w:rPr>
        <w:drawing>
          <wp:inline distT="0" distB="0" distL="0" distR="0" wp14:anchorId="39DC15C0" wp14:editId="3D893983">
            <wp:extent cx="3499485" cy="2603500"/>
            <wp:effectExtent l="0" t="0" r="571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D" w14:textId="52E84594" w:rsidR="00005111" w:rsidRDefault="0079609A" w:rsidP="001475FF">
      <w:pPr>
        <w:pStyle w:val="Heading1"/>
      </w:pPr>
      <w:r>
        <w:t>Consumer Spending</w:t>
      </w:r>
    </w:p>
    <w:p w14:paraId="149D5F51" w14:textId="63879B43" w:rsidR="0079609A" w:rsidRDefault="0079609A" w:rsidP="00A04AD3">
      <w:r w:rsidRPr="00282C6E">
        <w:t>Personal Consumption Expenditures (PCE)</w:t>
      </w:r>
      <w:r w:rsidR="00421F60" w:rsidRPr="00282C6E">
        <w:rPr>
          <w:rStyle w:val="FootnoteReference"/>
        </w:rPr>
        <w:footnoteReference w:id="33"/>
      </w:r>
      <w:r w:rsidRPr="00282C6E">
        <w:t xml:space="preserve"> </w:t>
      </w:r>
      <w:r w:rsidR="00282C6E" w:rsidRPr="00282C6E">
        <w:t xml:space="preserve">rose </w:t>
      </w:r>
      <w:r w:rsidR="00D67161">
        <w:t>3.8</w:t>
      </w:r>
      <w:r w:rsidR="00282C6E" w:rsidRPr="00282C6E">
        <w:t xml:space="preserve">% in the </w:t>
      </w:r>
      <w:r w:rsidR="00D67161">
        <w:t>1</w:t>
      </w:r>
      <w:r w:rsidR="00D67161" w:rsidRPr="00D67161">
        <w:rPr>
          <w:vertAlign w:val="superscript"/>
        </w:rPr>
        <w:t>st</w:t>
      </w:r>
      <w:r w:rsidR="006A656A">
        <w:t xml:space="preserve"> </w:t>
      </w:r>
      <w:r w:rsidR="00282C6E" w:rsidRPr="00282C6E">
        <w:t>quarter to</w:t>
      </w:r>
      <w:r w:rsidR="00381A81" w:rsidRPr="00282C6E">
        <w:t xml:space="preserve"> </w:t>
      </w:r>
      <w:r w:rsidR="00AA74C1" w:rsidRPr="00282C6E">
        <w:t>$1</w:t>
      </w:r>
      <w:r w:rsidR="00F72263">
        <w:t>6.</w:t>
      </w:r>
      <w:r w:rsidR="00D67161">
        <w:t>9</w:t>
      </w:r>
      <w:r w:rsidR="00AA74C1" w:rsidRPr="00282C6E">
        <w:t xml:space="preserve"> trillion</w:t>
      </w:r>
      <w:r w:rsidR="00E37950" w:rsidRPr="00282C6E">
        <w:t xml:space="preserve">. PCE </w:t>
      </w:r>
      <w:r w:rsidR="006A656A">
        <w:t xml:space="preserve">were up </w:t>
      </w:r>
      <w:r w:rsidR="00D67161">
        <w:t>9.1</w:t>
      </w:r>
      <w:r w:rsidR="0081792D" w:rsidRPr="00282C6E">
        <w:t xml:space="preserve">% </w:t>
      </w:r>
      <w:r w:rsidR="00282C6E" w:rsidRPr="00282C6E">
        <w:t xml:space="preserve">since the </w:t>
      </w:r>
      <w:r w:rsidR="00D67161">
        <w:t>1</w:t>
      </w:r>
      <w:r w:rsidR="00D67161" w:rsidRPr="00D67161">
        <w:rPr>
          <w:vertAlign w:val="superscript"/>
        </w:rPr>
        <w:t>st</w:t>
      </w:r>
      <w:r w:rsidR="006A656A">
        <w:t xml:space="preserve"> quarter</w:t>
      </w:r>
      <w:r w:rsidR="0081792D" w:rsidRPr="00282C6E">
        <w:t xml:space="preserve"> </w:t>
      </w:r>
      <w:r w:rsidR="00AA74C1" w:rsidRPr="00282C6E">
        <w:t>last yea</w:t>
      </w:r>
      <w:r w:rsidR="0081792D" w:rsidRPr="00282C6E">
        <w:t>r</w:t>
      </w:r>
      <w:r w:rsidR="002A0B80" w:rsidRPr="00282C6E">
        <w:t>.</w:t>
      </w:r>
      <w:r w:rsidR="00F04BC9">
        <w:t xml:space="preserve"> </w:t>
      </w:r>
      <w:r w:rsidR="00F56A37">
        <w:t>S</w:t>
      </w:r>
      <w:r w:rsidR="00282C6E">
        <w:t>pending on services</w:t>
      </w:r>
      <w:r w:rsidR="00F56A37">
        <w:t xml:space="preserve"> grew broadly, led by other services (a category including international travel) and food services and accommodations</w:t>
      </w:r>
      <w:r w:rsidR="006A656A">
        <w:t xml:space="preserve">. </w:t>
      </w:r>
      <w:r w:rsidR="006A656A">
        <w:lastRenderedPageBreak/>
        <w:t>S</w:t>
      </w:r>
      <w:r w:rsidR="00282C6E">
        <w:t>pending for goods</w:t>
      </w:r>
      <w:r w:rsidR="006A656A">
        <w:t xml:space="preserve"> </w:t>
      </w:r>
      <w:r w:rsidR="00F56A37">
        <w:t>also increased</w:t>
      </w:r>
      <w:r w:rsidR="00282C6E">
        <w:t xml:space="preserve">, </w:t>
      </w:r>
      <w:r w:rsidR="00F56A37">
        <w:t>specifically nondurable goods, led by energy goods including gasoline. A decrease in spending on durable goods, especially</w:t>
      </w:r>
      <w:r w:rsidR="006A656A">
        <w:t xml:space="preserve"> </w:t>
      </w:r>
      <w:r w:rsidR="00282C6E">
        <w:t>motor vehicles and parts</w:t>
      </w:r>
      <w:r w:rsidR="00F56A37">
        <w:t>, moderated the advance in PCE</w:t>
      </w:r>
      <w:r w:rsidR="00282C6E" w:rsidRPr="00134929">
        <w:t>.</w:t>
      </w:r>
    </w:p>
    <w:p w14:paraId="419D69CE" w14:textId="5716BDEB" w:rsidR="00A96A6A" w:rsidRDefault="0022724A" w:rsidP="00CF06AE">
      <w:pPr>
        <w:jc w:val="center"/>
      </w:pPr>
      <w:r>
        <w:rPr>
          <w:noProof/>
        </w:rPr>
        <w:drawing>
          <wp:inline distT="0" distB="0" distL="0" distR="0" wp14:anchorId="40037E53" wp14:editId="17E569C1">
            <wp:extent cx="3499485" cy="2603500"/>
            <wp:effectExtent l="0" t="0" r="5715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3" w14:textId="1F744364" w:rsidR="0079609A" w:rsidRDefault="00D148FE" w:rsidP="00F92FD1">
      <w:r>
        <w:t xml:space="preserve">Auto manufacturers </w:t>
      </w:r>
      <w:r w:rsidR="00695980">
        <w:t xml:space="preserve">reported </w:t>
      </w:r>
      <w:r w:rsidR="00210DB1">
        <w:t>1</w:t>
      </w:r>
      <w:r w:rsidR="00F56A37">
        <w:t>3</w:t>
      </w:r>
      <w:r w:rsidR="00976B7D">
        <w:t>.</w:t>
      </w:r>
      <w:r w:rsidR="00F62F17">
        <w:t>3</w:t>
      </w:r>
      <w:r w:rsidR="00210DB1">
        <w:t xml:space="preserve"> </w:t>
      </w:r>
      <w:r w:rsidR="0079609A" w:rsidRPr="008B37F0">
        <w:t>million autos and light trucks sold</w:t>
      </w:r>
      <w:r w:rsidR="00933E80">
        <w:rPr>
          <w:rStyle w:val="FootnoteReference"/>
        </w:rPr>
        <w:footnoteReference w:id="34"/>
      </w:r>
      <w:r w:rsidR="0079609A" w:rsidRPr="008B37F0">
        <w:t xml:space="preserve"> in </w:t>
      </w:r>
      <w:r w:rsidR="00F56A37">
        <w:t>March 2022</w:t>
      </w:r>
      <w:r w:rsidR="008B3E4E">
        <w:t>,</w:t>
      </w:r>
      <w:r w:rsidR="005B40E5">
        <w:t xml:space="preserve"> </w:t>
      </w:r>
      <w:r w:rsidR="006A656A">
        <w:t xml:space="preserve">up </w:t>
      </w:r>
      <w:r w:rsidR="00F56A37">
        <w:t>6.</w:t>
      </w:r>
      <w:r w:rsidR="00112619">
        <w:t>3</w:t>
      </w:r>
      <w:r w:rsidR="006A656A">
        <w:t xml:space="preserve">% from </w:t>
      </w:r>
      <w:r w:rsidR="00F56A37">
        <w:t>December</w:t>
      </w:r>
      <w:r w:rsidR="00140B44">
        <w:t xml:space="preserve">. </w:t>
      </w:r>
      <w:r w:rsidR="00B0457A">
        <w:t>N</w:t>
      </w:r>
      <w:r w:rsidR="00D822BB">
        <w:t>ew vehicle prices</w:t>
      </w:r>
      <w:r w:rsidR="00D822BB">
        <w:rPr>
          <w:rStyle w:val="FootnoteReference"/>
        </w:rPr>
        <w:footnoteReference w:id="35"/>
      </w:r>
      <w:r w:rsidR="00D822BB">
        <w:t xml:space="preserve">, </w:t>
      </w:r>
      <w:r w:rsidR="00B0457A">
        <w:t>built on their</w:t>
      </w:r>
      <w:r w:rsidR="00D822BB">
        <w:t xml:space="preserve"> </w:t>
      </w:r>
      <w:r w:rsidR="00CF63FE">
        <w:t>record</w:t>
      </w:r>
      <w:r w:rsidR="00D822BB">
        <w:t xml:space="preserve"> high </w:t>
      </w:r>
      <w:r w:rsidR="00CF63FE">
        <w:t>by a further 0.8% during the 1</w:t>
      </w:r>
      <w:r w:rsidR="00CF63FE" w:rsidRPr="00CF63FE">
        <w:rPr>
          <w:vertAlign w:val="superscript"/>
        </w:rPr>
        <w:t>st</w:t>
      </w:r>
      <w:r w:rsidR="00CF63FE">
        <w:t xml:space="preserve"> quarter</w:t>
      </w:r>
      <w:r w:rsidR="002530D7">
        <w:t xml:space="preserve">. </w:t>
      </w:r>
      <w:r w:rsidR="00CF63FE">
        <w:t>In contrast, u</w:t>
      </w:r>
      <w:r w:rsidR="002530D7">
        <w:t>sed car</w:t>
      </w:r>
      <w:r w:rsidR="00340262">
        <w:t xml:space="preserve"> prices</w:t>
      </w:r>
      <w:r w:rsidR="002530D7">
        <w:rPr>
          <w:rStyle w:val="FootnoteReference"/>
        </w:rPr>
        <w:footnoteReference w:id="36"/>
      </w:r>
      <w:r w:rsidR="002530D7">
        <w:t xml:space="preserve"> </w:t>
      </w:r>
      <w:r w:rsidR="00CF63FE">
        <w:t xml:space="preserve">fell 2.6% </w:t>
      </w:r>
      <w:r w:rsidR="00B0457A">
        <w:t>for the quarter</w:t>
      </w:r>
      <w:r w:rsidR="002530D7">
        <w:t xml:space="preserve">. </w:t>
      </w:r>
    </w:p>
    <w:p w14:paraId="571A905C" w14:textId="3D96FCA5" w:rsidR="002E3647" w:rsidRDefault="0022724A" w:rsidP="003A679B">
      <w:pPr>
        <w:jc w:val="center"/>
      </w:pPr>
      <w:r>
        <w:rPr>
          <w:noProof/>
        </w:rPr>
        <w:drawing>
          <wp:inline distT="0" distB="0" distL="0" distR="0" wp14:anchorId="4A222881" wp14:editId="2006BD40">
            <wp:extent cx="4090670" cy="2603500"/>
            <wp:effectExtent l="0" t="0" r="508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75FF" w14:textId="4A4A0F0C" w:rsidR="002E3647" w:rsidRDefault="008A581A" w:rsidP="00354195">
      <w:r w:rsidRPr="002E3647">
        <w:lastRenderedPageBreak/>
        <w:t xml:space="preserve">The </w:t>
      </w:r>
      <w:r w:rsidR="00661AA7">
        <w:t xml:space="preserve">University of Michigan’s </w:t>
      </w:r>
      <w:r w:rsidRPr="002E3647">
        <w:t>c</w:t>
      </w:r>
      <w:r w:rsidR="008C5503" w:rsidRPr="002E3647">
        <w:t>onsumer sentiment</w:t>
      </w:r>
      <w:r w:rsidR="00661AA7">
        <w:t xml:space="preserve"> index</w:t>
      </w:r>
      <w:r w:rsidR="00291FFB" w:rsidRPr="002E3647">
        <w:rPr>
          <w:rStyle w:val="FootnoteReference"/>
        </w:rPr>
        <w:footnoteReference w:id="37"/>
      </w:r>
      <w:r w:rsidR="008C5503" w:rsidRPr="002E3647">
        <w:t xml:space="preserve"> </w:t>
      </w:r>
      <w:r w:rsidR="00D86638">
        <w:t>fell throughout the 1</w:t>
      </w:r>
      <w:r w:rsidR="00D86638" w:rsidRPr="00D86638">
        <w:rPr>
          <w:vertAlign w:val="superscript"/>
        </w:rPr>
        <w:t>st</w:t>
      </w:r>
      <w:r w:rsidR="00D86638">
        <w:t xml:space="preserve"> quarter to 59.4, its lowest level since the summer of 2011</w:t>
      </w:r>
      <w:r w:rsidR="00B1397B">
        <w:t xml:space="preserve">. </w:t>
      </w:r>
      <w:r w:rsidR="00FD1259">
        <w:t xml:space="preserve">The decline </w:t>
      </w:r>
      <w:r w:rsidR="00015329">
        <w:t xml:space="preserve">primarily </w:t>
      </w:r>
      <w:r w:rsidR="00FD1259">
        <w:t xml:space="preserve">reflected </w:t>
      </w:r>
      <w:r w:rsidR="00015329">
        <w:t xml:space="preserve">expectations held by half of all </w:t>
      </w:r>
      <w:r w:rsidR="00FD1259">
        <w:t>consumers</w:t>
      </w:r>
      <w:r w:rsidR="00D86638">
        <w:t xml:space="preserve"> that inflation would erode their household incomes </w:t>
      </w:r>
      <w:r w:rsidR="00015329">
        <w:t xml:space="preserve">and reduce their living standards </w:t>
      </w:r>
      <w:r w:rsidR="00D86638">
        <w:t>in the coming year</w:t>
      </w:r>
      <w:r w:rsidR="00D029B3">
        <w:t>.</w:t>
      </w:r>
      <w:r w:rsidR="00FD1259">
        <w:t xml:space="preserve"> </w:t>
      </w:r>
      <w:r w:rsidR="00BF72BA">
        <w:t>The</w:t>
      </w:r>
      <w:r w:rsidR="006970E9" w:rsidRPr="002E3647">
        <w:t xml:space="preserve"> </w:t>
      </w:r>
      <w:r w:rsidR="00D029B3">
        <w:t xml:space="preserve">consumer sentiment </w:t>
      </w:r>
      <w:r w:rsidR="00BF72BA">
        <w:t xml:space="preserve">index </w:t>
      </w:r>
      <w:r w:rsidR="00D86638">
        <w:t>in March stood</w:t>
      </w:r>
      <w:r w:rsidR="00071A81">
        <w:t xml:space="preserve"> far </w:t>
      </w:r>
      <w:r w:rsidR="00B973A1">
        <w:t xml:space="preserve">short of its </w:t>
      </w:r>
      <w:r w:rsidR="006970E9" w:rsidRPr="002E3647">
        <w:t xml:space="preserve">30-year average of </w:t>
      </w:r>
      <w:r w:rsidRPr="002E3647">
        <w:t>87.</w:t>
      </w:r>
      <w:r w:rsidR="00FD1259">
        <w:t>5</w:t>
      </w:r>
      <w:r w:rsidR="00291FFB" w:rsidRPr="002E3647">
        <w:t>.</w:t>
      </w:r>
      <w:r w:rsidR="00B973A1">
        <w:t xml:space="preserve"> </w:t>
      </w:r>
    </w:p>
    <w:p w14:paraId="182CF22B" w14:textId="02134FB5" w:rsidR="000D5719" w:rsidRDefault="00D22722" w:rsidP="002E3647">
      <w:pPr>
        <w:jc w:val="center"/>
      </w:pPr>
      <w:r>
        <w:rPr>
          <w:noProof/>
        </w:rPr>
        <w:drawing>
          <wp:inline distT="0" distB="0" distL="0" distR="0" wp14:anchorId="0357075B" wp14:editId="51AD57EF">
            <wp:extent cx="4090670" cy="2651760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6" w14:textId="77777777" w:rsidR="0091664E" w:rsidRDefault="0091664E" w:rsidP="0091664E">
      <w:pPr>
        <w:pStyle w:val="Heading1"/>
      </w:pPr>
      <w:r>
        <w:t>Capital Markets</w:t>
      </w:r>
    </w:p>
    <w:p w14:paraId="0F5E50D3" w14:textId="747DD42B" w:rsidR="00855C4E" w:rsidRDefault="003D1D39" w:rsidP="00B875CA">
      <w:pPr>
        <w:rPr>
          <w:noProof/>
        </w:rPr>
      </w:pPr>
      <w:r>
        <w:rPr>
          <w:noProof/>
        </w:rPr>
        <w:t xml:space="preserve">The table below shows the </w:t>
      </w:r>
      <w:r w:rsidR="00C427E3">
        <w:rPr>
          <w:noProof/>
        </w:rPr>
        <w:t>quarterly, year-to-date,</w:t>
      </w:r>
      <w:r>
        <w:rPr>
          <w:noProof/>
        </w:rPr>
        <w:t xml:space="preserve"> and 12-month performance of major </w:t>
      </w:r>
      <w:r w:rsidR="00BD4FA3">
        <w:rPr>
          <w:noProof/>
        </w:rPr>
        <w:t>U.S.</w:t>
      </w:r>
      <w:r>
        <w:rPr>
          <w:noProof/>
        </w:rPr>
        <w:t xml:space="preserve"> equity indices. </w:t>
      </w:r>
      <w:r w:rsidR="009E14E6">
        <w:rPr>
          <w:noProof/>
        </w:rPr>
        <w:t xml:space="preserve">Capital markets </w:t>
      </w:r>
      <w:r w:rsidR="006630E1">
        <w:rPr>
          <w:noProof/>
        </w:rPr>
        <w:t>suffered losses in the</w:t>
      </w:r>
      <w:r w:rsidR="009E14E6">
        <w:rPr>
          <w:noProof/>
        </w:rPr>
        <w:t xml:space="preserve"> </w:t>
      </w:r>
      <w:r w:rsidR="00015329">
        <w:rPr>
          <w:noProof/>
        </w:rPr>
        <w:t>1</w:t>
      </w:r>
      <w:r w:rsidR="00015329" w:rsidRPr="00015329">
        <w:rPr>
          <w:noProof/>
          <w:vertAlign w:val="superscript"/>
        </w:rPr>
        <w:t>st</w:t>
      </w:r>
      <w:r w:rsidR="00015329">
        <w:rPr>
          <w:noProof/>
        </w:rPr>
        <w:t xml:space="preserve"> </w:t>
      </w:r>
      <w:r w:rsidR="009E14E6">
        <w:rPr>
          <w:noProof/>
        </w:rPr>
        <w:t>quarter of 202</w:t>
      </w:r>
      <w:r w:rsidR="00015329">
        <w:rPr>
          <w:noProof/>
        </w:rPr>
        <w:t>2</w:t>
      </w:r>
      <w:r w:rsidR="009E14E6">
        <w:rPr>
          <w:noProof/>
        </w:rPr>
        <w:t xml:space="preserve"> </w:t>
      </w:r>
      <w:r w:rsidR="00B13CE7">
        <w:rPr>
          <w:noProof/>
        </w:rPr>
        <w:t>as investors anticipated</w:t>
      </w:r>
      <w:r w:rsidR="00B13CE7" w:rsidRPr="00B13CE7">
        <w:rPr>
          <w:noProof/>
        </w:rPr>
        <w:t xml:space="preserve"> a </w:t>
      </w:r>
      <w:r w:rsidR="00B13CE7">
        <w:rPr>
          <w:noProof/>
        </w:rPr>
        <w:t>series of interest rate hikes</w:t>
      </w:r>
      <w:r w:rsidR="00B13CE7" w:rsidRPr="00B13CE7">
        <w:rPr>
          <w:noProof/>
        </w:rPr>
        <w:t xml:space="preserve"> from the Fed</w:t>
      </w:r>
      <w:r w:rsidR="00B13CE7">
        <w:rPr>
          <w:noProof/>
        </w:rPr>
        <w:t xml:space="preserve"> in response to still-surging inflation</w:t>
      </w:r>
      <w:r w:rsidR="00D40A47">
        <w:rPr>
          <w:noProof/>
        </w:rPr>
        <w:t>,</w:t>
      </w:r>
      <w:r w:rsidR="00B13CE7" w:rsidRPr="00B13CE7">
        <w:rPr>
          <w:noProof/>
        </w:rPr>
        <w:t xml:space="preserve"> </w:t>
      </w:r>
      <w:r w:rsidR="00D40A47">
        <w:rPr>
          <w:noProof/>
        </w:rPr>
        <w:t>as well as</w:t>
      </w:r>
      <w:r w:rsidR="00B13CE7" w:rsidRPr="00B13CE7">
        <w:rPr>
          <w:noProof/>
        </w:rPr>
        <w:t xml:space="preserve"> </w:t>
      </w:r>
      <w:r w:rsidR="00D40A47">
        <w:rPr>
          <w:noProof/>
        </w:rPr>
        <w:t>the geopolitical reaction</w:t>
      </w:r>
      <w:r w:rsidR="00B13CE7">
        <w:rPr>
          <w:noProof/>
        </w:rPr>
        <w:t xml:space="preserve"> to </w:t>
      </w:r>
      <w:r w:rsidR="00B13CE7" w:rsidRPr="00B13CE7">
        <w:rPr>
          <w:noProof/>
        </w:rPr>
        <w:t>Russia’s invasion of Ukraine</w:t>
      </w:r>
      <w:r>
        <w:rPr>
          <w:noProof/>
        </w:rPr>
        <w:t xml:space="preserve">. </w:t>
      </w:r>
      <w:r w:rsidR="00753854">
        <w:rPr>
          <w:noProof/>
        </w:rPr>
        <w:t>T</w:t>
      </w:r>
      <w:r>
        <w:rPr>
          <w:noProof/>
        </w:rPr>
        <w:t xml:space="preserve">he </w:t>
      </w:r>
      <w:r w:rsidR="00D40A47">
        <w:rPr>
          <w:noProof/>
        </w:rPr>
        <w:t>NASDAQ Composite dropped 9.1% druing the 1</w:t>
      </w:r>
      <w:r w:rsidR="00D40A47" w:rsidRPr="00D40A47">
        <w:rPr>
          <w:noProof/>
          <w:vertAlign w:val="superscript"/>
        </w:rPr>
        <w:t>st</w:t>
      </w:r>
      <w:r w:rsidR="00D40A47">
        <w:rPr>
          <w:noProof/>
        </w:rPr>
        <w:t xml:space="preserve"> quarter of 2022 and the Wilshire 5000 fell </w:t>
      </w:r>
      <w:r w:rsidR="00112619">
        <w:rPr>
          <w:noProof/>
        </w:rPr>
        <w:t>8.5</w:t>
      </w:r>
      <w:r w:rsidR="00D40A47">
        <w:rPr>
          <w:noProof/>
        </w:rPr>
        <w:t xml:space="preserve">%. </w:t>
      </w:r>
      <w:r w:rsidR="00112619">
        <w:rPr>
          <w:noProof/>
        </w:rPr>
        <w:t xml:space="preserve">The </w:t>
      </w:r>
      <w:r w:rsidR="009E14E6">
        <w:rPr>
          <w:noProof/>
        </w:rPr>
        <w:t xml:space="preserve">S&amp;P 500 </w:t>
      </w:r>
      <w:r w:rsidR="00D40A47">
        <w:rPr>
          <w:noProof/>
        </w:rPr>
        <w:t>was down 4</w:t>
      </w:r>
      <w:r w:rsidR="009E14E6">
        <w:rPr>
          <w:noProof/>
        </w:rPr>
        <w:t>.</w:t>
      </w:r>
      <w:r w:rsidR="00D40A47">
        <w:rPr>
          <w:noProof/>
        </w:rPr>
        <w:t>9</w:t>
      </w:r>
      <w:r w:rsidR="009E14E6">
        <w:rPr>
          <w:noProof/>
        </w:rPr>
        <w:t>% during the quarter</w:t>
      </w:r>
      <w:r w:rsidR="00D40A47">
        <w:rPr>
          <w:noProof/>
        </w:rPr>
        <w:t xml:space="preserve"> and the </w:t>
      </w:r>
      <w:r>
        <w:rPr>
          <w:noProof/>
        </w:rPr>
        <w:t xml:space="preserve">Dow </w:t>
      </w:r>
      <w:r w:rsidR="00182738">
        <w:rPr>
          <w:noProof/>
        </w:rPr>
        <w:t>J</w:t>
      </w:r>
      <w:r>
        <w:rPr>
          <w:noProof/>
        </w:rPr>
        <w:t>ones</w:t>
      </w:r>
      <w:r w:rsidR="00C427E3">
        <w:rPr>
          <w:noProof/>
        </w:rPr>
        <w:t xml:space="preserve"> </w:t>
      </w:r>
      <w:r w:rsidR="00182738">
        <w:rPr>
          <w:noProof/>
        </w:rPr>
        <w:t>Industrial</w:t>
      </w:r>
      <w:r>
        <w:rPr>
          <w:noProof/>
        </w:rPr>
        <w:t xml:space="preserve"> Average </w:t>
      </w:r>
      <w:r w:rsidR="00D40A47">
        <w:rPr>
          <w:noProof/>
        </w:rPr>
        <w:t>was down 4.6</w:t>
      </w:r>
      <w:r w:rsidR="00C427E3">
        <w:rPr>
          <w:noProof/>
        </w:rPr>
        <w:t>%</w:t>
      </w:r>
      <w:r>
        <w:rPr>
          <w:noProof/>
        </w:rPr>
        <w:t>.</w:t>
      </w:r>
    </w:p>
    <w:p w14:paraId="79C54A89" w14:textId="349F6A9C" w:rsidR="002E3647" w:rsidRDefault="008048AD" w:rsidP="00855C4E">
      <w:pPr>
        <w:jc w:val="center"/>
        <w:rPr>
          <w:noProof/>
        </w:rPr>
      </w:pPr>
      <w:r w:rsidRPr="008048AD">
        <w:rPr>
          <w:noProof/>
        </w:rPr>
        <w:drawing>
          <wp:inline distT="0" distB="0" distL="0" distR="0" wp14:anchorId="6043FECD" wp14:editId="5CEE14C3">
            <wp:extent cx="5591175" cy="14763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D39">
        <w:br/>
      </w:r>
    </w:p>
    <w:p w14:paraId="3743084E" w14:textId="4B36FB39" w:rsidR="00857079" w:rsidRDefault="009C125D" w:rsidP="00BB3B0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74BAAA23" wp14:editId="16FB8C03">
            <wp:extent cx="4097020" cy="265811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0E509" w14:textId="79AE6923" w:rsidR="00100DF8" w:rsidRDefault="00100DF8" w:rsidP="003D1D39">
      <w:pPr>
        <w:rPr>
          <w:noProof/>
        </w:rPr>
      </w:pPr>
      <w:r>
        <w:t>Stock market v</w:t>
      </w:r>
      <w:r w:rsidR="0007515A">
        <w:t>olatility</w:t>
      </w:r>
      <w:r w:rsidR="00A1419D">
        <w:t>, as measured by the VIX</w:t>
      </w:r>
      <w:r w:rsidR="00A1419D">
        <w:rPr>
          <w:rStyle w:val="FootnoteReference"/>
        </w:rPr>
        <w:t xml:space="preserve"> </w:t>
      </w:r>
      <w:r w:rsidR="0007515A">
        <w:rPr>
          <w:rStyle w:val="FootnoteReference"/>
        </w:rPr>
        <w:footnoteReference w:id="38"/>
      </w:r>
      <w:r w:rsidR="005573A8">
        <w:t>,</w:t>
      </w:r>
      <w:r>
        <w:t xml:space="preserve"> ended the </w:t>
      </w:r>
      <w:r w:rsidR="00D40A47">
        <w:t>1</w:t>
      </w:r>
      <w:r w:rsidR="00D40A47" w:rsidRPr="00D40A47">
        <w:rPr>
          <w:vertAlign w:val="superscript"/>
        </w:rPr>
        <w:t>st</w:t>
      </w:r>
      <w:r w:rsidR="00D40A47">
        <w:t xml:space="preserve"> </w:t>
      </w:r>
      <w:r>
        <w:t>quarter</w:t>
      </w:r>
      <w:r w:rsidR="0036641E">
        <w:t xml:space="preserve"> </w:t>
      </w:r>
      <w:r>
        <w:t xml:space="preserve">at </w:t>
      </w:r>
      <w:r w:rsidR="00D40A47">
        <w:t>20.6</w:t>
      </w:r>
      <w:r w:rsidR="00050BF6">
        <w:t xml:space="preserve">, </w:t>
      </w:r>
      <w:r w:rsidR="00CB7F52">
        <w:t>up</w:t>
      </w:r>
      <w:r w:rsidR="00050BF6">
        <w:t xml:space="preserve"> </w:t>
      </w:r>
      <w:r w:rsidR="004F1136">
        <w:t>19.</w:t>
      </w:r>
      <w:r w:rsidR="00CB7F52">
        <w:t>4</w:t>
      </w:r>
      <w:r w:rsidR="00050BF6">
        <w:t>% since the prior quarter</w:t>
      </w:r>
      <w:r w:rsidR="003D1D39">
        <w:t>.</w:t>
      </w:r>
      <w:r w:rsidR="00B45117">
        <w:t xml:space="preserve"> </w:t>
      </w:r>
      <w:r w:rsidR="00373A3D">
        <w:t>After climbing through most of February, the</w:t>
      </w:r>
      <w:r w:rsidR="00CB7F52">
        <w:t xml:space="preserve"> index </w:t>
      </w:r>
      <w:r w:rsidR="00373A3D">
        <w:t>reached a peak on March 7</w:t>
      </w:r>
      <w:r w:rsidR="00CB7F52">
        <w:t xml:space="preserve">, as </w:t>
      </w:r>
      <w:r w:rsidR="00373A3D">
        <w:t>a 3</w:t>
      </w:r>
      <w:r w:rsidR="00373A3D" w:rsidRPr="00373A3D">
        <w:rPr>
          <w:vertAlign w:val="superscript"/>
        </w:rPr>
        <w:t>rd</w:t>
      </w:r>
      <w:r w:rsidR="00373A3D">
        <w:t xml:space="preserve"> round of peace talks between Ukraine and Russia proved fruitless, renewing concerns over global energy costs</w:t>
      </w:r>
      <w:r w:rsidR="00CB7F52">
        <w:t>.</w:t>
      </w:r>
    </w:p>
    <w:p w14:paraId="29D9D20D" w14:textId="5358EE5B" w:rsidR="00661AA7" w:rsidRPr="00354195" w:rsidRDefault="008048AD" w:rsidP="00404E89">
      <w:pPr>
        <w:jc w:val="center"/>
      </w:pPr>
      <w:r>
        <w:rPr>
          <w:noProof/>
        </w:rPr>
        <w:drawing>
          <wp:inline distT="0" distB="0" distL="0" distR="0" wp14:anchorId="5F259398" wp14:editId="0C4BCF35">
            <wp:extent cx="4097020" cy="26155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93" w14:textId="77777777" w:rsidR="00E44639" w:rsidRDefault="00E44639" w:rsidP="00E44639">
      <w:pPr>
        <w:pStyle w:val="Heading1"/>
      </w:pPr>
      <w:r>
        <w:t>Outlook</w:t>
      </w:r>
    </w:p>
    <w:p w14:paraId="71C9C508" w14:textId="6A345DA0" w:rsidR="005573A8" w:rsidRPr="0007242E" w:rsidRDefault="003071CD" w:rsidP="00E44639">
      <w:r w:rsidRPr="0007242E">
        <w:t xml:space="preserve">In </w:t>
      </w:r>
      <w:r w:rsidR="00452720">
        <w:t>March</w:t>
      </w:r>
      <w:r w:rsidRPr="0007242E">
        <w:t xml:space="preserve"> 20</w:t>
      </w:r>
      <w:r w:rsidR="005573A8" w:rsidRPr="0007242E">
        <w:t>2</w:t>
      </w:r>
      <w:r w:rsidR="00452720">
        <w:t>2</w:t>
      </w:r>
      <w:r w:rsidRPr="0007242E">
        <w:t xml:space="preserve">, the FOMC </w:t>
      </w:r>
      <w:r w:rsidR="005573A8" w:rsidRPr="0007242E">
        <w:t xml:space="preserve">revised their </w:t>
      </w:r>
      <w:r w:rsidR="000755E2">
        <w:t xml:space="preserve">near-term </w:t>
      </w:r>
      <w:r w:rsidR="005573A8" w:rsidRPr="0007242E">
        <w:t xml:space="preserve">inflation projections upward </w:t>
      </w:r>
      <w:r w:rsidR="000755E2">
        <w:t xml:space="preserve">and </w:t>
      </w:r>
      <w:r w:rsidR="0007242E">
        <w:t>real GDP</w:t>
      </w:r>
      <w:r w:rsidR="005573A8" w:rsidRPr="0007242E">
        <w:t xml:space="preserve"> </w:t>
      </w:r>
      <w:r w:rsidR="000755E2">
        <w:t>projections downward</w:t>
      </w:r>
      <w:r w:rsidR="00D31480">
        <w:t xml:space="preserve">; </w:t>
      </w:r>
      <w:r w:rsidR="00452720">
        <w:t xml:space="preserve">unemployment rate projections </w:t>
      </w:r>
      <w:r w:rsidR="00D31480">
        <w:t>were little changed</w:t>
      </w:r>
      <w:r w:rsidR="0007242E">
        <w:t>. L</w:t>
      </w:r>
      <w:r w:rsidR="005573A8" w:rsidRPr="0007242E">
        <w:t>onger</w:t>
      </w:r>
      <w:r w:rsidR="00452720">
        <w:t>-</w:t>
      </w:r>
      <w:r w:rsidR="005573A8" w:rsidRPr="0007242E">
        <w:t>run projections for all three indicators</w:t>
      </w:r>
      <w:r w:rsidR="0007242E">
        <w:t xml:space="preserve"> </w:t>
      </w:r>
      <w:r w:rsidR="00D31480">
        <w:t>held relatively steady</w:t>
      </w:r>
      <w:r w:rsidR="005573A8" w:rsidRPr="0007242E">
        <w:t xml:space="preserve">. </w:t>
      </w:r>
    </w:p>
    <w:p w14:paraId="1779A15E" w14:textId="79B4EC1D" w:rsidR="00855C4E" w:rsidRDefault="005573A8" w:rsidP="00855C4E">
      <w:r w:rsidRPr="0007242E">
        <w:lastRenderedPageBreak/>
        <w:t>The FOMC revised their projection</w:t>
      </w:r>
      <w:r w:rsidR="00F60736" w:rsidRPr="0007242E">
        <w:t xml:space="preserve"> </w:t>
      </w:r>
      <w:r w:rsidRPr="0007242E">
        <w:t xml:space="preserve">for </w:t>
      </w:r>
      <w:r w:rsidR="00F60736" w:rsidRPr="0007242E">
        <w:t>real GDP</w:t>
      </w:r>
      <w:r w:rsidR="00BF5CE2" w:rsidRPr="0007242E">
        <w:rPr>
          <w:rStyle w:val="FootnoteReference"/>
        </w:rPr>
        <w:footnoteReference w:id="39"/>
      </w:r>
      <w:r w:rsidR="00F60736" w:rsidRPr="0007242E">
        <w:t xml:space="preserve"> </w:t>
      </w:r>
      <w:r w:rsidR="0039421C" w:rsidRPr="0007242E">
        <w:t xml:space="preserve">to </w:t>
      </w:r>
      <w:r w:rsidR="00452720">
        <w:t>2.</w:t>
      </w:r>
      <w:r w:rsidR="00922197">
        <w:t>75</w:t>
      </w:r>
      <w:r w:rsidR="00F60736" w:rsidRPr="0007242E">
        <w:t>%</w:t>
      </w:r>
      <w:r w:rsidR="0049182B" w:rsidRPr="0007242E">
        <w:t xml:space="preserve"> growth in</w:t>
      </w:r>
      <w:r w:rsidR="00F60736" w:rsidRPr="0007242E">
        <w:t xml:space="preserve"> 20</w:t>
      </w:r>
      <w:r w:rsidR="00090DA6" w:rsidRPr="0007242E">
        <w:t>2</w:t>
      </w:r>
      <w:r w:rsidR="00452720">
        <w:t>2</w:t>
      </w:r>
      <w:r w:rsidR="0049182B" w:rsidRPr="0007242E">
        <w:t xml:space="preserve">, slowing to </w:t>
      </w:r>
      <w:r w:rsidR="00922197">
        <w:t>1.90</w:t>
      </w:r>
      <w:r w:rsidR="0049182B" w:rsidRPr="0007242E">
        <w:t xml:space="preserve">% </w:t>
      </w:r>
      <w:r w:rsidR="004F307A" w:rsidRPr="0007242E">
        <w:t>by</w:t>
      </w:r>
      <w:r w:rsidR="000D646D" w:rsidRPr="0007242E">
        <w:t xml:space="preserve"> 202</w:t>
      </w:r>
      <w:r w:rsidR="0007242E" w:rsidRPr="0007242E">
        <w:t>4</w:t>
      </w:r>
      <w:r w:rsidR="00F60736" w:rsidRPr="0007242E">
        <w:t>. They expect</w:t>
      </w:r>
      <w:r w:rsidRPr="0007242E">
        <w:t>ed</w:t>
      </w:r>
      <w:r w:rsidR="00F60736" w:rsidRPr="0007242E">
        <w:t xml:space="preserve"> Personal Consumption Expendit</w:t>
      </w:r>
      <w:r w:rsidR="00090DA6" w:rsidRPr="0007242E">
        <w:t>ures (PCE)</w:t>
      </w:r>
      <w:r w:rsidR="005D3CEF" w:rsidRPr="0007242E">
        <w:rPr>
          <w:rStyle w:val="FootnoteReference"/>
        </w:rPr>
        <w:footnoteReference w:id="40"/>
      </w:r>
      <w:r w:rsidR="00090DA6" w:rsidRPr="0007242E">
        <w:t xml:space="preserve"> to </w:t>
      </w:r>
      <w:r w:rsidRPr="0007242E">
        <w:t xml:space="preserve">grow </w:t>
      </w:r>
      <w:r w:rsidR="00D31480">
        <w:t>4.40</w:t>
      </w:r>
      <w:r w:rsidR="000F3008">
        <w:t>%</w:t>
      </w:r>
      <w:r w:rsidR="000755E2">
        <w:t xml:space="preserve"> </w:t>
      </w:r>
      <w:r w:rsidR="00D31480">
        <w:t>in</w:t>
      </w:r>
      <w:r w:rsidR="000755E2">
        <w:t xml:space="preserve"> 2022 </w:t>
      </w:r>
      <w:r w:rsidR="00D31480">
        <w:t>but</w:t>
      </w:r>
      <w:r w:rsidR="000755E2">
        <w:t xml:space="preserve"> </w:t>
      </w:r>
      <w:r w:rsidR="00D31480">
        <w:t>fall to</w:t>
      </w:r>
      <w:r w:rsidR="000755E2">
        <w:t xml:space="preserve"> 2.</w:t>
      </w:r>
      <w:r w:rsidR="00D31480">
        <w:t>25</w:t>
      </w:r>
      <w:r w:rsidR="000F3008">
        <w:t>%</w:t>
      </w:r>
      <w:r w:rsidR="000755E2">
        <w:t xml:space="preserve"> in 2024</w:t>
      </w:r>
      <w:r w:rsidRPr="0007242E">
        <w:t xml:space="preserve">. </w:t>
      </w:r>
      <w:r w:rsidR="00F60736" w:rsidRPr="0007242E">
        <w:t>The</w:t>
      </w:r>
      <w:r w:rsidR="004907DA" w:rsidRPr="0007242E">
        <w:t>y</w:t>
      </w:r>
      <w:r w:rsidR="00F60736" w:rsidRPr="0007242E">
        <w:t xml:space="preserve"> forecast th</w:t>
      </w:r>
      <w:r w:rsidR="004907DA" w:rsidRPr="0007242E">
        <w:t>at th</w:t>
      </w:r>
      <w:r w:rsidR="00F60736" w:rsidRPr="0007242E">
        <w:t>e unemployment rate</w:t>
      </w:r>
      <w:r w:rsidR="00E72196" w:rsidRPr="0007242E">
        <w:rPr>
          <w:rStyle w:val="FootnoteReference"/>
        </w:rPr>
        <w:footnoteReference w:id="41"/>
      </w:r>
      <w:r w:rsidR="00F60736" w:rsidRPr="0007242E">
        <w:t xml:space="preserve"> </w:t>
      </w:r>
      <w:r w:rsidR="000755E2">
        <w:t>would</w:t>
      </w:r>
      <w:r w:rsidR="00F60736" w:rsidRPr="0007242E">
        <w:t xml:space="preserve"> </w:t>
      </w:r>
      <w:r w:rsidR="000755E2">
        <w:t>be</w:t>
      </w:r>
      <w:r w:rsidRPr="0007242E">
        <w:t xml:space="preserve"> </w:t>
      </w:r>
      <w:r w:rsidR="00D31480">
        <w:t>3.</w:t>
      </w:r>
      <w:r w:rsidR="000755E2">
        <w:t>5</w:t>
      </w:r>
      <w:r w:rsidR="00D31480">
        <w:t>0</w:t>
      </w:r>
      <w:r w:rsidR="00F60736" w:rsidRPr="0007242E">
        <w:t>%</w:t>
      </w:r>
      <w:r w:rsidR="0039421C" w:rsidRPr="0007242E">
        <w:t xml:space="preserve"> in 202</w:t>
      </w:r>
      <w:r w:rsidR="00D31480">
        <w:t>2</w:t>
      </w:r>
      <w:r w:rsidR="0039421C" w:rsidRPr="0007242E">
        <w:t xml:space="preserve"> </w:t>
      </w:r>
      <w:r w:rsidR="0062444A" w:rsidRPr="0007242E">
        <w:t xml:space="preserve">and </w:t>
      </w:r>
      <w:r w:rsidRPr="0007242E">
        <w:t>3.</w:t>
      </w:r>
      <w:r w:rsidR="0007242E" w:rsidRPr="0007242E">
        <w:t>4</w:t>
      </w:r>
      <w:r w:rsidRPr="0007242E">
        <w:t>5</w:t>
      </w:r>
      <w:r w:rsidR="0049182B" w:rsidRPr="0007242E">
        <w:t xml:space="preserve">% </w:t>
      </w:r>
      <w:r w:rsidR="000755E2">
        <w:t>in</w:t>
      </w:r>
      <w:r w:rsidR="00F60736" w:rsidRPr="0007242E">
        <w:t xml:space="preserve"> 20</w:t>
      </w:r>
      <w:r w:rsidR="00090DA6" w:rsidRPr="0007242E">
        <w:t>2</w:t>
      </w:r>
      <w:r w:rsidR="0007242E" w:rsidRPr="0007242E">
        <w:t>4</w:t>
      </w:r>
      <w:r w:rsidR="003071CD" w:rsidRPr="0007242E">
        <w:t>.</w:t>
      </w:r>
      <w:r w:rsidR="005C22CA" w:rsidRPr="0007242E">
        <w:t xml:space="preserve"> Notably, the board projected </w:t>
      </w:r>
      <w:r w:rsidR="00D31480">
        <w:t xml:space="preserve">swifter and steeper </w:t>
      </w:r>
      <w:r w:rsidR="0007242E" w:rsidRPr="0007242E">
        <w:t>interest</w:t>
      </w:r>
      <w:r w:rsidR="005C22CA" w:rsidRPr="0007242E">
        <w:t xml:space="preserve"> rate hikes </w:t>
      </w:r>
      <w:r w:rsidR="00D31480">
        <w:t>than they did in December</w:t>
      </w:r>
      <w:r w:rsidR="005C22CA" w:rsidRPr="0007242E">
        <w:t>.</w:t>
      </w:r>
      <w:r w:rsidR="0033537B">
        <w:t xml:space="preserve"> The committee’s projections were reflective of the Fed’s intent to use monetary policy to c</w:t>
      </w:r>
      <w:r w:rsidR="00A54ACF">
        <w:t>ool searing inflation, a plan they expect to constrain GDP growth in the short term.</w:t>
      </w:r>
    </w:p>
    <w:p w14:paraId="4D630423" w14:textId="64A504F3" w:rsidR="00FD0160" w:rsidRDefault="008048AD" w:rsidP="00855C4E">
      <w:pPr>
        <w:jc w:val="center"/>
      </w:pPr>
      <w:r w:rsidRPr="008048AD">
        <w:rPr>
          <w:noProof/>
        </w:rPr>
        <w:drawing>
          <wp:inline distT="0" distB="0" distL="0" distR="0" wp14:anchorId="63782742" wp14:editId="72BA0028">
            <wp:extent cx="3914775" cy="1114425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A3C9" w14:textId="4CF9E1B8" w:rsidR="002301AB" w:rsidRDefault="002308A9">
      <w:r>
        <w:br w:type="page"/>
      </w:r>
    </w:p>
    <w:p w14:paraId="71E59CEA" w14:textId="6D7E62F8" w:rsidR="002308A9" w:rsidRDefault="002301AB">
      <w:pPr>
        <w:rPr>
          <w:rFonts w:asciiTheme="majorHAnsi" w:eastAsiaTheme="majorEastAsia" w:hAnsiTheme="majorHAnsi" w:cstheme="majorBidi"/>
          <w:color w:val="008FD5"/>
          <w:sz w:val="36"/>
          <w:szCs w:val="32"/>
        </w:rPr>
      </w:pPr>
      <w:r>
        <w:rPr>
          <w:rFonts w:asciiTheme="majorHAnsi" w:eastAsiaTheme="majorEastAsia" w:hAnsiTheme="majorHAnsi" w:cstheme="majorBidi"/>
          <w:color w:val="008FD5"/>
          <w:sz w:val="36"/>
          <w:szCs w:val="32"/>
        </w:rPr>
        <w:lastRenderedPageBreak/>
        <w:t>Appendix – Selected Interest Rates</w:t>
      </w:r>
    </w:p>
    <w:p w14:paraId="6F34C406" w14:textId="545FD953" w:rsidR="002301AB" w:rsidRDefault="006B19C3">
      <w:r w:rsidRPr="006B19C3">
        <w:rPr>
          <w:noProof/>
        </w:rPr>
        <w:drawing>
          <wp:inline distT="0" distB="0" distL="0" distR="0" wp14:anchorId="5908405C" wp14:editId="652FD835">
            <wp:extent cx="5467350" cy="78105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87" cy="78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5FB3" w14:textId="386CB697" w:rsidR="00005111" w:rsidRPr="0017465F" w:rsidRDefault="00005111" w:rsidP="001475FF">
      <w:pPr>
        <w:pStyle w:val="Heading1"/>
      </w:pPr>
      <w:r w:rsidRPr="0017465F">
        <w:lastRenderedPageBreak/>
        <w:t>About This Report</w:t>
      </w:r>
    </w:p>
    <w:p w14:paraId="149D5FB4" w14:textId="5800CD46" w:rsidR="002F3682" w:rsidRDefault="00BB34CA" w:rsidP="00005111">
      <w:r w:rsidRPr="0017465F">
        <w:t xml:space="preserve">The </w:t>
      </w:r>
      <w:r w:rsidRPr="0017465F">
        <w:rPr>
          <w:i/>
        </w:rPr>
        <w:t>Quarterly Economic Update</w:t>
      </w:r>
      <w:r w:rsidRPr="0017465F">
        <w:t xml:space="preserve"> is a free publication sponsored by TagniFi. You are free to share this report and include its contents in the economic outlook section of your valuation reports</w:t>
      </w:r>
      <w:r w:rsidR="00DF67C7" w:rsidRPr="0017465F">
        <w:t xml:space="preserve"> as required by </w:t>
      </w:r>
      <w:r w:rsidR="00DF67C7" w:rsidRPr="0017465F">
        <w:rPr>
          <w:i/>
        </w:rPr>
        <w:t>Revenue Ruling 59-60</w:t>
      </w:r>
      <w:r w:rsidRPr="0017465F">
        <w:t xml:space="preserve">. Please forward this </w:t>
      </w:r>
      <w:r w:rsidR="00DF67C7" w:rsidRPr="0017465F">
        <w:t xml:space="preserve">free </w:t>
      </w:r>
      <w:r w:rsidRPr="0017465F">
        <w:t>report to a c</w:t>
      </w:r>
      <w:r w:rsidR="00DF67C7" w:rsidRPr="0017465F">
        <w:t>olleague to help us spread the word about TagniFi</w:t>
      </w:r>
      <w:r w:rsidRPr="0017465F">
        <w:t>.</w:t>
      </w:r>
    </w:p>
    <w:p w14:paraId="5E6B4C93" w14:textId="2938085A" w:rsidR="00964DD4" w:rsidRPr="00964DD4" w:rsidRDefault="00964DD4" w:rsidP="00230D29">
      <w:pPr>
        <w:rPr>
          <w:rFonts w:ascii="Calibri Light" w:hAnsi="Calibri Light" w:cs="Calibri Light"/>
          <w:color w:val="008FD5"/>
          <w:sz w:val="36"/>
          <w:szCs w:val="36"/>
        </w:rPr>
      </w:pPr>
      <w:r w:rsidRPr="00964DD4">
        <w:rPr>
          <w:rFonts w:ascii="Calibri Light" w:hAnsi="Calibri Light" w:cs="Calibri Light"/>
          <w:color w:val="008FD5"/>
          <w:sz w:val="36"/>
          <w:szCs w:val="36"/>
        </w:rPr>
        <w:t>How TagniFi</w:t>
      </w:r>
      <w:r w:rsidR="005F5744">
        <w:rPr>
          <w:rFonts w:ascii="Calibri Light" w:hAnsi="Calibri Light" w:cs="Calibri Light"/>
          <w:color w:val="008FD5"/>
          <w:sz w:val="36"/>
          <w:szCs w:val="36"/>
        </w:rPr>
        <w:t xml:space="preserve"> Helps </w:t>
      </w:r>
      <w:r w:rsidRPr="00964DD4">
        <w:rPr>
          <w:rFonts w:ascii="Calibri Light" w:hAnsi="Calibri Light" w:cs="Calibri Light"/>
          <w:color w:val="008FD5"/>
          <w:sz w:val="36"/>
          <w:szCs w:val="36"/>
        </w:rPr>
        <w:t>Business Valuation</w:t>
      </w:r>
      <w:r w:rsidR="005F5744">
        <w:rPr>
          <w:rFonts w:ascii="Calibri Light" w:hAnsi="Calibri Light" w:cs="Calibri Light"/>
          <w:color w:val="008FD5"/>
          <w:sz w:val="36"/>
          <w:szCs w:val="36"/>
        </w:rPr>
        <w:t xml:space="preserve"> Teams</w:t>
      </w:r>
    </w:p>
    <w:p w14:paraId="1FE39938" w14:textId="7315018D" w:rsidR="00964DD4" w:rsidRDefault="00964DD4" w:rsidP="00230D29">
      <w:r w:rsidRPr="00964DD4">
        <w:t xml:space="preserve">TagniFi’s financial data platform empowers business valuation </w:t>
      </w:r>
      <w:r w:rsidR="00617DFF">
        <w:t>teams</w:t>
      </w:r>
      <w:r w:rsidRPr="00964DD4">
        <w:t xml:space="preserve"> to quickly and easily build highly accurate financial models with full transparency—and within seconds.</w:t>
      </w:r>
    </w:p>
    <w:p w14:paraId="5282F11A" w14:textId="77777777" w:rsidR="003D3C51" w:rsidRDefault="003D3C51" w:rsidP="00230D29"/>
    <w:p w14:paraId="736F547D" w14:textId="34D03572" w:rsidR="004C20AB" w:rsidRDefault="00617DFF" w:rsidP="00230D29">
      <w:r>
        <w:rPr>
          <w:b/>
          <w:bCs/>
        </w:rPr>
        <w:t xml:space="preserve">Better </w:t>
      </w:r>
      <w:r w:rsidR="004C20AB" w:rsidRPr="004C20AB">
        <w:rPr>
          <w:b/>
          <w:bCs/>
        </w:rPr>
        <w:t>Public Comps</w:t>
      </w:r>
      <w:r w:rsidR="004C20AB">
        <w:br/>
      </w:r>
      <w:r w:rsidR="004C20AB">
        <w:rPr>
          <w:noProof/>
        </w:rPr>
        <w:drawing>
          <wp:anchor distT="0" distB="0" distL="114300" distR="114300" simplePos="0" relativeHeight="251659776" behindDoc="0" locked="0" layoutInCell="1" allowOverlap="1" wp14:anchorId="0C218BE2" wp14:editId="5412CA4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6216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0AB" w:rsidRPr="004C20AB">
        <w:t>Search for public companies with TagniFi Web. Simply enter your valuation date and ticker symbols in Excel to run a guideline public company method.</w:t>
      </w:r>
      <w:r w:rsidR="004C20AB">
        <w:t xml:space="preserve"> Your Excel model populates instantly with the financial statements, analyst estimates, interest rates and economic data for your valuation date. </w:t>
      </w:r>
    </w:p>
    <w:p w14:paraId="70ABEE83" w14:textId="4BA88891" w:rsidR="004C20AB" w:rsidRDefault="004C20AB" w:rsidP="00230D29"/>
    <w:p w14:paraId="249DCE3B" w14:textId="77777777" w:rsidR="004C20AB" w:rsidRDefault="004C20AB" w:rsidP="004C20AB"/>
    <w:p w14:paraId="44A583AB" w14:textId="48F01EF7" w:rsidR="004C20AB" w:rsidRDefault="004C20AB" w:rsidP="004C20AB">
      <w:r w:rsidRPr="004C20AB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6657EAAE" wp14:editId="5C451360">
            <wp:simplePos x="0" y="0"/>
            <wp:positionH relativeFrom="column">
              <wp:posOffset>3524250</wp:posOffset>
            </wp:positionH>
            <wp:positionV relativeFrom="paragraph">
              <wp:posOffset>-478790</wp:posOffset>
            </wp:positionV>
            <wp:extent cx="2152650" cy="16141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DFF">
        <w:rPr>
          <w:b/>
          <w:bCs/>
        </w:rPr>
        <w:t xml:space="preserve">Better </w:t>
      </w:r>
      <w:r w:rsidRPr="004C20AB">
        <w:rPr>
          <w:b/>
          <w:bCs/>
        </w:rPr>
        <w:t>Transaction Comps</w:t>
      </w:r>
      <w:r>
        <w:br/>
      </w:r>
      <w:r w:rsidRPr="004C20AB">
        <w:t>Search for public and private M&amp;A transactions with TagniFi Web. Run your transaction comps within seconds by pasting the Deal ID into your Excel model.</w:t>
      </w:r>
      <w:r>
        <w:t xml:space="preserve"> Every deal disclosed in an SEC filing (8-K, 10-K, or 10-Q) is available for your analysis. Choose from over 90 fields of data available for every deal. </w:t>
      </w:r>
    </w:p>
    <w:p w14:paraId="67E200C4" w14:textId="310AA887" w:rsidR="003B0B22" w:rsidRDefault="003B0B22" w:rsidP="004C20AB">
      <w:pPr>
        <w:rPr>
          <w:b/>
          <w:bCs/>
        </w:rPr>
      </w:pPr>
      <w:r w:rsidRPr="004C20AB"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7A9B5416" wp14:editId="00F0202F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256790" cy="15595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>
                      <a:off x="0" y="0"/>
                      <a:ext cx="22567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5C467F" w14:textId="170F5616" w:rsidR="004C20AB" w:rsidRDefault="004C20AB" w:rsidP="004C20AB">
      <w:r w:rsidRPr="004C20AB">
        <w:rPr>
          <w:b/>
          <w:bCs/>
        </w:rPr>
        <w:t>Historical Beta and Volatility</w:t>
      </w:r>
      <w:r w:rsidRPr="004C20AB">
        <w:rPr>
          <w:b/>
          <w:bCs/>
        </w:rPr>
        <w:br/>
      </w:r>
      <w:r w:rsidRPr="004C20AB">
        <w:t xml:space="preserve">Calculate historical beta and volatility as of your valuation date automatically. Simply enter the tickers and valuation date in Excel </w:t>
      </w:r>
      <w:r w:rsidR="003B0B22">
        <w:t>-</w:t>
      </w:r>
      <w:r w:rsidRPr="004C20AB">
        <w:t xml:space="preserve"> TagniFi does the rest.</w:t>
      </w:r>
      <w:r w:rsidR="003B0B22">
        <w:t xml:space="preserve"> In addition to beta and volatility, there are over 40 Excel models available in the Model Library to help with your valuation report. </w:t>
      </w:r>
    </w:p>
    <w:p w14:paraId="42664782" w14:textId="50B2EA67" w:rsidR="003B0B22" w:rsidRDefault="003B0B22" w:rsidP="004C20AB"/>
    <w:p w14:paraId="4808FD9A" w14:textId="7CD3F2CA" w:rsidR="003B0B22" w:rsidRDefault="003B0B22" w:rsidP="004C20AB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F6FB4BC" wp14:editId="1BE8E9C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19325" cy="166449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Interest Rates and Economic Dat</w:t>
      </w:r>
      <w:r w:rsidR="00BC7E45">
        <w:rPr>
          <w:b/>
          <w:bCs/>
        </w:rPr>
        <w:t>a</w:t>
      </w:r>
      <w:r>
        <w:rPr>
          <w:b/>
          <w:bCs/>
        </w:rPr>
        <w:br/>
      </w:r>
      <w:r w:rsidRPr="003B0B22">
        <w:t>Automate the interest rates and economic data in your valuation report using the TagniFi Excel plugin. Choose from over 200,000 time series available.</w:t>
      </w:r>
      <w:r>
        <w:t xml:space="preserve"> All data in this </w:t>
      </w:r>
      <w:r w:rsidRPr="003B0B22">
        <w:rPr>
          <w:i/>
          <w:iCs/>
        </w:rPr>
        <w:t>Quarterly Economic Update</w:t>
      </w:r>
      <w:r>
        <w:t xml:space="preserve"> </w:t>
      </w:r>
      <w:r w:rsidR="002C5E52">
        <w:t>is</w:t>
      </w:r>
      <w:r>
        <w:t xml:space="preserve"> from the TagniFi platform.</w:t>
      </w:r>
      <w:r w:rsidR="002C5E52">
        <w:t xml:space="preserve"> Use economic and interest rate dat</w:t>
      </w:r>
      <w:r w:rsidR="006C08FA">
        <w:t>a</w:t>
      </w:r>
      <w:r w:rsidR="002C5E52">
        <w:t xml:space="preserve"> for your own valuation models with the TagniFi Excel plugin.</w:t>
      </w:r>
    </w:p>
    <w:p w14:paraId="76A748D9" w14:textId="6DA146B3" w:rsidR="002D4C10" w:rsidRDefault="002D4C10" w:rsidP="002D4C1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4BEAF36" wp14:editId="2559BE73">
            <wp:simplePos x="0" y="0"/>
            <wp:positionH relativeFrom="margin">
              <wp:posOffset>-635</wp:posOffset>
            </wp:positionH>
            <wp:positionV relativeFrom="paragraph">
              <wp:posOffset>296545</wp:posOffset>
            </wp:positionV>
            <wp:extent cx="2380615" cy="1819275"/>
            <wp:effectExtent l="0" t="0" r="635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15145" r="49039" b="54028"/>
                    <a:stretch/>
                  </pic:blipFill>
                  <pic:spPr bwMode="auto">
                    <a:xfrm>
                      <a:off x="0" y="0"/>
                      <a:ext cx="238061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224E1" w14:textId="64D6F5F8" w:rsidR="002D4C10" w:rsidRDefault="002D4C10" w:rsidP="002D4C10">
      <w:r>
        <w:rPr>
          <w:b/>
          <w:bCs/>
        </w:rPr>
        <w:br/>
        <w:t>Closed-End Mutual Fund Data</w:t>
      </w:r>
      <w:r w:rsidRPr="004C20AB">
        <w:rPr>
          <w:b/>
          <w:bCs/>
        </w:rPr>
        <w:br/>
      </w:r>
      <w:r>
        <w:t>Search for closed-end mutual funds by keyword, category, subcategory, and more with the TagniFi Console. Use the TagniFi Excel plugin to c</w:t>
      </w:r>
      <w:r w:rsidRPr="004C20AB">
        <w:t xml:space="preserve">alculate </w:t>
      </w:r>
      <w:r>
        <w:t xml:space="preserve">historical discounts, yields, leverage, </w:t>
      </w:r>
      <w:r w:rsidRPr="004C20AB">
        <w:t xml:space="preserve">as of your valuation date automatically. Simply enter the tickers and valuation date in Excel </w:t>
      </w:r>
      <w:r>
        <w:t>-</w:t>
      </w:r>
      <w:r w:rsidRPr="004C20AB">
        <w:t xml:space="preserve"> TagniFi does the rest.</w:t>
      </w:r>
      <w:r>
        <w:t xml:space="preserve"> </w:t>
      </w:r>
    </w:p>
    <w:p w14:paraId="26171B27" w14:textId="77777777" w:rsidR="002D4C10" w:rsidRPr="004C20AB" w:rsidRDefault="002D4C10" w:rsidP="004C20AB">
      <w:pPr>
        <w:rPr>
          <w:b/>
          <w:bCs/>
        </w:rPr>
      </w:pPr>
    </w:p>
    <w:sectPr w:rsidR="002D4C10" w:rsidRPr="004C20AB" w:rsidSect="00005111">
      <w:headerReference w:type="default" r:id="rId44"/>
      <w:footerReference w:type="default" r:id="rId45"/>
      <w:footerReference w:type="first" r:id="rId4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1326B" w14:textId="77777777" w:rsidR="004A707E" w:rsidRDefault="004A707E" w:rsidP="00171C8E">
      <w:pPr>
        <w:spacing w:after="0" w:line="240" w:lineRule="auto"/>
      </w:pPr>
      <w:r>
        <w:separator/>
      </w:r>
    </w:p>
  </w:endnote>
  <w:endnote w:type="continuationSeparator" w:id="0">
    <w:p w14:paraId="54F3834F" w14:textId="77777777" w:rsidR="004A707E" w:rsidRDefault="004A707E" w:rsidP="0017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8" w14:textId="299E14D0" w:rsidR="00B36811" w:rsidRDefault="00B36811">
    <w:pPr>
      <w:pStyle w:val="Footer"/>
    </w:pPr>
    <w:r>
      <w:t>© 202</w:t>
    </w:r>
    <w:r w:rsidR="008048AD">
      <w:t>2</w:t>
    </w:r>
    <w:r>
      <w:t xml:space="preserve"> TagniFi, LLC. All rights reserved.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AF58" w14:textId="5EAC5F17" w:rsidR="00B36811" w:rsidRDefault="00B36811">
    <w:pPr>
      <w:pStyle w:val="Footer"/>
    </w:pPr>
    <w:r>
      <w:t>TagniFi.com</w:t>
    </w:r>
    <w:r>
      <w:tab/>
    </w:r>
    <w:r>
      <w:tab/>
      <w:t>800-TagniFi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705A9" w14:textId="77777777" w:rsidR="004A707E" w:rsidRDefault="004A707E" w:rsidP="00171C8E">
      <w:pPr>
        <w:spacing w:after="0" w:line="240" w:lineRule="auto"/>
      </w:pPr>
      <w:r>
        <w:separator/>
      </w:r>
    </w:p>
  </w:footnote>
  <w:footnote w:type="continuationSeparator" w:id="0">
    <w:p w14:paraId="6EF94A88" w14:textId="77777777" w:rsidR="004A707E" w:rsidRDefault="004A707E" w:rsidP="00171C8E">
      <w:pPr>
        <w:spacing w:after="0" w:line="240" w:lineRule="auto"/>
      </w:pPr>
      <w:r>
        <w:continuationSeparator/>
      </w:r>
    </w:p>
  </w:footnote>
  <w:footnote w:id="1">
    <w:p w14:paraId="0A2FA1C7" w14:textId="3719907C" w:rsidR="00B36811" w:rsidRDefault="00B36811" w:rsidP="00EC7CB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Federal Reserve Bank of Philadelphia, Coincident Economic Activity Index for the United States [USPHCI],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1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https://fred.stlouisfed.org/series/USPHCI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13F0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29, 2022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">
    <w:p w14:paraId="04EBBD96" w14:textId="5BB6F110" w:rsidR="00B36811" w:rsidRPr="000322F4" w:rsidRDefault="00B36811">
      <w:pPr>
        <w:pStyle w:val="FootnoteText"/>
        <w:rPr>
          <w:sz w:val="16"/>
          <w:szCs w:val="16"/>
          <w:lang w:val="en-PH"/>
        </w:rPr>
      </w:pPr>
      <w:r w:rsidRPr="000322F4">
        <w:rPr>
          <w:rStyle w:val="FootnoteReference"/>
          <w:sz w:val="16"/>
          <w:szCs w:val="16"/>
        </w:rPr>
        <w:footnoteRef/>
      </w:r>
      <w:r w:rsidRPr="000322F4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Board of Governors of the Federal Reserve System (US), Trade Weighted U.S. Dollar Index: Broad, Goods and Services [DTWEXBGS],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" w:history="1">
        <w:r w:rsidRPr="00DA3959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https://fred.stlouisfed.org/series/DTWEXBGS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13F0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79151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">
    <w:p w14:paraId="517776FA" w14:textId="7378E47B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Real Gross Domestic Product [GDPC1],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EF14E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967B1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">
    <w:p w14:paraId="2553AFB7" w14:textId="671CA43C" w:rsidR="00255C11" w:rsidRPr="009A15D9" w:rsidRDefault="00255C11" w:rsidP="00255C11">
      <w:pPr>
        <w:pStyle w:val="FootnoteText"/>
        <w:rPr>
          <w:i/>
          <w:iCs/>
          <w:sz w:val="16"/>
          <w:szCs w:val="16"/>
          <w:lang w:val="en-PH"/>
        </w:rPr>
      </w:pPr>
      <w:r w:rsidRPr="009A15D9">
        <w:rPr>
          <w:rStyle w:val="FootnoteReference"/>
          <w:szCs w:val="18"/>
        </w:rPr>
        <w:footnoteRef/>
      </w:r>
      <w:r w:rsidRPr="009A15D9">
        <w:rPr>
          <w:sz w:val="15"/>
          <w:szCs w:val="15"/>
          <w:lang w:val="en-PH"/>
        </w:rPr>
        <w:t xml:space="preserve"> </w:t>
      </w:r>
      <w:r w:rsidRPr="00A202A9">
        <w:rPr>
          <w:sz w:val="16"/>
          <w:szCs w:val="16"/>
          <w:lang w:val="en-PH"/>
        </w:rPr>
        <w:t xml:space="preserve">U.S. Bureau of Economic Analysis, Contributions to percent change in real gross domestic product: Net exports of goods and services [A019RY2Q224SBEA], </w:t>
      </w:r>
      <w:r w:rsidRPr="00A202A9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4" w:history="1">
        <w:r w:rsidRPr="00A202A9">
          <w:rPr>
            <w:rStyle w:val="Hyperlink"/>
            <w:i/>
            <w:iCs/>
            <w:sz w:val="16"/>
            <w:szCs w:val="16"/>
            <w:lang w:val="en-PH"/>
          </w:rPr>
          <w:t>https://fred.stlouisfed.org/series/A019RY2Q224SBEA</w:t>
        </w:r>
      </w:hyperlink>
      <w:r w:rsidRPr="00A202A9">
        <w:rPr>
          <w:i/>
          <w:iCs/>
          <w:sz w:val="16"/>
          <w:szCs w:val="16"/>
          <w:lang w:val="en-PH"/>
        </w:rPr>
        <w:t xml:space="preserve">, </w:t>
      </w:r>
      <w:r w:rsidR="00EF14EE">
        <w:rPr>
          <w:i/>
          <w:iCs/>
          <w:sz w:val="16"/>
          <w:szCs w:val="16"/>
          <w:lang w:val="en-PH"/>
        </w:rPr>
        <w:t>Apr 29</w:t>
      </w:r>
      <w:r w:rsidRPr="00A202A9">
        <w:rPr>
          <w:i/>
          <w:iCs/>
          <w:sz w:val="16"/>
          <w:szCs w:val="16"/>
          <w:lang w:val="en-PH"/>
        </w:rPr>
        <w:t>, 2022.</w:t>
      </w:r>
    </w:p>
  </w:footnote>
  <w:footnote w:id="5">
    <w:p w14:paraId="2B0D167D" w14:textId="09417162" w:rsidR="00E24CD9" w:rsidRDefault="00E24CD9" w:rsidP="00E24CD9">
      <w:pPr>
        <w:pStyle w:val="FootnoteText"/>
      </w:pPr>
      <w:r w:rsidRPr="00A202A9">
        <w:rPr>
          <w:rStyle w:val="FootnoteReference"/>
        </w:rPr>
        <w:footnoteRef/>
      </w:r>
      <w:r w:rsidRPr="00A202A9">
        <w:t xml:space="preserve"> </w:t>
      </w:r>
      <w:r w:rsidRPr="00A202A9">
        <w:rPr>
          <w:sz w:val="16"/>
          <w:szCs w:val="16"/>
        </w:rPr>
        <w:t xml:space="preserve">U.S. Bureau of Economic Analysis, Contributions to percent change in real gross domestic product: Government consumption expenditures and gross investment [A822RY2Q224SBEA], </w:t>
      </w:r>
      <w:r w:rsidRPr="00A202A9">
        <w:rPr>
          <w:i/>
          <w:iCs/>
          <w:sz w:val="16"/>
          <w:szCs w:val="16"/>
        </w:rPr>
        <w:t xml:space="preserve">retrieved from FRED, Federal Reserve Bank of St. Louis; </w:t>
      </w:r>
      <w:hyperlink r:id="rId5" w:history="1">
        <w:r w:rsidRPr="00A202A9">
          <w:rPr>
            <w:rStyle w:val="Hyperlink"/>
            <w:i/>
            <w:iCs/>
            <w:sz w:val="16"/>
            <w:szCs w:val="16"/>
          </w:rPr>
          <w:t>https://fred.stlouisfed.org/series/A822RY2Q224SBEA</w:t>
        </w:r>
      </w:hyperlink>
      <w:r w:rsidRPr="00A202A9">
        <w:rPr>
          <w:i/>
          <w:iCs/>
          <w:sz w:val="16"/>
          <w:szCs w:val="16"/>
        </w:rPr>
        <w:t xml:space="preserve">, </w:t>
      </w:r>
      <w:r w:rsidR="00EF14E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Pr="00A202A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A202A9">
        <w:rPr>
          <w:i/>
          <w:iCs/>
          <w:sz w:val="16"/>
          <w:szCs w:val="16"/>
        </w:rPr>
        <w:t>.</w:t>
      </w:r>
    </w:p>
  </w:footnote>
  <w:footnote w:id="6">
    <w:p w14:paraId="415CCBC2" w14:textId="21DDD213" w:rsidR="00E24CD9" w:rsidRPr="00967B10" w:rsidRDefault="00E24CD9" w:rsidP="00E24CD9">
      <w:pPr>
        <w:pStyle w:val="FootnoteText"/>
        <w:rPr>
          <w:i/>
          <w:iCs/>
          <w:sz w:val="16"/>
          <w:szCs w:val="16"/>
          <w:highlight w:val="yellow"/>
        </w:rPr>
      </w:pPr>
      <w:r w:rsidRPr="00A202A9">
        <w:rPr>
          <w:rStyle w:val="FootnoteReference"/>
        </w:rPr>
        <w:footnoteRef/>
      </w:r>
      <w:r w:rsidRPr="00A202A9">
        <w:t xml:space="preserve"> </w:t>
      </w:r>
      <w:r w:rsidRPr="00A202A9">
        <w:rPr>
          <w:sz w:val="16"/>
          <w:szCs w:val="16"/>
        </w:rPr>
        <w:t xml:space="preserve">U.S. Bureau of Economic Analysis, Contributions to percent change in real gross domestic product: Gross private domestic investment [A006RY2Q224SBEA], </w:t>
      </w:r>
      <w:r w:rsidRPr="00A202A9">
        <w:rPr>
          <w:i/>
          <w:iCs/>
          <w:sz w:val="16"/>
          <w:szCs w:val="16"/>
        </w:rPr>
        <w:t xml:space="preserve">retrieved from FRED, Federal Reserve Bank of St. Louis; </w:t>
      </w:r>
      <w:hyperlink r:id="rId6" w:history="1">
        <w:r w:rsidRPr="00A202A9">
          <w:rPr>
            <w:rStyle w:val="Hyperlink"/>
            <w:i/>
            <w:iCs/>
            <w:sz w:val="16"/>
            <w:szCs w:val="16"/>
          </w:rPr>
          <w:t>https://fred.stlouisfed.org/series/A006RY2Q224SBEA</w:t>
        </w:r>
      </w:hyperlink>
      <w:r w:rsidRPr="00A202A9">
        <w:rPr>
          <w:i/>
          <w:iCs/>
          <w:sz w:val="16"/>
          <w:szCs w:val="16"/>
        </w:rPr>
        <w:t xml:space="preserve">, </w:t>
      </w:r>
      <w:r w:rsidR="00EF14E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Pr="00A202A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A202A9">
        <w:rPr>
          <w:i/>
          <w:iCs/>
          <w:sz w:val="16"/>
          <w:szCs w:val="16"/>
        </w:rPr>
        <w:t>.</w:t>
      </w:r>
    </w:p>
  </w:footnote>
  <w:footnote w:id="7">
    <w:p w14:paraId="200195AA" w14:textId="77E8A0A8" w:rsidR="00E24CD9" w:rsidRPr="00A202A9" w:rsidRDefault="00E24CD9" w:rsidP="00E24CD9">
      <w:pPr>
        <w:pStyle w:val="FootnoteText"/>
        <w:rPr>
          <w:i/>
          <w:iCs/>
          <w:sz w:val="16"/>
          <w:szCs w:val="16"/>
        </w:rPr>
      </w:pPr>
      <w:r w:rsidRPr="00A202A9">
        <w:rPr>
          <w:rStyle w:val="FootnoteReference"/>
        </w:rPr>
        <w:footnoteRef/>
      </w:r>
      <w:r w:rsidRPr="00A202A9">
        <w:t xml:space="preserve"> </w:t>
      </w:r>
      <w:r w:rsidRPr="00A202A9">
        <w:rPr>
          <w:sz w:val="16"/>
          <w:szCs w:val="16"/>
        </w:rPr>
        <w:t xml:space="preserve">U.S. Bureau of Economic Analysis, Contributions to percent change in real gross domestic product: Personal consumption expenditures [DPCERY2Q224SBEA], </w:t>
      </w:r>
      <w:r w:rsidRPr="00A202A9">
        <w:rPr>
          <w:i/>
          <w:iCs/>
          <w:sz w:val="16"/>
          <w:szCs w:val="16"/>
        </w:rPr>
        <w:t xml:space="preserve">retrieved from FRED, Federal Reserve Bank of St. Louis; </w:t>
      </w:r>
      <w:hyperlink r:id="rId7" w:history="1">
        <w:r w:rsidRPr="00A202A9">
          <w:rPr>
            <w:rStyle w:val="Hyperlink"/>
            <w:i/>
            <w:iCs/>
            <w:sz w:val="16"/>
            <w:szCs w:val="16"/>
          </w:rPr>
          <w:t>https://fred.stlouisfed.org/series/DPCERY2Q224SBEA</w:t>
        </w:r>
      </w:hyperlink>
      <w:r w:rsidRPr="00A202A9">
        <w:rPr>
          <w:i/>
          <w:iCs/>
          <w:sz w:val="16"/>
          <w:szCs w:val="16"/>
        </w:rPr>
        <w:t xml:space="preserve">, </w:t>
      </w:r>
      <w:r w:rsidR="00EF14E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Pr="00A202A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A202A9">
        <w:rPr>
          <w:i/>
          <w:iCs/>
          <w:sz w:val="16"/>
          <w:szCs w:val="16"/>
        </w:rPr>
        <w:t>.</w:t>
      </w:r>
    </w:p>
  </w:footnote>
  <w:footnote w:id="8">
    <w:p w14:paraId="7FABCB6E" w14:textId="2E945DA1" w:rsidR="00B36811" w:rsidRPr="006A114D" w:rsidRDefault="00B36811" w:rsidP="00D03164">
      <w:pPr>
        <w:pStyle w:val="FootnoteText"/>
        <w:rPr>
          <w:lang w:val="en-PH"/>
        </w:rPr>
      </w:pPr>
      <w:r w:rsidRPr="009A15D9">
        <w:rPr>
          <w:rStyle w:val="FootnoteReference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Industrial Production Index [INDPRO],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8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https://fred.stlouisfed.org/series/INDPRO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53DF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953DF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9">
    <w:p w14:paraId="036626D0" w14:textId="6D860D27" w:rsidR="00B36811" w:rsidRDefault="00B36811" w:rsidP="007A05AD">
      <w:pPr>
        <w:pStyle w:val="FootnoteText"/>
      </w:pPr>
      <w:r>
        <w:rPr>
          <w:rStyle w:val="FootnoteReference"/>
        </w:rPr>
        <w:footnoteRef/>
      </w:r>
      <w:r>
        <w:rPr>
          <w:sz w:val="16"/>
          <w:szCs w:val="16"/>
          <w:lang w:val="en-PH"/>
        </w:rPr>
        <w:t xml:space="preserve"> </w:t>
      </w:r>
      <w:r w:rsidRPr="00267BC7">
        <w:rPr>
          <w:sz w:val="16"/>
          <w:szCs w:val="16"/>
          <w:lang w:val="en-PH"/>
        </w:rPr>
        <w:t>Board of Governors of the Federal Reserve System (US),</w:t>
      </w:r>
      <w:r>
        <w:rPr>
          <w:sz w:val="16"/>
          <w:szCs w:val="16"/>
          <w:lang w:val="en-PH"/>
        </w:rPr>
        <w:t xml:space="preserve"> Capacity Utilization, Manufacturing (NAICS), </w:t>
      </w:r>
      <w:r w:rsidRPr="006B1EB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9" w:history="1">
        <w:r w:rsidRPr="006B1EB1">
          <w:rPr>
            <w:rStyle w:val="Hyperlink"/>
            <w:i/>
            <w:iCs/>
            <w:sz w:val="16"/>
            <w:szCs w:val="16"/>
            <w:lang w:val="en-PH"/>
          </w:rPr>
          <w:t>https://fred.stlouisfed.org/series/MCUMFN</w:t>
        </w:r>
      </w:hyperlink>
      <w:r w:rsidRPr="006B1EB1">
        <w:rPr>
          <w:i/>
          <w:iCs/>
          <w:sz w:val="16"/>
          <w:szCs w:val="16"/>
          <w:lang w:val="en-PH"/>
        </w:rPr>
        <w:t xml:space="preserve">, </w:t>
      </w:r>
      <w:r w:rsidR="005E1BD2">
        <w:rPr>
          <w:i/>
          <w:iCs/>
          <w:sz w:val="16"/>
          <w:szCs w:val="16"/>
          <w:lang w:val="en-PH"/>
        </w:rPr>
        <w:t>Apr</w:t>
      </w:r>
      <w:r w:rsidR="00B377D4">
        <w:rPr>
          <w:i/>
          <w:iCs/>
          <w:sz w:val="16"/>
          <w:szCs w:val="16"/>
          <w:lang w:val="en-PH"/>
        </w:rPr>
        <w:t xml:space="preserve"> 29</w:t>
      </w:r>
      <w:r w:rsidRPr="006B1EB1">
        <w:rPr>
          <w:i/>
          <w:iCs/>
          <w:sz w:val="16"/>
          <w:szCs w:val="16"/>
          <w:lang w:val="en-PH"/>
        </w:rPr>
        <w:t>, 202</w:t>
      </w:r>
      <w:r w:rsidR="00455D78">
        <w:rPr>
          <w:i/>
          <w:iCs/>
          <w:sz w:val="16"/>
          <w:szCs w:val="16"/>
          <w:lang w:val="en-PH"/>
        </w:rPr>
        <w:t>2</w:t>
      </w:r>
      <w:r w:rsidR="006B1EB1">
        <w:rPr>
          <w:i/>
          <w:iCs/>
          <w:sz w:val="16"/>
          <w:szCs w:val="16"/>
          <w:lang w:val="en-PH"/>
        </w:rPr>
        <w:t>.</w:t>
      </w:r>
    </w:p>
  </w:footnote>
  <w:footnote w:id="10">
    <w:p w14:paraId="5D03BFAC" w14:textId="73148F12" w:rsidR="00B36811" w:rsidRPr="005A0EC4" w:rsidRDefault="00B36811" w:rsidP="00952E0A">
      <w:pPr>
        <w:pStyle w:val="FootnoteText"/>
        <w:rPr>
          <w:rFonts w:ascii="Times New Roman" w:eastAsia="Times New Roman" w:hAnsi="Times New Roman" w:cs="Times New Roman"/>
          <w:szCs w:val="24"/>
        </w:rPr>
      </w:pPr>
      <w:r>
        <w:rPr>
          <w:rStyle w:val="FootnoteReference"/>
        </w:rPr>
        <w:footnoteRef/>
      </w:r>
      <w:r>
        <w:t xml:space="preserve"> </w:t>
      </w:r>
      <w:r w:rsidRPr="00814E45">
        <w:rPr>
          <w:sz w:val="16"/>
          <w:szCs w:val="16"/>
          <w:lang w:val="en-PH"/>
        </w:rPr>
        <w:t xml:space="preserve">Board of Governors of the Federal Reserve System (US), Federal Funds Effective Rate [FEDFUNDS], </w:t>
      </w:r>
      <w:r w:rsidRPr="006B1EB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0" w:history="1">
        <w:r w:rsidRPr="006B1EB1">
          <w:rPr>
            <w:rStyle w:val="Hyperlink"/>
            <w:i/>
            <w:iCs/>
            <w:sz w:val="16"/>
            <w:szCs w:val="16"/>
            <w:lang w:val="en-PH"/>
          </w:rPr>
          <w:t>https://fred.stlouisfed.org/series/FEDFUNDS</w:t>
        </w:r>
      </w:hyperlink>
      <w:r w:rsidRPr="006B1EB1">
        <w:rPr>
          <w:i/>
          <w:iCs/>
          <w:sz w:val="16"/>
          <w:szCs w:val="16"/>
          <w:lang w:val="en-PH"/>
        </w:rPr>
        <w:t xml:space="preserve">, </w:t>
      </w:r>
      <w:r w:rsidR="005E1BD2">
        <w:rPr>
          <w:i/>
          <w:iCs/>
          <w:sz w:val="16"/>
          <w:szCs w:val="16"/>
          <w:lang w:val="en-PH"/>
        </w:rPr>
        <w:t>Apr 29</w:t>
      </w:r>
      <w:r w:rsidRPr="006B1EB1">
        <w:rPr>
          <w:i/>
          <w:iCs/>
          <w:sz w:val="16"/>
          <w:szCs w:val="16"/>
          <w:lang w:val="en-PH"/>
        </w:rPr>
        <w:t>, 202</w:t>
      </w:r>
      <w:r w:rsidR="00455D78">
        <w:rPr>
          <w:i/>
          <w:iCs/>
          <w:sz w:val="16"/>
          <w:szCs w:val="16"/>
          <w:lang w:val="en-PH"/>
        </w:rPr>
        <w:t>2</w:t>
      </w:r>
      <w:r w:rsidRPr="006B1EB1">
        <w:rPr>
          <w:i/>
          <w:iCs/>
          <w:sz w:val="16"/>
          <w:szCs w:val="16"/>
          <w:lang w:val="en-PH"/>
        </w:rPr>
        <w:t>.</w:t>
      </w:r>
    </w:p>
  </w:footnote>
  <w:footnote w:id="11">
    <w:p w14:paraId="2BE1B367" w14:textId="7E2B59E7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B1EB1">
        <w:rPr>
          <w:sz w:val="16"/>
          <w:szCs w:val="16"/>
          <w:lang w:val="en-PH"/>
        </w:rPr>
        <w:t>Selected Interest Rates Instruments, Yields in percent per annum,</w:t>
      </w:r>
      <w:r w:rsidRPr="00B65667">
        <w:rPr>
          <w:i/>
          <w:iCs/>
          <w:sz w:val="16"/>
          <w:szCs w:val="16"/>
          <w:lang w:val="en-PH"/>
        </w:rPr>
        <w:t xml:space="preserve"> retrieved from FRED, Federal Reserve Bank of St. Louis; </w:t>
      </w:r>
      <w:hyperlink r:id="rId11" w:history="1">
        <w:r>
          <w:rPr>
            <w:rStyle w:val="Hyperlink"/>
            <w:i/>
            <w:iCs/>
            <w:sz w:val="16"/>
            <w:szCs w:val="16"/>
            <w:lang w:val="en-PH"/>
          </w:rPr>
          <w:t>https://fred.stlouisfed.org/release/tables?rid=18&amp;eid=289&amp;od=2021-09-30</w:t>
        </w:r>
      </w:hyperlink>
      <w:r w:rsidRPr="00B65667">
        <w:rPr>
          <w:i/>
          <w:iCs/>
          <w:sz w:val="16"/>
          <w:szCs w:val="16"/>
          <w:lang w:val="en-PH"/>
        </w:rPr>
        <w:t xml:space="preserve">, </w:t>
      </w:r>
      <w:r w:rsidR="005E1BD2">
        <w:rPr>
          <w:i/>
          <w:iCs/>
          <w:sz w:val="16"/>
          <w:szCs w:val="16"/>
          <w:lang w:val="en-PH"/>
        </w:rPr>
        <w:t>Apr 29</w:t>
      </w:r>
      <w:r>
        <w:rPr>
          <w:i/>
          <w:iCs/>
          <w:sz w:val="16"/>
          <w:szCs w:val="16"/>
          <w:lang w:val="en-PH"/>
        </w:rPr>
        <w:t>, 202</w:t>
      </w:r>
      <w:r w:rsidR="00455D78">
        <w:rPr>
          <w:i/>
          <w:iCs/>
          <w:sz w:val="16"/>
          <w:szCs w:val="16"/>
          <w:lang w:val="en-PH"/>
        </w:rPr>
        <w:t>2</w:t>
      </w:r>
      <w:r w:rsidRPr="00B65667">
        <w:rPr>
          <w:i/>
          <w:iCs/>
          <w:sz w:val="16"/>
          <w:szCs w:val="16"/>
          <w:lang w:val="en-PH"/>
        </w:rPr>
        <w:t>.</w:t>
      </w:r>
    </w:p>
  </w:footnote>
  <w:footnote w:id="12">
    <w:p w14:paraId="35FA6FE7" w14:textId="408A246A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="005E1BD2" w:rsidRPr="005E1BD2">
        <w:rPr>
          <w:sz w:val="16"/>
          <w:szCs w:val="16"/>
          <w:lang w:val="en-PH"/>
        </w:rPr>
        <w:t xml:space="preserve">Board of Governors of the Federal Reserve System (US), Federal Funds Target Range - Upper Limit [DFEDTARU], </w:t>
      </w:r>
      <w:r w:rsidR="005E1BD2" w:rsidRPr="005E1BD2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2" w:history="1">
        <w:r w:rsidR="005E1BD2" w:rsidRPr="005E1BD2">
          <w:rPr>
            <w:rStyle w:val="Hyperlink"/>
            <w:i/>
            <w:iCs/>
            <w:sz w:val="16"/>
            <w:szCs w:val="16"/>
            <w:lang w:val="en-PH"/>
          </w:rPr>
          <w:t>https://fred.stlouisfed.org/series/DFEDTARU</w:t>
        </w:r>
      </w:hyperlink>
      <w:r w:rsidR="005E1BD2" w:rsidRPr="005E1BD2">
        <w:rPr>
          <w:i/>
          <w:iCs/>
          <w:sz w:val="16"/>
          <w:szCs w:val="16"/>
          <w:lang w:val="en-PH"/>
        </w:rPr>
        <w:t>, Apr 29, 2022</w:t>
      </w:r>
      <w:r w:rsidR="005E1BD2" w:rsidRPr="005E1BD2">
        <w:rPr>
          <w:sz w:val="16"/>
          <w:szCs w:val="16"/>
          <w:lang w:val="en-PH"/>
        </w:rPr>
        <w:t>.</w:t>
      </w:r>
    </w:p>
  </w:footnote>
  <w:footnote w:id="13">
    <w:p w14:paraId="5D92A033" w14:textId="7D5C199B" w:rsidR="00B36811" w:rsidRPr="004759DB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10-Year Treasury Constant Maturity Rate [DGS10],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https://fred.stlouisfed.org/series/DGS10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12C1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455D7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4">
    <w:p w14:paraId="29E4EDD1" w14:textId="766B04C4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Baa Corporate Bond Yield [DBAA],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4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https://fred.stlouisfed.org/series/DBAA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412C1A">
        <w:rPr>
          <w:i/>
          <w:iCs/>
          <w:sz w:val="16"/>
          <w:szCs w:val="16"/>
          <w:lang w:val="en-PH"/>
        </w:rPr>
        <w:t>Apr 29,</w:t>
      </w:r>
      <w:r w:rsidR="00263EBD" w:rsidRPr="00263EBD">
        <w:rPr>
          <w:i/>
          <w:iCs/>
          <w:sz w:val="16"/>
          <w:szCs w:val="16"/>
          <w:lang w:val="en-PH"/>
        </w:rPr>
        <w:t xml:space="preserve"> 202</w:t>
      </w:r>
      <w:r w:rsidR="00F34E7B">
        <w:rPr>
          <w:i/>
          <w:iCs/>
          <w:sz w:val="16"/>
          <w:szCs w:val="16"/>
          <w:lang w:val="en-PH"/>
        </w:rPr>
        <w:t>2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5">
    <w:p w14:paraId="6012CE06" w14:textId="03FAC239" w:rsidR="00B36811" w:rsidRPr="00263EBD" w:rsidRDefault="00B36811">
      <w:pPr>
        <w:pStyle w:val="FootnoteText"/>
        <w:rPr>
          <w:i/>
          <w:iCs/>
        </w:rPr>
      </w:pPr>
      <w:r w:rsidRPr="009D42AA">
        <w:rPr>
          <w:rStyle w:val="FootnoteReference"/>
          <w:sz w:val="16"/>
          <w:szCs w:val="16"/>
        </w:rPr>
        <w:footnoteRef/>
      </w:r>
      <w:r w:rsidRPr="009D42AA">
        <w:rPr>
          <w:rStyle w:val="FootnoteReference"/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Aaa Corporate Bond Yield [DAAA],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5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https://fred.stlouisfed.org/series/DAAA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412C1A">
        <w:rPr>
          <w:i/>
          <w:iCs/>
          <w:sz w:val="16"/>
          <w:szCs w:val="16"/>
          <w:lang w:val="en-PH"/>
        </w:rPr>
        <w:t>Apr 29</w:t>
      </w:r>
      <w:r w:rsidR="00F34E7B" w:rsidRPr="00263EBD">
        <w:rPr>
          <w:i/>
          <w:iCs/>
          <w:sz w:val="16"/>
          <w:szCs w:val="16"/>
          <w:lang w:val="en-PH"/>
        </w:rPr>
        <w:t>, 202</w:t>
      </w:r>
      <w:r w:rsidR="00F34E7B">
        <w:rPr>
          <w:i/>
          <w:iCs/>
          <w:sz w:val="16"/>
          <w:szCs w:val="16"/>
          <w:lang w:val="en-PH"/>
        </w:rPr>
        <w:t>2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6">
    <w:p w14:paraId="66B25A11" w14:textId="52CA96A6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Civilian Unemployment Rate [UNRATE],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6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391D3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6F1876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7">
    <w:p w14:paraId="72ADA4A0" w14:textId="54E51017" w:rsidR="007B4191" w:rsidRPr="007B4191" w:rsidRDefault="007B4191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7B4191">
        <w:rPr>
          <w:sz w:val="16"/>
          <w:szCs w:val="16"/>
        </w:rPr>
        <w:t xml:space="preserve">U.S. Bureau of Labor Statistics, Civilian Labor Force Level [CLF16OV], </w:t>
      </w:r>
      <w:r w:rsidRPr="007B4191">
        <w:rPr>
          <w:i/>
          <w:iCs/>
          <w:sz w:val="16"/>
          <w:szCs w:val="16"/>
        </w:rPr>
        <w:t xml:space="preserve">retrieved from FRED, Federal Reserve Bank of St. Louis; </w:t>
      </w:r>
      <w:hyperlink r:id="rId17" w:history="1">
        <w:r w:rsidRPr="007B4191">
          <w:rPr>
            <w:rStyle w:val="Hyperlink"/>
            <w:i/>
            <w:iCs/>
            <w:sz w:val="16"/>
            <w:szCs w:val="16"/>
          </w:rPr>
          <w:t>https://fred.stlouisfed.org/series/CLF16OV</w:t>
        </w:r>
      </w:hyperlink>
      <w:r w:rsidRPr="007B4191">
        <w:rPr>
          <w:i/>
          <w:iCs/>
          <w:sz w:val="16"/>
          <w:szCs w:val="16"/>
        </w:rPr>
        <w:t xml:space="preserve">, </w:t>
      </w:r>
      <w:r w:rsidRPr="007B4191">
        <w:rPr>
          <w:i/>
          <w:iCs/>
          <w:sz w:val="16"/>
          <w:szCs w:val="16"/>
          <w:lang w:val="en-PH"/>
        </w:rPr>
        <w:t>Apr 29, 2022</w:t>
      </w:r>
      <w:r w:rsidRPr="007B4191">
        <w:rPr>
          <w:i/>
          <w:iCs/>
          <w:sz w:val="16"/>
          <w:szCs w:val="16"/>
        </w:rPr>
        <w:t>.</w:t>
      </w:r>
    </w:p>
  </w:footnote>
  <w:footnote w:id="18">
    <w:p w14:paraId="0E3463A9" w14:textId="52F5A528" w:rsidR="006859BA" w:rsidRPr="006859BA" w:rsidRDefault="006859BA" w:rsidP="006859BA">
      <w:pPr>
        <w:pStyle w:val="FootnoteText"/>
        <w:ind w:left="270" w:hanging="270"/>
        <w:rPr>
          <w:i/>
          <w:iCs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6859BA">
        <w:rPr>
          <w:sz w:val="16"/>
          <w:szCs w:val="16"/>
        </w:rPr>
        <w:t xml:space="preserve">U.S. Bureau of Labor Statistics, Labor Force Participation Rate [CIVPART], </w:t>
      </w:r>
      <w:r w:rsidRPr="006859BA">
        <w:rPr>
          <w:i/>
          <w:iCs/>
          <w:sz w:val="16"/>
          <w:szCs w:val="16"/>
        </w:rPr>
        <w:t xml:space="preserve">retrieved from FRED, Federal Reserve Bank of St. Louis; </w:t>
      </w:r>
      <w:hyperlink r:id="rId18" w:history="1">
        <w:r w:rsidRPr="006859BA">
          <w:rPr>
            <w:rStyle w:val="Hyperlink"/>
            <w:i/>
            <w:iCs/>
            <w:sz w:val="16"/>
            <w:szCs w:val="16"/>
          </w:rPr>
          <w:t>https://fred.stlouisfed.org/series/CIVPART</w:t>
        </w:r>
      </w:hyperlink>
      <w:r w:rsidRPr="006859BA">
        <w:rPr>
          <w:i/>
          <w:iCs/>
          <w:sz w:val="16"/>
          <w:szCs w:val="16"/>
        </w:rPr>
        <w:t xml:space="preserve">, </w:t>
      </w:r>
      <w:r w:rsidR="00391D3A">
        <w:rPr>
          <w:i/>
          <w:iCs/>
          <w:sz w:val="16"/>
          <w:szCs w:val="16"/>
        </w:rPr>
        <w:t>Apr 29</w:t>
      </w:r>
      <w:r w:rsidR="006F1876">
        <w:rPr>
          <w:i/>
          <w:iCs/>
          <w:sz w:val="16"/>
          <w:szCs w:val="16"/>
        </w:rPr>
        <w:t>, 2022</w:t>
      </w:r>
      <w:r w:rsidRPr="006859BA">
        <w:rPr>
          <w:i/>
          <w:iCs/>
          <w:sz w:val="16"/>
          <w:szCs w:val="16"/>
        </w:rPr>
        <w:t>.</w:t>
      </w:r>
    </w:p>
  </w:footnote>
  <w:footnote w:id="19">
    <w:p w14:paraId="7EE0AABC" w14:textId="74F2B810" w:rsidR="00B36811" w:rsidRPr="00C7535D" w:rsidRDefault="00B36811">
      <w:pPr>
        <w:pStyle w:val="FootnoteText"/>
        <w:rPr>
          <w:sz w:val="16"/>
          <w:szCs w:val="16"/>
        </w:rPr>
      </w:pPr>
      <w:r w:rsidRPr="00D029B3">
        <w:rPr>
          <w:rStyle w:val="FootnoteReference"/>
        </w:rPr>
        <w:footnoteRef/>
      </w:r>
      <w:r w:rsidRPr="00C7535D">
        <w:rPr>
          <w:sz w:val="16"/>
          <w:szCs w:val="16"/>
        </w:rPr>
        <w:t xml:space="preserve"> Federal Reserve Bank of Philadelphia, Livingston Survey, </w:t>
      </w:r>
      <w:hyperlink r:id="rId19" w:history="1">
        <w:r w:rsidRPr="002024E2">
          <w:rPr>
            <w:rStyle w:val="Hyperlink"/>
            <w:i/>
            <w:iCs/>
            <w:sz w:val="16"/>
            <w:szCs w:val="16"/>
          </w:rPr>
          <w:t>https://www.philadelphiafed.org/surveys-and-data/real-time-data-research/livingston-survey</w:t>
        </w:r>
      </w:hyperlink>
      <w:r w:rsidRPr="002024E2">
        <w:rPr>
          <w:i/>
          <w:iCs/>
          <w:sz w:val="16"/>
          <w:szCs w:val="16"/>
        </w:rPr>
        <w:t xml:space="preserve">, </w:t>
      </w:r>
      <w:r w:rsidR="00391D3A">
        <w:rPr>
          <w:i/>
          <w:iCs/>
          <w:sz w:val="16"/>
          <w:szCs w:val="16"/>
        </w:rPr>
        <w:t>Apr 29</w:t>
      </w:r>
      <w:r w:rsidR="006F1876">
        <w:rPr>
          <w:i/>
          <w:iCs/>
          <w:sz w:val="16"/>
          <w:szCs w:val="16"/>
        </w:rPr>
        <w:t>, 2022</w:t>
      </w:r>
      <w:r w:rsidRPr="002024E2">
        <w:rPr>
          <w:i/>
          <w:iCs/>
          <w:sz w:val="16"/>
          <w:szCs w:val="16"/>
        </w:rPr>
        <w:t>.</w:t>
      </w:r>
    </w:p>
  </w:footnote>
  <w:footnote w:id="20">
    <w:p w14:paraId="6C60FCE5" w14:textId="78B549F5" w:rsidR="00D029B3" w:rsidRPr="00D029B3" w:rsidRDefault="00D029B3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029B3">
        <w:rPr>
          <w:sz w:val="16"/>
          <w:szCs w:val="16"/>
        </w:rPr>
        <w:t xml:space="preserve">U.S. Bureau of Labor Statistics, Quits: Total Nonfarm [JTSQUL], </w:t>
      </w:r>
      <w:r w:rsidRPr="00D029B3">
        <w:rPr>
          <w:i/>
          <w:iCs/>
          <w:sz w:val="16"/>
          <w:szCs w:val="16"/>
        </w:rPr>
        <w:t xml:space="preserve">retrieved from FRED, Federal Reserve Bank of St. Louis; </w:t>
      </w:r>
      <w:hyperlink r:id="rId20" w:history="1">
        <w:r w:rsidRPr="00D029B3">
          <w:rPr>
            <w:rStyle w:val="Hyperlink"/>
            <w:i/>
            <w:iCs/>
            <w:sz w:val="16"/>
            <w:szCs w:val="16"/>
          </w:rPr>
          <w:t>https://fred.stlouisfed.org/series/JTSQUL</w:t>
        </w:r>
      </w:hyperlink>
      <w:r w:rsidRPr="00D029B3">
        <w:rPr>
          <w:i/>
          <w:iCs/>
          <w:sz w:val="16"/>
          <w:szCs w:val="16"/>
        </w:rPr>
        <w:t xml:space="preserve">, </w:t>
      </w:r>
      <w:r w:rsidR="007A4A4B">
        <w:rPr>
          <w:i/>
          <w:iCs/>
          <w:sz w:val="16"/>
          <w:szCs w:val="16"/>
        </w:rPr>
        <w:t>Apr 29</w:t>
      </w:r>
      <w:r w:rsidRPr="00D029B3">
        <w:rPr>
          <w:i/>
          <w:iCs/>
          <w:sz w:val="16"/>
          <w:szCs w:val="16"/>
        </w:rPr>
        <w:t>, 2022</w:t>
      </w:r>
      <w:r w:rsidRPr="00D029B3">
        <w:rPr>
          <w:sz w:val="16"/>
          <w:szCs w:val="16"/>
        </w:rPr>
        <w:t>.</w:t>
      </w:r>
    </w:p>
  </w:footnote>
  <w:footnote w:id="21">
    <w:p w14:paraId="646109C7" w14:textId="36F0BCD1" w:rsidR="007A4A4B" w:rsidRDefault="007A4A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A4A4B">
        <w:rPr>
          <w:sz w:val="16"/>
          <w:szCs w:val="16"/>
        </w:rPr>
        <w:t xml:space="preserve">U.S. Bureau of Labor Statistics, Job Openings: Total Nonfarm [JTSJOL], </w:t>
      </w:r>
      <w:r w:rsidRPr="007A4A4B">
        <w:rPr>
          <w:i/>
          <w:iCs/>
          <w:sz w:val="16"/>
          <w:szCs w:val="16"/>
        </w:rPr>
        <w:t xml:space="preserve">retrieved from FRED, Federal Reserve Bank of St. Louis; </w:t>
      </w:r>
      <w:hyperlink r:id="rId21" w:history="1">
        <w:r w:rsidRPr="00CD6686">
          <w:rPr>
            <w:rStyle w:val="Hyperlink"/>
            <w:i/>
            <w:iCs/>
            <w:sz w:val="16"/>
            <w:szCs w:val="16"/>
          </w:rPr>
          <w:t>https://fred.stlouisfed.org/series/JTSJOL</w:t>
        </w:r>
      </w:hyperlink>
      <w:r w:rsidRPr="007A4A4B">
        <w:rPr>
          <w:i/>
          <w:iCs/>
          <w:sz w:val="16"/>
          <w:szCs w:val="16"/>
        </w:rPr>
        <w:t>, Apr 29, 2022</w:t>
      </w:r>
      <w:r>
        <w:rPr>
          <w:i/>
          <w:iCs/>
          <w:sz w:val="16"/>
          <w:szCs w:val="16"/>
        </w:rPr>
        <w:t>.</w:t>
      </w:r>
    </w:p>
  </w:footnote>
  <w:footnote w:id="22">
    <w:p w14:paraId="181B2D4A" w14:textId="0A68783B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</w:t>
      </w:r>
      <w:r w:rsidRPr="009D7CB0">
        <w:t xml:space="preserve"> </w:t>
      </w:r>
      <w:r w:rsidRPr="009D7CB0">
        <w:rPr>
          <w:sz w:val="16"/>
          <w:szCs w:val="16"/>
          <w:lang w:val="en-PH"/>
        </w:rPr>
        <w:t xml:space="preserve">Total Unemployed, Plus All Persons Marginally Attached to the Labor Force, Plus Total Employed Part Time for Economic Reasons, as a Percent of the Civilian Labor Force Plus All Persons Marginally Attached to the Labor Force (U-6) </w:t>
      </w:r>
      <w:r>
        <w:rPr>
          <w:sz w:val="16"/>
          <w:szCs w:val="16"/>
          <w:lang w:val="en-PH"/>
        </w:rPr>
        <w:t>[</w:t>
      </w:r>
      <w:r w:rsidRPr="009D7CB0">
        <w:rPr>
          <w:sz w:val="16"/>
          <w:szCs w:val="16"/>
          <w:lang w:val="en-PH"/>
        </w:rPr>
        <w:t>U6RATE</w:t>
      </w:r>
      <w:r>
        <w:rPr>
          <w:sz w:val="16"/>
          <w:szCs w:val="16"/>
          <w:lang w:val="en-PH"/>
        </w:rPr>
        <w:t>]</w:t>
      </w:r>
      <w:r w:rsidRPr="00BF5CE2">
        <w:rPr>
          <w:sz w:val="16"/>
          <w:szCs w:val="16"/>
          <w:lang w:val="en-PH"/>
        </w:rPr>
        <w:t>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2" w:history="1">
        <w:r w:rsidRPr="00D541A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https://fred.stlouisfed.org/series/U6RATE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A4A4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6528B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202</w:t>
      </w:r>
      <w:r w:rsidR="006528B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3">
    <w:p w14:paraId="041DBB1A" w14:textId="09E5DC8A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All Employees: Total Nonfarm Payrolls [PAYEMS],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retrieved from FRED, Federal Reserve Bank of St. Louis; </w:t>
      </w:r>
      <w:hyperlink r:id="rId23" w:history="1">
        <w:r w:rsidRPr="002024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https://fred.stlouisfed.org/series/PAYEMS</w:t>
        </w:r>
      </w:hyperlink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E16DF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6528B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4">
    <w:p w14:paraId="7DB2BDE1" w14:textId="0B9A0A5A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Consumer Price Index for All Urban Consumers: All Items [CPIAUCSL],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https://fred.stlouisfed.org/series/CPIAUCSL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940F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EF1F2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5">
    <w:p w14:paraId="739A6C3B" w14:textId="1D0602F6" w:rsidR="00EF1F20" w:rsidRPr="00EF1F20" w:rsidRDefault="00EF1F20">
      <w:pPr>
        <w:pStyle w:val="FootnoteText"/>
        <w:rPr>
          <w:sz w:val="16"/>
          <w:szCs w:val="16"/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EF1F20">
        <w:rPr>
          <w:sz w:val="16"/>
          <w:szCs w:val="16"/>
          <w:lang w:val="en-PH"/>
        </w:rPr>
        <w:t xml:space="preserve">U.S. Bureau of Labor Statistics, Consumer Price Index for All Urban Consumers: All Items Less Energy in U.S. City Average [CPILEGSL], </w:t>
      </w:r>
      <w:r w:rsidRPr="00EF1F2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5" w:history="1">
        <w:r w:rsidRPr="00EF1F20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https://fred.stlouisfed.org/series/CPILEGSL</w:t>
        </w:r>
      </w:hyperlink>
      <w:r w:rsidRPr="00EF1F20">
        <w:rPr>
          <w:i/>
          <w:iCs/>
          <w:sz w:val="16"/>
          <w:szCs w:val="16"/>
          <w:lang w:val="en-PH"/>
        </w:rPr>
        <w:t xml:space="preserve">, </w:t>
      </w:r>
      <w:r w:rsidR="004940F1">
        <w:rPr>
          <w:i/>
          <w:iCs/>
          <w:sz w:val="16"/>
          <w:szCs w:val="16"/>
          <w:lang w:val="en-PH"/>
        </w:rPr>
        <w:t>Apr 29</w:t>
      </w:r>
      <w:r w:rsidRPr="00EF1F20">
        <w:rPr>
          <w:i/>
          <w:iCs/>
          <w:sz w:val="16"/>
          <w:szCs w:val="16"/>
          <w:lang w:val="en-PH"/>
        </w:rPr>
        <w:t xml:space="preserve"> 2022</w:t>
      </w:r>
      <w:r w:rsidRPr="00EF1F20">
        <w:rPr>
          <w:sz w:val="16"/>
          <w:szCs w:val="16"/>
          <w:lang w:val="en-PH"/>
        </w:rPr>
        <w:t>.</w:t>
      </w:r>
    </w:p>
  </w:footnote>
  <w:footnote w:id="26">
    <w:p w14:paraId="46D1616A" w14:textId="67836DE3" w:rsidR="00B36811" w:rsidRPr="003A2900" w:rsidRDefault="00B36811" w:rsidP="003A2900">
      <w:pPr>
        <w:pStyle w:val="FootnoteText"/>
        <w:rPr>
          <w:rFonts w:ascii="Times New Roman" w:eastAsia="Times New Roman" w:hAnsi="Times New Roman" w:cs="Times New Roman"/>
          <w:szCs w:val="24"/>
        </w:rPr>
      </w:pPr>
      <w:r w:rsidRPr="003A2900">
        <w:rPr>
          <w:vertAlign w:val="superscript"/>
          <w:lang w:val="en-PH"/>
        </w:rPr>
        <w:footnoteRef/>
      </w:r>
      <w:r w:rsidRPr="003A2900">
        <w:rPr>
          <w:vertAlign w:val="superscript"/>
          <w:lang w:val="en-PH"/>
        </w:rPr>
        <w:t xml:space="preserve"> </w:t>
      </w:r>
      <w:r w:rsidRPr="003A2900">
        <w:rPr>
          <w:sz w:val="16"/>
          <w:szCs w:val="16"/>
          <w:lang w:val="en-PH"/>
        </w:rPr>
        <w:t xml:space="preserve">U.S. Bureau of Labor Statistics, Average Price: Gasoline, Unleaded Regular (Cost per Gallon/3.785 Liters) in U.S. City Average [APU000074714], </w:t>
      </w:r>
      <w:r w:rsidRPr="003A290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6" w:history="1">
        <w:r w:rsidRPr="006859BA">
          <w:rPr>
            <w:rStyle w:val="Hyperlink"/>
            <w:i/>
            <w:iCs/>
            <w:sz w:val="16"/>
            <w:szCs w:val="16"/>
            <w:lang w:val="en-PH"/>
          </w:rPr>
          <w:t>https://fred.stlouisfed.org/series/APU000074714</w:t>
        </w:r>
      </w:hyperlink>
      <w:r w:rsidRPr="006859BA">
        <w:rPr>
          <w:i/>
          <w:iCs/>
          <w:sz w:val="16"/>
          <w:szCs w:val="16"/>
          <w:lang w:val="en-PH"/>
        </w:rPr>
        <w:t xml:space="preserve">, </w:t>
      </w:r>
      <w:r w:rsidR="004940F1">
        <w:rPr>
          <w:i/>
          <w:iCs/>
          <w:sz w:val="16"/>
          <w:szCs w:val="16"/>
          <w:lang w:val="en-PH"/>
        </w:rPr>
        <w:t>Apr 29</w:t>
      </w:r>
      <w:r w:rsidRPr="006859BA">
        <w:rPr>
          <w:i/>
          <w:iCs/>
          <w:sz w:val="16"/>
          <w:szCs w:val="16"/>
          <w:lang w:val="en-PH"/>
        </w:rPr>
        <w:t>, 202</w:t>
      </w:r>
      <w:r w:rsidR="00A94F52">
        <w:rPr>
          <w:i/>
          <w:iCs/>
          <w:sz w:val="16"/>
          <w:szCs w:val="16"/>
          <w:lang w:val="en-PH"/>
        </w:rPr>
        <w:t>2</w:t>
      </w:r>
      <w:r w:rsidRPr="006859BA">
        <w:rPr>
          <w:i/>
          <w:iCs/>
          <w:sz w:val="16"/>
          <w:szCs w:val="16"/>
          <w:lang w:val="en-PH"/>
        </w:rPr>
        <w:t>.</w:t>
      </w:r>
    </w:p>
  </w:footnote>
  <w:footnote w:id="27">
    <w:p w14:paraId="0C7EB8BC" w14:textId="3F3F51CB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Producer Price Index for All Commodities [PPIACO],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https://fred.stlouisfed.org/series/PPIACO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940F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981BE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8">
    <w:p w14:paraId="1E8CCC61" w14:textId="13B5DE94" w:rsidR="00B36811" w:rsidRDefault="00B36811" w:rsidP="00661AA7">
      <w:pPr>
        <w:pStyle w:val="FootnoteText"/>
      </w:pPr>
      <w:r>
        <w:rPr>
          <w:rStyle w:val="FootnoteReference"/>
        </w:rPr>
        <w:footnoteRef/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 Reserve Bank of St. Louis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5-Year Breakeven Inflation Rate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[T5YIE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], retrieved from FRED, Federal Reserve Bank of St. Louis; </w:t>
      </w:r>
      <w:hyperlink r:id="rId28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https://fred.stlouisfed.org/series/T5YIE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839F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245B3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9">
    <w:p w14:paraId="1C900108" w14:textId="79E9039B" w:rsidR="00B36811" w:rsidRPr="000322F4" w:rsidRDefault="00B36811" w:rsidP="0074137C">
      <w:pPr>
        <w:pStyle w:val="FootnoteText"/>
        <w:rPr>
          <w:rFonts w:cstheme="minorHAnsi"/>
          <w:sz w:val="16"/>
          <w:szCs w:val="16"/>
          <w:lang w:val="en-PH"/>
        </w:rPr>
      </w:pPr>
      <w:r w:rsidRPr="000322F4">
        <w:rPr>
          <w:rStyle w:val="FootnoteReference"/>
          <w:rFonts w:cstheme="minorHAnsi"/>
          <w:sz w:val="16"/>
          <w:szCs w:val="16"/>
        </w:rPr>
        <w:footnoteRef/>
      </w:r>
      <w:r w:rsidRPr="000322F4">
        <w:rPr>
          <w:rFonts w:cstheme="minorHAnsi"/>
          <w:sz w:val="16"/>
          <w:szCs w:val="16"/>
        </w:rPr>
        <w:t xml:space="preserve"> </w:t>
      </w:r>
      <w:r w:rsidR="00F72263" w:rsidRPr="00F72263">
        <w:rPr>
          <w:rFonts w:cstheme="minorHAnsi"/>
          <w:color w:val="222222"/>
          <w:sz w:val="16"/>
          <w:szCs w:val="16"/>
          <w:shd w:val="clear" w:color="auto" w:fill="FFFFFF"/>
        </w:rPr>
        <w:t>U.S. Energy Information Administration, Crude Oil Prices: West Texas Intermediate (WTI) - Cushing, Oklahoma [DCOILWTICO],</w:t>
      </w:r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9" w:history="1">
        <w:r w:rsidR="00EC2B2F" w:rsidRPr="00E05DB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https://fred.stlouisfed.org/series/DCOILWTICO</w:t>
        </w:r>
      </w:hyperlink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D143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245B3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0">
    <w:p w14:paraId="11221A52" w14:textId="1E678BB1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the Census, Housing Starts: Total: New Privately Owned Housing Units Started [HOUST],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0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https://fred.stlouisfed.org/series/HOUST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D143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B403A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1">
    <w:p w14:paraId="6A794CBD" w14:textId="55A78FAC" w:rsidR="00B36811" w:rsidRPr="00250313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Freddie Mac, 30-Year Fixed Rate Mortgage Average in the United States [MORTGAGE30US],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1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https://fred.stlouisfed.org/series/MORTGAGE30US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B2D2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B403A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2">
    <w:p w14:paraId="48E5411D" w14:textId="20E6013F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S&amp;P Dow Jones Indices LLC, S&amp;P/Case-Shiller 20-City Composite Home Price Index [SPCS20RSA],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2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https://fred.stlouisfed.org/series/SPCS20RSA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B2D2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6A656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3">
    <w:p w14:paraId="3C84FE4A" w14:textId="689C6AF8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  <w:lang w:val="en-PH"/>
        </w:rPr>
        <w:t xml:space="preserve"> U.S. Bureau of Economic Analysis, Personal Consumption Expenditures [PCE],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6716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6A656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4">
    <w:p w14:paraId="08E11874" w14:textId="79916071" w:rsidR="00B36811" w:rsidRPr="00933E80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Light Weight Vehicle Sales: Autos and Light Trucks [ALTSALES</w:t>
      </w:r>
      <w:bookmarkStart w:id="2" w:name="_Hlk79177981"/>
      <w:r w:rsidRPr="00BF5CE2">
        <w:rPr>
          <w:sz w:val="16"/>
          <w:szCs w:val="16"/>
          <w:lang w:val="en-PH"/>
        </w:rPr>
        <w:t>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bookmarkEnd w:id="2"/>
      <w:r>
        <w:fldChar w:fldCharType="begin"/>
      </w:r>
      <w:r>
        <w:instrText xml:space="preserve"> HYPERLINK "https://fred.stlouisfed.org/series/ALTSALES" </w:instrText>
      </w:r>
      <w:r>
        <w:fldChar w:fldCharType="separate"/>
      </w:r>
      <w:r w:rsidRPr="00BF5CE2"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t>https://fred.stlouisfed.org/series/ALTSALES</w:t>
      </w:r>
      <w:r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fldChar w:fldCharType="end"/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0457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A37DC4" w:rsidRPr="00A37DC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 w:rsidR="006A656A" w:rsidRPr="00A37DC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5">
    <w:p w14:paraId="1FBBD940" w14:textId="3305FB4F" w:rsidR="00B36811" w:rsidRPr="00D822BB" w:rsidRDefault="00B36811" w:rsidP="00B92952">
      <w:pPr>
        <w:pStyle w:val="FootnoteText"/>
        <w:rPr>
          <w:sz w:val="16"/>
          <w:szCs w:val="16"/>
          <w:lang w:val="en-PH"/>
        </w:rPr>
      </w:pPr>
      <w:r w:rsidRPr="00D822BB">
        <w:rPr>
          <w:rStyle w:val="FootnoteReference"/>
          <w:sz w:val="16"/>
          <w:szCs w:val="16"/>
        </w:rPr>
        <w:footnoteRef/>
      </w:r>
      <w:r w:rsidRPr="00D822BB">
        <w:rPr>
          <w:rStyle w:val="FootnoteReference"/>
          <w:sz w:val="16"/>
          <w:szCs w:val="16"/>
        </w:rPr>
        <w:t xml:space="preserve"> </w:t>
      </w:r>
      <w:r>
        <w:rPr>
          <w:rFonts w:ascii="Lucida Sans" w:eastAsia="Times New Roman" w:hAnsi="Lucida Sans" w:cs="Times New Roman"/>
          <w:color w:val="333333"/>
          <w:sz w:val="18"/>
          <w:szCs w:val="18"/>
          <w:shd w:val="clear" w:color="auto" w:fill="FFFFFF"/>
        </w:rPr>
        <w:t>U</w:t>
      </w:r>
      <w:r w:rsidRPr="00D822BB">
        <w:rPr>
          <w:sz w:val="16"/>
          <w:szCs w:val="16"/>
          <w:lang w:val="en-PH"/>
        </w:rPr>
        <w:t xml:space="preserve">.S. Bureau of Labor Statistics, Consumer Price Index for All Urban Consumers: New Vehicles in U.S. City Average [CUUR0000SETA01], </w:t>
      </w:r>
      <w:r w:rsidRPr="00D822BB">
        <w:rPr>
          <w:i/>
          <w:iCs/>
          <w:sz w:val="16"/>
          <w:szCs w:val="16"/>
          <w:lang w:val="en-PH"/>
        </w:rPr>
        <w:t xml:space="preserve">retrieved from FRED, </w:t>
      </w:r>
      <w:r w:rsidRPr="00B9295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</w:t>
      </w:r>
      <w:r w:rsidRPr="00D822BB">
        <w:rPr>
          <w:i/>
          <w:iCs/>
          <w:sz w:val="16"/>
          <w:szCs w:val="16"/>
          <w:lang w:val="en-PH"/>
        </w:rPr>
        <w:t xml:space="preserve"> Reserve Bank of St. Louis; </w:t>
      </w:r>
      <w:hyperlink r:id="rId34" w:history="1">
        <w:r w:rsidRPr="00D822BB">
          <w:rPr>
            <w:rStyle w:val="Hyperlink"/>
            <w:i/>
            <w:iCs/>
            <w:sz w:val="16"/>
            <w:szCs w:val="16"/>
            <w:lang w:val="en-PH"/>
          </w:rPr>
          <w:t>https://fred.stlouisfed.org/series/CUUR0000SETA01</w:t>
        </w:r>
      </w:hyperlink>
      <w:r w:rsidRPr="00D822BB">
        <w:rPr>
          <w:i/>
          <w:iCs/>
          <w:sz w:val="16"/>
          <w:szCs w:val="16"/>
          <w:lang w:val="en-PH"/>
        </w:rPr>
        <w:t xml:space="preserve">, </w:t>
      </w:r>
      <w:r w:rsidR="00B0457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B92952">
        <w:rPr>
          <w:i/>
          <w:iCs/>
          <w:sz w:val="16"/>
          <w:szCs w:val="16"/>
          <w:lang w:val="en-PH"/>
        </w:rPr>
        <w:t>, 2022</w:t>
      </w:r>
      <w:r w:rsidRPr="00D822BB">
        <w:rPr>
          <w:i/>
          <w:iCs/>
          <w:sz w:val="16"/>
          <w:szCs w:val="16"/>
          <w:lang w:val="en-PH"/>
        </w:rPr>
        <w:t>.</w:t>
      </w:r>
    </w:p>
  </w:footnote>
  <w:footnote w:id="36">
    <w:p w14:paraId="1D43F300" w14:textId="5BBEE85D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11626">
        <w:rPr>
          <w:sz w:val="16"/>
          <w:szCs w:val="16"/>
        </w:rPr>
        <w:t>U.S. Bureau of Labor Statistics</w:t>
      </w:r>
      <w:r>
        <w:rPr>
          <w:sz w:val="16"/>
          <w:szCs w:val="16"/>
        </w:rPr>
        <w:t xml:space="preserve">, </w:t>
      </w:r>
      <w:r w:rsidRPr="00611626">
        <w:rPr>
          <w:sz w:val="16"/>
          <w:szCs w:val="16"/>
        </w:rPr>
        <w:t>Consumer Price Index for All Urban Consumers: Used Cars and Trucks in U.S. City Average</w:t>
      </w:r>
      <w:r>
        <w:rPr>
          <w:sz w:val="16"/>
          <w:szCs w:val="16"/>
        </w:rPr>
        <w:t xml:space="preserve"> [</w:t>
      </w:r>
      <w:r w:rsidRPr="00611626">
        <w:rPr>
          <w:sz w:val="16"/>
          <w:szCs w:val="16"/>
        </w:rPr>
        <w:t>CUSR0000SETA02</w:t>
      </w:r>
      <w:r>
        <w:rPr>
          <w:sz w:val="16"/>
          <w:szCs w:val="16"/>
        </w:rPr>
        <w:t>],</w:t>
      </w:r>
      <w:r w:rsidRPr="00611626">
        <w:rPr>
          <w:sz w:val="16"/>
          <w:szCs w:val="16"/>
        </w:rPr>
        <w:t xml:space="preserve"> </w:t>
      </w:r>
      <w:r w:rsidRPr="00D822BB">
        <w:rPr>
          <w:i/>
          <w:iCs/>
          <w:sz w:val="16"/>
          <w:szCs w:val="16"/>
        </w:rPr>
        <w:t xml:space="preserve">retrieved from FRED, Federal Reserve Bank of St. Louis; </w:t>
      </w:r>
      <w:hyperlink r:id="rId35" w:history="1">
        <w:r w:rsidRPr="00D822BB">
          <w:rPr>
            <w:rStyle w:val="Hyperlink"/>
            <w:i/>
            <w:iCs/>
            <w:sz w:val="16"/>
            <w:szCs w:val="16"/>
          </w:rPr>
          <w:t>https://fred.stlouisfed.org/series/CUSR0000SETA02</w:t>
        </w:r>
      </w:hyperlink>
      <w:r>
        <w:t xml:space="preserve">, </w:t>
      </w:r>
      <w:r w:rsidR="00B0457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B9295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7">
    <w:p w14:paraId="01357EF0" w14:textId="4CED7A97" w:rsidR="00B36811" w:rsidRPr="00364347" w:rsidRDefault="00B36811" w:rsidP="00291FFB">
      <w:pPr>
        <w:pStyle w:val="FootnoteText"/>
        <w:rPr>
          <w:i/>
          <w:iCs/>
          <w:sz w:val="16"/>
          <w:szCs w:val="16"/>
          <w:lang w:val="en-PH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 xml:space="preserve">University of Michigan, University of Michigan: Consumer Sentiment [UMCSENT], retrieved from FRED, Federal Reserve Bank of St. Louis; </w:t>
      </w:r>
      <w:hyperlink r:id="rId36" w:history="1">
        <w:r w:rsidRPr="00364347">
          <w:rPr>
            <w:rStyle w:val="Hyperlink"/>
            <w:i/>
            <w:iCs/>
            <w:sz w:val="16"/>
            <w:szCs w:val="16"/>
            <w:lang w:val="en-PH"/>
          </w:rPr>
          <w:t>https://fred.stlouisfed.org/series/UMCSENT</w:t>
        </w:r>
      </w:hyperlink>
      <w:r w:rsidRPr="00364347">
        <w:rPr>
          <w:i/>
          <w:iCs/>
          <w:sz w:val="16"/>
          <w:szCs w:val="16"/>
          <w:lang w:val="en-PH"/>
        </w:rPr>
        <w:t xml:space="preserve">, </w:t>
      </w:r>
      <w:r w:rsidR="00B0457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>
        <w:rPr>
          <w:i/>
          <w:iCs/>
          <w:sz w:val="16"/>
          <w:szCs w:val="16"/>
          <w:lang w:val="en-PH"/>
        </w:rPr>
        <w:t>, 202</w:t>
      </w:r>
      <w:r w:rsidR="00112619">
        <w:rPr>
          <w:i/>
          <w:iCs/>
          <w:sz w:val="16"/>
          <w:szCs w:val="16"/>
          <w:lang w:val="en-PH"/>
        </w:rPr>
        <w:t>2</w:t>
      </w:r>
      <w:r w:rsidRPr="00364347">
        <w:rPr>
          <w:i/>
          <w:iCs/>
          <w:sz w:val="16"/>
          <w:szCs w:val="16"/>
          <w:lang w:val="en-PH"/>
        </w:rPr>
        <w:t>.</w:t>
      </w:r>
    </w:p>
    <w:p w14:paraId="10C86738" w14:textId="29101548" w:rsidR="00B36811" w:rsidRDefault="00B36811">
      <w:pPr>
        <w:pStyle w:val="FootnoteText"/>
      </w:pPr>
    </w:p>
  </w:footnote>
  <w:footnote w:id="38">
    <w:p w14:paraId="3E58D959" w14:textId="699C3BE5" w:rsidR="00B36811" w:rsidRPr="00364347" w:rsidRDefault="00B36811">
      <w:pPr>
        <w:pStyle w:val="FootnoteText"/>
        <w:rPr>
          <w:i/>
          <w:iCs/>
          <w:sz w:val="16"/>
          <w:szCs w:val="16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</w:rPr>
        <w:t xml:space="preserve">Chicago Board Options Exchange, CBOE Volatility Index: VIX [VIXCLS], retrieved from FRED, Federal Reserve Bank of St. Louis; </w:t>
      </w:r>
      <w:hyperlink r:id="rId37" w:history="1">
        <w:r w:rsidRPr="00364347">
          <w:rPr>
            <w:rStyle w:val="Hyperlink"/>
            <w:i/>
            <w:iCs/>
            <w:sz w:val="16"/>
            <w:szCs w:val="16"/>
          </w:rPr>
          <w:t>https://fred.stlouisfed.org/series/VIXCLS</w:t>
        </w:r>
      </w:hyperlink>
      <w:r w:rsidRPr="00364347">
        <w:rPr>
          <w:i/>
          <w:iCs/>
          <w:sz w:val="16"/>
          <w:szCs w:val="16"/>
        </w:rPr>
        <w:t xml:space="preserve">, </w:t>
      </w:r>
      <w:r w:rsidR="00981947">
        <w:rPr>
          <w:i/>
          <w:iCs/>
          <w:sz w:val="16"/>
          <w:szCs w:val="16"/>
        </w:rPr>
        <w:t>Apr 29</w:t>
      </w:r>
      <w:r w:rsidR="00CB7F52">
        <w:rPr>
          <w:i/>
          <w:iCs/>
          <w:sz w:val="16"/>
          <w:szCs w:val="16"/>
        </w:rPr>
        <w:t>, 2022</w:t>
      </w:r>
      <w:r w:rsidRPr="00364347">
        <w:rPr>
          <w:i/>
          <w:iCs/>
          <w:sz w:val="16"/>
          <w:szCs w:val="16"/>
        </w:rPr>
        <w:t>.</w:t>
      </w:r>
    </w:p>
  </w:footnote>
  <w:footnote w:id="39">
    <w:p w14:paraId="1CF53D3A" w14:textId="5D334D93" w:rsidR="00B36811" w:rsidRPr="00BF5CE2" w:rsidRDefault="00B36811">
      <w:pPr>
        <w:pStyle w:val="FootnoteText"/>
        <w:rPr>
          <w:lang w:val="en-PH"/>
        </w:rPr>
      </w:pPr>
      <w:r w:rsidRPr="002B29C7">
        <w:rPr>
          <w:rStyle w:val="FootnoteReference"/>
          <w:sz w:val="16"/>
          <w:szCs w:val="16"/>
        </w:rPr>
        <w:footnoteRef/>
      </w:r>
      <w:r w:rsidRPr="002B29C7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Growth Rate of Real Gross Domestic Product [GDPC1CTM],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ieved from FRED, Federal Reserve Bank of St. Louis; </w:t>
      </w:r>
      <w:hyperlink r:id="rId38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https://fred.stlouisfed.org/series/GDPC1CTM</w:t>
        </w:r>
      </w:hyperlink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="00A54AC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D04F3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0">
    <w:p w14:paraId="054982F6" w14:textId="27DC29CA" w:rsidR="00B36811" w:rsidRPr="005D3CEF" w:rsidRDefault="00B36811">
      <w:pPr>
        <w:pStyle w:val="FootnoteText"/>
        <w:rPr>
          <w:sz w:val="16"/>
          <w:szCs w:val="16"/>
          <w:lang w:val="en-PH"/>
        </w:rPr>
      </w:pPr>
      <w:r w:rsidRPr="005D3CEF">
        <w:rPr>
          <w:rStyle w:val="FootnoteReference"/>
          <w:sz w:val="16"/>
          <w:szCs w:val="16"/>
        </w:rPr>
        <w:footnoteRef/>
      </w:r>
      <w:r w:rsidRPr="005D3CEF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Personal Consumption Expenditures Inflation Rate, Central Tendency, Midpoint [PCECTPICTM],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9" w:history="1">
        <w:r w:rsidRPr="00364347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https://fred.stlouisfed.org/series/PCECTPICTM</w:t>
        </w:r>
      </w:hyperlink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54AC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D04F3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1">
    <w:p w14:paraId="4A7DBD07" w14:textId="32BC0897" w:rsidR="00B36811" w:rsidRPr="00E72196" w:rsidRDefault="00B36811" w:rsidP="0049182B">
      <w:pPr>
        <w:pStyle w:val="FootnoteText"/>
        <w:jc w:val="both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Civilian Unemployment Rate, Central Tendency, Midpoint</w:t>
      </w:r>
      <w:r>
        <w:rPr>
          <w:i/>
          <w:iCs/>
          <w:sz w:val="16"/>
          <w:szCs w:val="16"/>
          <w:lang w:val="en-PH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>[UNRATECTM],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eved from FRED, Federal Reserve Bank of St. Louis; </w:t>
      </w:r>
      <w:hyperlink r:id="rId40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54AC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 29</w:t>
      </w:r>
      <w:r w:rsidR="00D04F3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2022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7" w14:textId="77777777" w:rsidR="00B36811" w:rsidRPr="00460436" w:rsidRDefault="00B36811" w:rsidP="00460436">
    <w:pPr>
      <w:pStyle w:val="Header"/>
      <w:jc w:val="right"/>
      <w:rPr>
        <w:rStyle w:val="IntenseEmphasis"/>
      </w:rPr>
    </w:pPr>
    <w:r w:rsidRPr="00460436">
      <w:rPr>
        <w:rStyle w:val="IntenseEmphasis"/>
      </w:rPr>
      <w:t>Quarterly Economic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F2D28"/>
    <w:multiLevelType w:val="hybridMultilevel"/>
    <w:tmpl w:val="3CC4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54B19"/>
    <w:multiLevelType w:val="hybridMultilevel"/>
    <w:tmpl w:val="82C2C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907BB"/>
    <w:multiLevelType w:val="hybridMultilevel"/>
    <w:tmpl w:val="A0F6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E6018"/>
    <w:multiLevelType w:val="hybridMultilevel"/>
    <w:tmpl w:val="62A6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28608">
    <w:abstractNumId w:val="1"/>
  </w:num>
  <w:num w:numId="2" w16cid:durableId="1701584382">
    <w:abstractNumId w:val="2"/>
  </w:num>
  <w:num w:numId="3" w16cid:durableId="1062369778">
    <w:abstractNumId w:val="0"/>
  </w:num>
  <w:num w:numId="4" w16cid:durableId="2346262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055B"/>
    <w:rsid w:val="000017CB"/>
    <w:rsid w:val="00001B20"/>
    <w:rsid w:val="000048BB"/>
    <w:rsid w:val="00005111"/>
    <w:rsid w:val="00014CBA"/>
    <w:rsid w:val="00015329"/>
    <w:rsid w:val="00021EA4"/>
    <w:rsid w:val="00022BB4"/>
    <w:rsid w:val="00023FB9"/>
    <w:rsid w:val="000248D0"/>
    <w:rsid w:val="00024E64"/>
    <w:rsid w:val="00025568"/>
    <w:rsid w:val="0002602B"/>
    <w:rsid w:val="0002760A"/>
    <w:rsid w:val="00027E1E"/>
    <w:rsid w:val="00030ECA"/>
    <w:rsid w:val="0003136B"/>
    <w:rsid w:val="00031DA4"/>
    <w:rsid w:val="000322F4"/>
    <w:rsid w:val="00033B75"/>
    <w:rsid w:val="000345F7"/>
    <w:rsid w:val="00035810"/>
    <w:rsid w:val="00035F0C"/>
    <w:rsid w:val="00035F9F"/>
    <w:rsid w:val="0003611B"/>
    <w:rsid w:val="0004025D"/>
    <w:rsid w:val="0004306B"/>
    <w:rsid w:val="0004341A"/>
    <w:rsid w:val="00046A04"/>
    <w:rsid w:val="00047034"/>
    <w:rsid w:val="00047E74"/>
    <w:rsid w:val="00050BF6"/>
    <w:rsid w:val="0005198D"/>
    <w:rsid w:val="00052F94"/>
    <w:rsid w:val="0005394D"/>
    <w:rsid w:val="00053E46"/>
    <w:rsid w:val="0005726F"/>
    <w:rsid w:val="00057711"/>
    <w:rsid w:val="00060AA5"/>
    <w:rsid w:val="00061DAA"/>
    <w:rsid w:val="000644DB"/>
    <w:rsid w:val="000650B3"/>
    <w:rsid w:val="00065E14"/>
    <w:rsid w:val="0007056A"/>
    <w:rsid w:val="00071875"/>
    <w:rsid w:val="00071A81"/>
    <w:rsid w:val="0007242E"/>
    <w:rsid w:val="00072C36"/>
    <w:rsid w:val="000738AD"/>
    <w:rsid w:val="00074123"/>
    <w:rsid w:val="000742F7"/>
    <w:rsid w:val="0007515A"/>
    <w:rsid w:val="000755E2"/>
    <w:rsid w:val="00076744"/>
    <w:rsid w:val="00076850"/>
    <w:rsid w:val="000807FF"/>
    <w:rsid w:val="000841DA"/>
    <w:rsid w:val="00084604"/>
    <w:rsid w:val="00084608"/>
    <w:rsid w:val="00084C45"/>
    <w:rsid w:val="00086DBA"/>
    <w:rsid w:val="000874E3"/>
    <w:rsid w:val="00090DA6"/>
    <w:rsid w:val="00093D9A"/>
    <w:rsid w:val="00093EF4"/>
    <w:rsid w:val="0009699C"/>
    <w:rsid w:val="000A0001"/>
    <w:rsid w:val="000A0FCA"/>
    <w:rsid w:val="000A1224"/>
    <w:rsid w:val="000A239B"/>
    <w:rsid w:val="000A2C4B"/>
    <w:rsid w:val="000A3240"/>
    <w:rsid w:val="000A6B19"/>
    <w:rsid w:val="000A79DC"/>
    <w:rsid w:val="000B0583"/>
    <w:rsid w:val="000B0B86"/>
    <w:rsid w:val="000B42F9"/>
    <w:rsid w:val="000B43C0"/>
    <w:rsid w:val="000B4F85"/>
    <w:rsid w:val="000B5DA2"/>
    <w:rsid w:val="000B6EBB"/>
    <w:rsid w:val="000C117B"/>
    <w:rsid w:val="000C1495"/>
    <w:rsid w:val="000C19DD"/>
    <w:rsid w:val="000C2E7D"/>
    <w:rsid w:val="000C6EEB"/>
    <w:rsid w:val="000C71C7"/>
    <w:rsid w:val="000D3995"/>
    <w:rsid w:val="000D47AB"/>
    <w:rsid w:val="000D4973"/>
    <w:rsid w:val="000D4AF1"/>
    <w:rsid w:val="000D5719"/>
    <w:rsid w:val="000D646D"/>
    <w:rsid w:val="000D7BDC"/>
    <w:rsid w:val="000E1BAA"/>
    <w:rsid w:val="000E3192"/>
    <w:rsid w:val="000E5860"/>
    <w:rsid w:val="000E6060"/>
    <w:rsid w:val="000E6A61"/>
    <w:rsid w:val="000F1648"/>
    <w:rsid w:val="000F3008"/>
    <w:rsid w:val="000F4AC6"/>
    <w:rsid w:val="000F59FF"/>
    <w:rsid w:val="000F7F33"/>
    <w:rsid w:val="001009B9"/>
    <w:rsid w:val="00100DF8"/>
    <w:rsid w:val="00102080"/>
    <w:rsid w:val="0010260B"/>
    <w:rsid w:val="00105413"/>
    <w:rsid w:val="001057AF"/>
    <w:rsid w:val="001058D4"/>
    <w:rsid w:val="00105A55"/>
    <w:rsid w:val="00107AB4"/>
    <w:rsid w:val="001116CA"/>
    <w:rsid w:val="00111911"/>
    <w:rsid w:val="00111974"/>
    <w:rsid w:val="00112619"/>
    <w:rsid w:val="00113C90"/>
    <w:rsid w:val="001149CD"/>
    <w:rsid w:val="00115717"/>
    <w:rsid w:val="00116B91"/>
    <w:rsid w:val="00117BB0"/>
    <w:rsid w:val="00121A39"/>
    <w:rsid w:val="00121E2F"/>
    <w:rsid w:val="00122842"/>
    <w:rsid w:val="001235D8"/>
    <w:rsid w:val="001277B9"/>
    <w:rsid w:val="00130055"/>
    <w:rsid w:val="00131885"/>
    <w:rsid w:val="00131A14"/>
    <w:rsid w:val="00132201"/>
    <w:rsid w:val="00134A21"/>
    <w:rsid w:val="00134DA5"/>
    <w:rsid w:val="00137248"/>
    <w:rsid w:val="00140712"/>
    <w:rsid w:val="00140763"/>
    <w:rsid w:val="00140B44"/>
    <w:rsid w:val="00140FEE"/>
    <w:rsid w:val="00142F71"/>
    <w:rsid w:val="001451F8"/>
    <w:rsid w:val="001460CC"/>
    <w:rsid w:val="001475FF"/>
    <w:rsid w:val="0015037B"/>
    <w:rsid w:val="00150655"/>
    <w:rsid w:val="001511FF"/>
    <w:rsid w:val="00152215"/>
    <w:rsid w:val="00153FBB"/>
    <w:rsid w:val="001545F2"/>
    <w:rsid w:val="00155E88"/>
    <w:rsid w:val="00156E24"/>
    <w:rsid w:val="00156FE4"/>
    <w:rsid w:val="0016088B"/>
    <w:rsid w:val="00162E77"/>
    <w:rsid w:val="00163F37"/>
    <w:rsid w:val="00164566"/>
    <w:rsid w:val="00166778"/>
    <w:rsid w:val="0016688A"/>
    <w:rsid w:val="00166C08"/>
    <w:rsid w:val="00166F90"/>
    <w:rsid w:val="00171C8E"/>
    <w:rsid w:val="00172307"/>
    <w:rsid w:val="001737B6"/>
    <w:rsid w:val="00173FBF"/>
    <w:rsid w:val="001744C6"/>
    <w:rsid w:val="0017465F"/>
    <w:rsid w:val="00174B44"/>
    <w:rsid w:val="00174BCD"/>
    <w:rsid w:val="00174CC3"/>
    <w:rsid w:val="001756EC"/>
    <w:rsid w:val="0017576B"/>
    <w:rsid w:val="00176C00"/>
    <w:rsid w:val="00176F91"/>
    <w:rsid w:val="001773AA"/>
    <w:rsid w:val="0018096F"/>
    <w:rsid w:val="00180CA9"/>
    <w:rsid w:val="001819E6"/>
    <w:rsid w:val="00182738"/>
    <w:rsid w:val="001829D2"/>
    <w:rsid w:val="00183B61"/>
    <w:rsid w:val="00186318"/>
    <w:rsid w:val="00186873"/>
    <w:rsid w:val="001868CB"/>
    <w:rsid w:val="00187669"/>
    <w:rsid w:val="00193436"/>
    <w:rsid w:val="001945EC"/>
    <w:rsid w:val="0019513E"/>
    <w:rsid w:val="00195B12"/>
    <w:rsid w:val="001A21D2"/>
    <w:rsid w:val="001A3FBA"/>
    <w:rsid w:val="001A4F9E"/>
    <w:rsid w:val="001A5EDF"/>
    <w:rsid w:val="001A6C86"/>
    <w:rsid w:val="001B1490"/>
    <w:rsid w:val="001B4B76"/>
    <w:rsid w:val="001C0418"/>
    <w:rsid w:val="001C0F2A"/>
    <w:rsid w:val="001C1070"/>
    <w:rsid w:val="001C14A1"/>
    <w:rsid w:val="001C2541"/>
    <w:rsid w:val="001C38B9"/>
    <w:rsid w:val="001C5F4E"/>
    <w:rsid w:val="001C7617"/>
    <w:rsid w:val="001D7D8D"/>
    <w:rsid w:val="001E04F8"/>
    <w:rsid w:val="001E15B0"/>
    <w:rsid w:val="001E26E8"/>
    <w:rsid w:val="001E42A6"/>
    <w:rsid w:val="001E483E"/>
    <w:rsid w:val="001E6FCC"/>
    <w:rsid w:val="001E7445"/>
    <w:rsid w:val="001F297B"/>
    <w:rsid w:val="001F4E3D"/>
    <w:rsid w:val="001F7970"/>
    <w:rsid w:val="0020145F"/>
    <w:rsid w:val="002024E2"/>
    <w:rsid w:val="0020274B"/>
    <w:rsid w:val="00203609"/>
    <w:rsid w:val="00204D9D"/>
    <w:rsid w:val="002108BA"/>
    <w:rsid w:val="00210DB1"/>
    <w:rsid w:val="0021377C"/>
    <w:rsid w:val="00217AD5"/>
    <w:rsid w:val="00220B63"/>
    <w:rsid w:val="002218BC"/>
    <w:rsid w:val="002219B5"/>
    <w:rsid w:val="0022226D"/>
    <w:rsid w:val="0022416D"/>
    <w:rsid w:val="0022724A"/>
    <w:rsid w:val="002301AB"/>
    <w:rsid w:val="002308A9"/>
    <w:rsid w:val="00230D29"/>
    <w:rsid w:val="00231BB2"/>
    <w:rsid w:val="00231FA3"/>
    <w:rsid w:val="00232336"/>
    <w:rsid w:val="00234E76"/>
    <w:rsid w:val="00234F94"/>
    <w:rsid w:val="00235B28"/>
    <w:rsid w:val="002361FB"/>
    <w:rsid w:val="00236B68"/>
    <w:rsid w:val="00237901"/>
    <w:rsid w:val="00237E71"/>
    <w:rsid w:val="002406D9"/>
    <w:rsid w:val="0024113D"/>
    <w:rsid w:val="002435D7"/>
    <w:rsid w:val="00244369"/>
    <w:rsid w:val="00244C4D"/>
    <w:rsid w:val="00245903"/>
    <w:rsid w:val="00245B33"/>
    <w:rsid w:val="002502D5"/>
    <w:rsid w:val="00250313"/>
    <w:rsid w:val="002516C6"/>
    <w:rsid w:val="002521FF"/>
    <w:rsid w:val="0025222E"/>
    <w:rsid w:val="00252A9B"/>
    <w:rsid w:val="002530D7"/>
    <w:rsid w:val="00254176"/>
    <w:rsid w:val="0025469C"/>
    <w:rsid w:val="00254F79"/>
    <w:rsid w:val="00255530"/>
    <w:rsid w:val="00255C11"/>
    <w:rsid w:val="00255C32"/>
    <w:rsid w:val="0025666D"/>
    <w:rsid w:val="00257944"/>
    <w:rsid w:val="002608F3"/>
    <w:rsid w:val="00261A6E"/>
    <w:rsid w:val="0026329B"/>
    <w:rsid w:val="00263EBD"/>
    <w:rsid w:val="00265131"/>
    <w:rsid w:val="0026599C"/>
    <w:rsid w:val="002731EF"/>
    <w:rsid w:val="00273DCA"/>
    <w:rsid w:val="002743DC"/>
    <w:rsid w:val="0027585A"/>
    <w:rsid w:val="002775DB"/>
    <w:rsid w:val="002817E1"/>
    <w:rsid w:val="00281E64"/>
    <w:rsid w:val="0028237E"/>
    <w:rsid w:val="00282C6E"/>
    <w:rsid w:val="00283D6F"/>
    <w:rsid w:val="002857FD"/>
    <w:rsid w:val="00285D03"/>
    <w:rsid w:val="00285F67"/>
    <w:rsid w:val="00291763"/>
    <w:rsid w:val="00291E5B"/>
    <w:rsid w:val="00291FFB"/>
    <w:rsid w:val="00292B24"/>
    <w:rsid w:val="00296BEB"/>
    <w:rsid w:val="002972D2"/>
    <w:rsid w:val="002978F9"/>
    <w:rsid w:val="002A0B80"/>
    <w:rsid w:val="002A14C5"/>
    <w:rsid w:val="002A375D"/>
    <w:rsid w:val="002A3CB2"/>
    <w:rsid w:val="002A45E8"/>
    <w:rsid w:val="002A764F"/>
    <w:rsid w:val="002B16D0"/>
    <w:rsid w:val="002B29C7"/>
    <w:rsid w:val="002B2BBA"/>
    <w:rsid w:val="002B4308"/>
    <w:rsid w:val="002C0EC8"/>
    <w:rsid w:val="002C1F64"/>
    <w:rsid w:val="002C240B"/>
    <w:rsid w:val="002C3C67"/>
    <w:rsid w:val="002C429F"/>
    <w:rsid w:val="002C5E52"/>
    <w:rsid w:val="002C601A"/>
    <w:rsid w:val="002C69A4"/>
    <w:rsid w:val="002D17D6"/>
    <w:rsid w:val="002D4C10"/>
    <w:rsid w:val="002D5CC3"/>
    <w:rsid w:val="002D660A"/>
    <w:rsid w:val="002D7154"/>
    <w:rsid w:val="002D78A5"/>
    <w:rsid w:val="002E0DC9"/>
    <w:rsid w:val="002E0F29"/>
    <w:rsid w:val="002E2644"/>
    <w:rsid w:val="002E3213"/>
    <w:rsid w:val="002E3647"/>
    <w:rsid w:val="002E3E26"/>
    <w:rsid w:val="002E4494"/>
    <w:rsid w:val="002E58CF"/>
    <w:rsid w:val="002E6FDE"/>
    <w:rsid w:val="002E7ACF"/>
    <w:rsid w:val="002F0CDA"/>
    <w:rsid w:val="002F1660"/>
    <w:rsid w:val="002F1B2A"/>
    <w:rsid w:val="002F1B4B"/>
    <w:rsid w:val="002F1C7B"/>
    <w:rsid w:val="002F3682"/>
    <w:rsid w:val="002F3ADD"/>
    <w:rsid w:val="002F3CE6"/>
    <w:rsid w:val="002F4629"/>
    <w:rsid w:val="002F6282"/>
    <w:rsid w:val="002F63F8"/>
    <w:rsid w:val="002F7417"/>
    <w:rsid w:val="003028B3"/>
    <w:rsid w:val="00304B4E"/>
    <w:rsid w:val="00306B1D"/>
    <w:rsid w:val="003071CD"/>
    <w:rsid w:val="00307A87"/>
    <w:rsid w:val="0031179D"/>
    <w:rsid w:val="00311E77"/>
    <w:rsid w:val="00314985"/>
    <w:rsid w:val="003167AC"/>
    <w:rsid w:val="00316CBD"/>
    <w:rsid w:val="00316E8F"/>
    <w:rsid w:val="00317448"/>
    <w:rsid w:val="003175DC"/>
    <w:rsid w:val="00321912"/>
    <w:rsid w:val="00321AA2"/>
    <w:rsid w:val="00322C58"/>
    <w:rsid w:val="00323C75"/>
    <w:rsid w:val="003240BB"/>
    <w:rsid w:val="00327700"/>
    <w:rsid w:val="0033052C"/>
    <w:rsid w:val="003316E9"/>
    <w:rsid w:val="00331CF3"/>
    <w:rsid w:val="00332197"/>
    <w:rsid w:val="00334DE4"/>
    <w:rsid w:val="0033537B"/>
    <w:rsid w:val="00336F2C"/>
    <w:rsid w:val="003376CD"/>
    <w:rsid w:val="00337BD8"/>
    <w:rsid w:val="00340262"/>
    <w:rsid w:val="00340B8A"/>
    <w:rsid w:val="003411C1"/>
    <w:rsid w:val="00341282"/>
    <w:rsid w:val="003412DA"/>
    <w:rsid w:val="003414E7"/>
    <w:rsid w:val="00346350"/>
    <w:rsid w:val="00346E54"/>
    <w:rsid w:val="003477B7"/>
    <w:rsid w:val="003479C3"/>
    <w:rsid w:val="00350673"/>
    <w:rsid w:val="003509E7"/>
    <w:rsid w:val="003531E6"/>
    <w:rsid w:val="00353F0A"/>
    <w:rsid w:val="00354195"/>
    <w:rsid w:val="00354414"/>
    <w:rsid w:val="0035542E"/>
    <w:rsid w:val="00360100"/>
    <w:rsid w:val="00361E70"/>
    <w:rsid w:val="00362202"/>
    <w:rsid w:val="00363E78"/>
    <w:rsid w:val="00364347"/>
    <w:rsid w:val="003643F8"/>
    <w:rsid w:val="0036641E"/>
    <w:rsid w:val="003711BF"/>
    <w:rsid w:val="00371414"/>
    <w:rsid w:val="00372F3C"/>
    <w:rsid w:val="00373A3D"/>
    <w:rsid w:val="00376778"/>
    <w:rsid w:val="003802E7"/>
    <w:rsid w:val="003812D0"/>
    <w:rsid w:val="0038144F"/>
    <w:rsid w:val="00381A81"/>
    <w:rsid w:val="00382C86"/>
    <w:rsid w:val="00385105"/>
    <w:rsid w:val="00386023"/>
    <w:rsid w:val="00387C82"/>
    <w:rsid w:val="0039196F"/>
    <w:rsid w:val="00391D3A"/>
    <w:rsid w:val="00392D01"/>
    <w:rsid w:val="00393B78"/>
    <w:rsid w:val="0039421C"/>
    <w:rsid w:val="00394236"/>
    <w:rsid w:val="00395B3E"/>
    <w:rsid w:val="00396E51"/>
    <w:rsid w:val="0039736B"/>
    <w:rsid w:val="00397F57"/>
    <w:rsid w:val="003A0447"/>
    <w:rsid w:val="003A0B8A"/>
    <w:rsid w:val="003A2900"/>
    <w:rsid w:val="003A390C"/>
    <w:rsid w:val="003A3D8A"/>
    <w:rsid w:val="003A4B97"/>
    <w:rsid w:val="003A4BCC"/>
    <w:rsid w:val="003A679B"/>
    <w:rsid w:val="003B0615"/>
    <w:rsid w:val="003B0B22"/>
    <w:rsid w:val="003B2A9D"/>
    <w:rsid w:val="003B2BFB"/>
    <w:rsid w:val="003B4D22"/>
    <w:rsid w:val="003C1A72"/>
    <w:rsid w:val="003C1F24"/>
    <w:rsid w:val="003C2173"/>
    <w:rsid w:val="003C4023"/>
    <w:rsid w:val="003C4CAF"/>
    <w:rsid w:val="003D112A"/>
    <w:rsid w:val="003D1D39"/>
    <w:rsid w:val="003D3C51"/>
    <w:rsid w:val="003D4159"/>
    <w:rsid w:val="003D52B8"/>
    <w:rsid w:val="003D5D19"/>
    <w:rsid w:val="003E18DF"/>
    <w:rsid w:val="003E282E"/>
    <w:rsid w:val="003E3039"/>
    <w:rsid w:val="003E3E2D"/>
    <w:rsid w:val="003E4ACB"/>
    <w:rsid w:val="003E5CFB"/>
    <w:rsid w:val="003E62D6"/>
    <w:rsid w:val="003F007D"/>
    <w:rsid w:val="003F14BE"/>
    <w:rsid w:val="003F2FE7"/>
    <w:rsid w:val="003F4CDB"/>
    <w:rsid w:val="003F5061"/>
    <w:rsid w:val="004005A4"/>
    <w:rsid w:val="00401A65"/>
    <w:rsid w:val="0040211C"/>
    <w:rsid w:val="00403355"/>
    <w:rsid w:val="00404E89"/>
    <w:rsid w:val="0040653A"/>
    <w:rsid w:val="0041138E"/>
    <w:rsid w:val="00411404"/>
    <w:rsid w:val="00411A4C"/>
    <w:rsid w:val="00412C1A"/>
    <w:rsid w:val="004134F4"/>
    <w:rsid w:val="00413EE3"/>
    <w:rsid w:val="00413F0F"/>
    <w:rsid w:val="00421F60"/>
    <w:rsid w:val="0042476E"/>
    <w:rsid w:val="00424E74"/>
    <w:rsid w:val="00426A6A"/>
    <w:rsid w:val="00427110"/>
    <w:rsid w:val="0042719D"/>
    <w:rsid w:val="0043016A"/>
    <w:rsid w:val="00440FEB"/>
    <w:rsid w:val="00442163"/>
    <w:rsid w:val="00442565"/>
    <w:rsid w:val="00442A7A"/>
    <w:rsid w:val="00442BF6"/>
    <w:rsid w:val="00442D2A"/>
    <w:rsid w:val="00443A15"/>
    <w:rsid w:val="00445A11"/>
    <w:rsid w:val="00446C08"/>
    <w:rsid w:val="004476DE"/>
    <w:rsid w:val="00447E7F"/>
    <w:rsid w:val="00447F8B"/>
    <w:rsid w:val="00450276"/>
    <w:rsid w:val="004506CC"/>
    <w:rsid w:val="0045095D"/>
    <w:rsid w:val="0045097E"/>
    <w:rsid w:val="004513EB"/>
    <w:rsid w:val="00451755"/>
    <w:rsid w:val="00452720"/>
    <w:rsid w:val="00453708"/>
    <w:rsid w:val="00453738"/>
    <w:rsid w:val="00454F4B"/>
    <w:rsid w:val="0045550A"/>
    <w:rsid w:val="00455D78"/>
    <w:rsid w:val="00456741"/>
    <w:rsid w:val="00457E1D"/>
    <w:rsid w:val="00460436"/>
    <w:rsid w:val="00460DE2"/>
    <w:rsid w:val="00460E43"/>
    <w:rsid w:val="00463560"/>
    <w:rsid w:val="00466612"/>
    <w:rsid w:val="00466861"/>
    <w:rsid w:val="00467365"/>
    <w:rsid w:val="00467AB1"/>
    <w:rsid w:val="004709B0"/>
    <w:rsid w:val="004759DB"/>
    <w:rsid w:val="004778D8"/>
    <w:rsid w:val="0048128D"/>
    <w:rsid w:val="004846E4"/>
    <w:rsid w:val="004907DA"/>
    <w:rsid w:val="00490AFD"/>
    <w:rsid w:val="0049134B"/>
    <w:rsid w:val="0049182B"/>
    <w:rsid w:val="00491B4B"/>
    <w:rsid w:val="00493CF1"/>
    <w:rsid w:val="004940F1"/>
    <w:rsid w:val="00494933"/>
    <w:rsid w:val="004965CE"/>
    <w:rsid w:val="00496E13"/>
    <w:rsid w:val="004A0649"/>
    <w:rsid w:val="004A0947"/>
    <w:rsid w:val="004A0ABB"/>
    <w:rsid w:val="004A4BD1"/>
    <w:rsid w:val="004A707E"/>
    <w:rsid w:val="004B047B"/>
    <w:rsid w:val="004B2BFB"/>
    <w:rsid w:val="004B2DF4"/>
    <w:rsid w:val="004B3923"/>
    <w:rsid w:val="004B3B5E"/>
    <w:rsid w:val="004B3D9F"/>
    <w:rsid w:val="004B5284"/>
    <w:rsid w:val="004B6D7A"/>
    <w:rsid w:val="004B76BB"/>
    <w:rsid w:val="004B7D92"/>
    <w:rsid w:val="004C1749"/>
    <w:rsid w:val="004C20AB"/>
    <w:rsid w:val="004C3365"/>
    <w:rsid w:val="004C587A"/>
    <w:rsid w:val="004C6B76"/>
    <w:rsid w:val="004D0515"/>
    <w:rsid w:val="004D099A"/>
    <w:rsid w:val="004D1BCA"/>
    <w:rsid w:val="004D1C9D"/>
    <w:rsid w:val="004D1DA4"/>
    <w:rsid w:val="004E1574"/>
    <w:rsid w:val="004E2AB3"/>
    <w:rsid w:val="004E2C09"/>
    <w:rsid w:val="004E3393"/>
    <w:rsid w:val="004E3F0B"/>
    <w:rsid w:val="004E4A45"/>
    <w:rsid w:val="004E4B6F"/>
    <w:rsid w:val="004E5EC0"/>
    <w:rsid w:val="004E7265"/>
    <w:rsid w:val="004F1136"/>
    <w:rsid w:val="004F1527"/>
    <w:rsid w:val="004F2735"/>
    <w:rsid w:val="004F307A"/>
    <w:rsid w:val="004F330B"/>
    <w:rsid w:val="004F3ADA"/>
    <w:rsid w:val="004F4F4F"/>
    <w:rsid w:val="004F55C9"/>
    <w:rsid w:val="004F67A9"/>
    <w:rsid w:val="004F73C7"/>
    <w:rsid w:val="00502B32"/>
    <w:rsid w:val="00504F45"/>
    <w:rsid w:val="00507645"/>
    <w:rsid w:val="00507B5A"/>
    <w:rsid w:val="005117CA"/>
    <w:rsid w:val="005127D3"/>
    <w:rsid w:val="00515DB3"/>
    <w:rsid w:val="00515E9D"/>
    <w:rsid w:val="00516EDD"/>
    <w:rsid w:val="005200CA"/>
    <w:rsid w:val="0052077C"/>
    <w:rsid w:val="00521F1D"/>
    <w:rsid w:val="005232D6"/>
    <w:rsid w:val="00525C1B"/>
    <w:rsid w:val="005261C1"/>
    <w:rsid w:val="00532A06"/>
    <w:rsid w:val="005356B5"/>
    <w:rsid w:val="00536754"/>
    <w:rsid w:val="00536AD4"/>
    <w:rsid w:val="00536B00"/>
    <w:rsid w:val="005378C5"/>
    <w:rsid w:val="00537FF8"/>
    <w:rsid w:val="00540D2B"/>
    <w:rsid w:val="00541D29"/>
    <w:rsid w:val="005425D7"/>
    <w:rsid w:val="00542F5A"/>
    <w:rsid w:val="00544623"/>
    <w:rsid w:val="005469DE"/>
    <w:rsid w:val="005475F2"/>
    <w:rsid w:val="0055033B"/>
    <w:rsid w:val="005505E0"/>
    <w:rsid w:val="005505E5"/>
    <w:rsid w:val="00550C7C"/>
    <w:rsid w:val="00551864"/>
    <w:rsid w:val="00551B4D"/>
    <w:rsid w:val="00551CFE"/>
    <w:rsid w:val="00554121"/>
    <w:rsid w:val="005554F5"/>
    <w:rsid w:val="0055555A"/>
    <w:rsid w:val="005563D4"/>
    <w:rsid w:val="0055673A"/>
    <w:rsid w:val="00556EAD"/>
    <w:rsid w:val="00557239"/>
    <w:rsid w:val="005573A8"/>
    <w:rsid w:val="00562791"/>
    <w:rsid w:val="00562B39"/>
    <w:rsid w:val="0056320C"/>
    <w:rsid w:val="005650CD"/>
    <w:rsid w:val="005662B5"/>
    <w:rsid w:val="00570005"/>
    <w:rsid w:val="00570346"/>
    <w:rsid w:val="00571BD4"/>
    <w:rsid w:val="00572F03"/>
    <w:rsid w:val="005734C4"/>
    <w:rsid w:val="00575923"/>
    <w:rsid w:val="00576484"/>
    <w:rsid w:val="00576E9B"/>
    <w:rsid w:val="005779B7"/>
    <w:rsid w:val="00577C8E"/>
    <w:rsid w:val="005807C6"/>
    <w:rsid w:val="00580F92"/>
    <w:rsid w:val="005828F0"/>
    <w:rsid w:val="0058330E"/>
    <w:rsid w:val="00583BEE"/>
    <w:rsid w:val="00584B8E"/>
    <w:rsid w:val="00587C5A"/>
    <w:rsid w:val="00590322"/>
    <w:rsid w:val="005917C1"/>
    <w:rsid w:val="00591A62"/>
    <w:rsid w:val="005933D9"/>
    <w:rsid w:val="00594B4A"/>
    <w:rsid w:val="005954B1"/>
    <w:rsid w:val="005A0EC4"/>
    <w:rsid w:val="005A693F"/>
    <w:rsid w:val="005B1168"/>
    <w:rsid w:val="005B1ACA"/>
    <w:rsid w:val="005B2ED9"/>
    <w:rsid w:val="005B40E5"/>
    <w:rsid w:val="005B7A7E"/>
    <w:rsid w:val="005C021F"/>
    <w:rsid w:val="005C0423"/>
    <w:rsid w:val="005C0A6E"/>
    <w:rsid w:val="005C0D2D"/>
    <w:rsid w:val="005C2215"/>
    <w:rsid w:val="005C22CA"/>
    <w:rsid w:val="005C2F47"/>
    <w:rsid w:val="005C493F"/>
    <w:rsid w:val="005C532B"/>
    <w:rsid w:val="005C6411"/>
    <w:rsid w:val="005C6CD5"/>
    <w:rsid w:val="005C6F0D"/>
    <w:rsid w:val="005C771E"/>
    <w:rsid w:val="005D022C"/>
    <w:rsid w:val="005D06C9"/>
    <w:rsid w:val="005D1E0A"/>
    <w:rsid w:val="005D1E7F"/>
    <w:rsid w:val="005D3CEF"/>
    <w:rsid w:val="005D3F1A"/>
    <w:rsid w:val="005D3FB8"/>
    <w:rsid w:val="005D43B8"/>
    <w:rsid w:val="005D5553"/>
    <w:rsid w:val="005D6316"/>
    <w:rsid w:val="005E19C2"/>
    <w:rsid w:val="005E1BD2"/>
    <w:rsid w:val="005E306A"/>
    <w:rsid w:val="005E3622"/>
    <w:rsid w:val="005E56AE"/>
    <w:rsid w:val="005E67EF"/>
    <w:rsid w:val="005E797B"/>
    <w:rsid w:val="005E7A94"/>
    <w:rsid w:val="005F07E9"/>
    <w:rsid w:val="005F1D7F"/>
    <w:rsid w:val="005F344C"/>
    <w:rsid w:val="005F5744"/>
    <w:rsid w:val="00600AF9"/>
    <w:rsid w:val="006055F4"/>
    <w:rsid w:val="00605F4E"/>
    <w:rsid w:val="006068F7"/>
    <w:rsid w:val="00610140"/>
    <w:rsid w:val="0061080D"/>
    <w:rsid w:val="00610894"/>
    <w:rsid w:val="00611626"/>
    <w:rsid w:val="0061200D"/>
    <w:rsid w:val="006130EE"/>
    <w:rsid w:val="00613599"/>
    <w:rsid w:val="00615B70"/>
    <w:rsid w:val="006167DB"/>
    <w:rsid w:val="00617DFF"/>
    <w:rsid w:val="00617E5C"/>
    <w:rsid w:val="00620094"/>
    <w:rsid w:val="00620252"/>
    <w:rsid w:val="00621173"/>
    <w:rsid w:val="0062162D"/>
    <w:rsid w:val="00622313"/>
    <w:rsid w:val="00623672"/>
    <w:rsid w:val="0062444A"/>
    <w:rsid w:val="00624AEF"/>
    <w:rsid w:val="0062659E"/>
    <w:rsid w:val="00626DAC"/>
    <w:rsid w:val="00627C19"/>
    <w:rsid w:val="00627DE7"/>
    <w:rsid w:val="006314B9"/>
    <w:rsid w:val="00631555"/>
    <w:rsid w:val="00632F4E"/>
    <w:rsid w:val="006331A2"/>
    <w:rsid w:val="006342D9"/>
    <w:rsid w:val="00634658"/>
    <w:rsid w:val="00634787"/>
    <w:rsid w:val="00640C9C"/>
    <w:rsid w:val="00640DD5"/>
    <w:rsid w:val="00641A51"/>
    <w:rsid w:val="00643797"/>
    <w:rsid w:val="006439EA"/>
    <w:rsid w:val="00643FBF"/>
    <w:rsid w:val="006451FA"/>
    <w:rsid w:val="0064538F"/>
    <w:rsid w:val="00650430"/>
    <w:rsid w:val="00650582"/>
    <w:rsid w:val="00651AC2"/>
    <w:rsid w:val="006528B7"/>
    <w:rsid w:val="00654A68"/>
    <w:rsid w:val="00654B02"/>
    <w:rsid w:val="006553D1"/>
    <w:rsid w:val="006575D2"/>
    <w:rsid w:val="00657642"/>
    <w:rsid w:val="00660A13"/>
    <w:rsid w:val="00660C7A"/>
    <w:rsid w:val="00660C8A"/>
    <w:rsid w:val="006619DC"/>
    <w:rsid w:val="00661AA7"/>
    <w:rsid w:val="00662828"/>
    <w:rsid w:val="006630E1"/>
    <w:rsid w:val="006646E8"/>
    <w:rsid w:val="006663D0"/>
    <w:rsid w:val="00670FB1"/>
    <w:rsid w:val="0067215A"/>
    <w:rsid w:val="00673A89"/>
    <w:rsid w:val="0067456E"/>
    <w:rsid w:val="006748EE"/>
    <w:rsid w:val="00675122"/>
    <w:rsid w:val="00675F26"/>
    <w:rsid w:val="00682B7E"/>
    <w:rsid w:val="006859BA"/>
    <w:rsid w:val="00690C93"/>
    <w:rsid w:val="0069122E"/>
    <w:rsid w:val="00691D14"/>
    <w:rsid w:val="00694585"/>
    <w:rsid w:val="00694624"/>
    <w:rsid w:val="00695441"/>
    <w:rsid w:val="00695980"/>
    <w:rsid w:val="00696388"/>
    <w:rsid w:val="006970E9"/>
    <w:rsid w:val="006A01A0"/>
    <w:rsid w:val="006A0819"/>
    <w:rsid w:val="006A114D"/>
    <w:rsid w:val="006A5321"/>
    <w:rsid w:val="006A62EE"/>
    <w:rsid w:val="006A656A"/>
    <w:rsid w:val="006A687C"/>
    <w:rsid w:val="006A6BFF"/>
    <w:rsid w:val="006B166E"/>
    <w:rsid w:val="006B19C3"/>
    <w:rsid w:val="006B1EB1"/>
    <w:rsid w:val="006B394A"/>
    <w:rsid w:val="006B3D25"/>
    <w:rsid w:val="006B792C"/>
    <w:rsid w:val="006C08FA"/>
    <w:rsid w:val="006C28D8"/>
    <w:rsid w:val="006C2DAB"/>
    <w:rsid w:val="006C534C"/>
    <w:rsid w:val="006C6752"/>
    <w:rsid w:val="006C7116"/>
    <w:rsid w:val="006C7B04"/>
    <w:rsid w:val="006C7BEF"/>
    <w:rsid w:val="006D2660"/>
    <w:rsid w:val="006D2D96"/>
    <w:rsid w:val="006D3877"/>
    <w:rsid w:val="006D4E8F"/>
    <w:rsid w:val="006D518C"/>
    <w:rsid w:val="006D579F"/>
    <w:rsid w:val="006E0830"/>
    <w:rsid w:val="006E4B4F"/>
    <w:rsid w:val="006E5760"/>
    <w:rsid w:val="006E608A"/>
    <w:rsid w:val="006E621A"/>
    <w:rsid w:val="006E69A7"/>
    <w:rsid w:val="006E6EAA"/>
    <w:rsid w:val="006F060A"/>
    <w:rsid w:val="006F0678"/>
    <w:rsid w:val="006F1876"/>
    <w:rsid w:val="006F1B14"/>
    <w:rsid w:val="006F3E36"/>
    <w:rsid w:val="006F49C7"/>
    <w:rsid w:val="006F4DB7"/>
    <w:rsid w:val="006F58B0"/>
    <w:rsid w:val="006F6733"/>
    <w:rsid w:val="006F7FB2"/>
    <w:rsid w:val="00700166"/>
    <w:rsid w:val="00701D95"/>
    <w:rsid w:val="00703D80"/>
    <w:rsid w:val="007062B8"/>
    <w:rsid w:val="00707B5E"/>
    <w:rsid w:val="007102D3"/>
    <w:rsid w:val="007110AF"/>
    <w:rsid w:val="00714B74"/>
    <w:rsid w:val="00720E64"/>
    <w:rsid w:val="00724C08"/>
    <w:rsid w:val="0072697B"/>
    <w:rsid w:val="00730BC7"/>
    <w:rsid w:val="00730C3D"/>
    <w:rsid w:val="007329E1"/>
    <w:rsid w:val="0073598E"/>
    <w:rsid w:val="00735CBB"/>
    <w:rsid w:val="007361CC"/>
    <w:rsid w:val="00737D58"/>
    <w:rsid w:val="00740863"/>
    <w:rsid w:val="0074137C"/>
    <w:rsid w:val="00741DA8"/>
    <w:rsid w:val="00742E84"/>
    <w:rsid w:val="00743683"/>
    <w:rsid w:val="00743A12"/>
    <w:rsid w:val="00753854"/>
    <w:rsid w:val="0075479C"/>
    <w:rsid w:val="00755B70"/>
    <w:rsid w:val="00756248"/>
    <w:rsid w:val="00756A49"/>
    <w:rsid w:val="007602B9"/>
    <w:rsid w:val="00761D36"/>
    <w:rsid w:val="0076272C"/>
    <w:rsid w:val="007635CE"/>
    <w:rsid w:val="0076678E"/>
    <w:rsid w:val="0076717F"/>
    <w:rsid w:val="0077027E"/>
    <w:rsid w:val="00770759"/>
    <w:rsid w:val="00772342"/>
    <w:rsid w:val="007736DF"/>
    <w:rsid w:val="00773AC4"/>
    <w:rsid w:val="00773B5B"/>
    <w:rsid w:val="00773E0E"/>
    <w:rsid w:val="007740D3"/>
    <w:rsid w:val="007768C7"/>
    <w:rsid w:val="007807DE"/>
    <w:rsid w:val="00782F5F"/>
    <w:rsid w:val="0078488C"/>
    <w:rsid w:val="0079151F"/>
    <w:rsid w:val="00791F5C"/>
    <w:rsid w:val="007929DB"/>
    <w:rsid w:val="00792E5D"/>
    <w:rsid w:val="007939CA"/>
    <w:rsid w:val="00795053"/>
    <w:rsid w:val="00795569"/>
    <w:rsid w:val="00795ECE"/>
    <w:rsid w:val="0079609A"/>
    <w:rsid w:val="007962F0"/>
    <w:rsid w:val="007A0574"/>
    <w:rsid w:val="007A05AD"/>
    <w:rsid w:val="007A0E93"/>
    <w:rsid w:val="007A4896"/>
    <w:rsid w:val="007A4A4B"/>
    <w:rsid w:val="007A5255"/>
    <w:rsid w:val="007A770A"/>
    <w:rsid w:val="007A7FCF"/>
    <w:rsid w:val="007B0C0E"/>
    <w:rsid w:val="007B0FB5"/>
    <w:rsid w:val="007B178B"/>
    <w:rsid w:val="007B3A9E"/>
    <w:rsid w:val="007B4191"/>
    <w:rsid w:val="007B5780"/>
    <w:rsid w:val="007B5CA1"/>
    <w:rsid w:val="007B7D73"/>
    <w:rsid w:val="007C1E79"/>
    <w:rsid w:val="007C4944"/>
    <w:rsid w:val="007C54CB"/>
    <w:rsid w:val="007C5517"/>
    <w:rsid w:val="007D4FF9"/>
    <w:rsid w:val="007E1BB9"/>
    <w:rsid w:val="007E321E"/>
    <w:rsid w:val="007E3ED3"/>
    <w:rsid w:val="007E45F6"/>
    <w:rsid w:val="007E4E9D"/>
    <w:rsid w:val="007E5B14"/>
    <w:rsid w:val="007E7320"/>
    <w:rsid w:val="007E76B7"/>
    <w:rsid w:val="007F04AE"/>
    <w:rsid w:val="007F1968"/>
    <w:rsid w:val="007F34A5"/>
    <w:rsid w:val="007F58C3"/>
    <w:rsid w:val="007F590E"/>
    <w:rsid w:val="007F5A38"/>
    <w:rsid w:val="007F5D12"/>
    <w:rsid w:val="007F67C3"/>
    <w:rsid w:val="0080028D"/>
    <w:rsid w:val="0080052B"/>
    <w:rsid w:val="008048AD"/>
    <w:rsid w:val="00805C12"/>
    <w:rsid w:val="0080666E"/>
    <w:rsid w:val="00811606"/>
    <w:rsid w:val="00811FA7"/>
    <w:rsid w:val="008129B2"/>
    <w:rsid w:val="00813396"/>
    <w:rsid w:val="00814E45"/>
    <w:rsid w:val="008155BA"/>
    <w:rsid w:val="008162B7"/>
    <w:rsid w:val="00816313"/>
    <w:rsid w:val="00816C0F"/>
    <w:rsid w:val="0081792D"/>
    <w:rsid w:val="00822038"/>
    <w:rsid w:val="00822897"/>
    <w:rsid w:val="00823A4E"/>
    <w:rsid w:val="00823E2B"/>
    <w:rsid w:val="00826AE7"/>
    <w:rsid w:val="00826F0B"/>
    <w:rsid w:val="00830D32"/>
    <w:rsid w:val="00831041"/>
    <w:rsid w:val="00831E7B"/>
    <w:rsid w:val="008339F4"/>
    <w:rsid w:val="00833A07"/>
    <w:rsid w:val="00835434"/>
    <w:rsid w:val="00835D2E"/>
    <w:rsid w:val="00836176"/>
    <w:rsid w:val="00836E7F"/>
    <w:rsid w:val="00837DF2"/>
    <w:rsid w:val="00842094"/>
    <w:rsid w:val="0084463F"/>
    <w:rsid w:val="0084528D"/>
    <w:rsid w:val="00850A64"/>
    <w:rsid w:val="00855A46"/>
    <w:rsid w:val="00855C4E"/>
    <w:rsid w:val="008564EA"/>
    <w:rsid w:val="00857079"/>
    <w:rsid w:val="00860631"/>
    <w:rsid w:val="00860D54"/>
    <w:rsid w:val="00860EAF"/>
    <w:rsid w:val="008636F9"/>
    <w:rsid w:val="0086476C"/>
    <w:rsid w:val="00865CE8"/>
    <w:rsid w:val="008664EB"/>
    <w:rsid w:val="00867D68"/>
    <w:rsid w:val="00870469"/>
    <w:rsid w:val="00873466"/>
    <w:rsid w:val="008744EA"/>
    <w:rsid w:val="00874DE9"/>
    <w:rsid w:val="00875F25"/>
    <w:rsid w:val="0087715C"/>
    <w:rsid w:val="00877D3C"/>
    <w:rsid w:val="00880496"/>
    <w:rsid w:val="00882483"/>
    <w:rsid w:val="00882E60"/>
    <w:rsid w:val="00882F96"/>
    <w:rsid w:val="008844A2"/>
    <w:rsid w:val="008845A9"/>
    <w:rsid w:val="008860FC"/>
    <w:rsid w:val="00886D3A"/>
    <w:rsid w:val="008874C1"/>
    <w:rsid w:val="00890513"/>
    <w:rsid w:val="0089070C"/>
    <w:rsid w:val="00890B68"/>
    <w:rsid w:val="0089260E"/>
    <w:rsid w:val="00892D49"/>
    <w:rsid w:val="008932A3"/>
    <w:rsid w:val="00893CB8"/>
    <w:rsid w:val="00894434"/>
    <w:rsid w:val="00894CA7"/>
    <w:rsid w:val="00894FB2"/>
    <w:rsid w:val="00895002"/>
    <w:rsid w:val="00895BD8"/>
    <w:rsid w:val="0089655B"/>
    <w:rsid w:val="00896C0D"/>
    <w:rsid w:val="00896D03"/>
    <w:rsid w:val="00896EB1"/>
    <w:rsid w:val="008972D1"/>
    <w:rsid w:val="00897BC8"/>
    <w:rsid w:val="008A0838"/>
    <w:rsid w:val="008A13E7"/>
    <w:rsid w:val="008A252E"/>
    <w:rsid w:val="008A3F35"/>
    <w:rsid w:val="008A581A"/>
    <w:rsid w:val="008A5F7F"/>
    <w:rsid w:val="008A63E2"/>
    <w:rsid w:val="008A6630"/>
    <w:rsid w:val="008A6DB9"/>
    <w:rsid w:val="008A7107"/>
    <w:rsid w:val="008A7D83"/>
    <w:rsid w:val="008B0154"/>
    <w:rsid w:val="008B1963"/>
    <w:rsid w:val="008B20D0"/>
    <w:rsid w:val="008B24F2"/>
    <w:rsid w:val="008B2769"/>
    <w:rsid w:val="008B3356"/>
    <w:rsid w:val="008B37F0"/>
    <w:rsid w:val="008B3E4E"/>
    <w:rsid w:val="008B41BC"/>
    <w:rsid w:val="008B4702"/>
    <w:rsid w:val="008B65B4"/>
    <w:rsid w:val="008C0F54"/>
    <w:rsid w:val="008C1C56"/>
    <w:rsid w:val="008C5503"/>
    <w:rsid w:val="008C5726"/>
    <w:rsid w:val="008C798A"/>
    <w:rsid w:val="008D1615"/>
    <w:rsid w:val="008D1C86"/>
    <w:rsid w:val="008D47F6"/>
    <w:rsid w:val="008D6371"/>
    <w:rsid w:val="008E1296"/>
    <w:rsid w:val="008E270A"/>
    <w:rsid w:val="008E2DC7"/>
    <w:rsid w:val="008E672E"/>
    <w:rsid w:val="008E72E3"/>
    <w:rsid w:val="008F1FD4"/>
    <w:rsid w:val="008F4B7D"/>
    <w:rsid w:val="008F4B82"/>
    <w:rsid w:val="00905C9B"/>
    <w:rsid w:val="00912398"/>
    <w:rsid w:val="009130AF"/>
    <w:rsid w:val="00913825"/>
    <w:rsid w:val="009140B9"/>
    <w:rsid w:val="009141C1"/>
    <w:rsid w:val="009148CA"/>
    <w:rsid w:val="00914EA8"/>
    <w:rsid w:val="0091664E"/>
    <w:rsid w:val="009169A4"/>
    <w:rsid w:val="009170B7"/>
    <w:rsid w:val="00920236"/>
    <w:rsid w:val="009206A6"/>
    <w:rsid w:val="009219D9"/>
    <w:rsid w:val="00922197"/>
    <w:rsid w:val="0092287E"/>
    <w:rsid w:val="00922A9D"/>
    <w:rsid w:val="0092347C"/>
    <w:rsid w:val="0092472D"/>
    <w:rsid w:val="00925F58"/>
    <w:rsid w:val="009262AA"/>
    <w:rsid w:val="00926438"/>
    <w:rsid w:val="009323CA"/>
    <w:rsid w:val="0093291C"/>
    <w:rsid w:val="00932DD8"/>
    <w:rsid w:val="00933213"/>
    <w:rsid w:val="00933E80"/>
    <w:rsid w:val="009343D3"/>
    <w:rsid w:val="00937D2C"/>
    <w:rsid w:val="00937FF2"/>
    <w:rsid w:val="00940DF6"/>
    <w:rsid w:val="009411C1"/>
    <w:rsid w:val="00942366"/>
    <w:rsid w:val="00943329"/>
    <w:rsid w:val="00943ED3"/>
    <w:rsid w:val="009443D6"/>
    <w:rsid w:val="009445E7"/>
    <w:rsid w:val="0094654A"/>
    <w:rsid w:val="0094736B"/>
    <w:rsid w:val="0095004D"/>
    <w:rsid w:val="009515AA"/>
    <w:rsid w:val="00951DAA"/>
    <w:rsid w:val="009524D9"/>
    <w:rsid w:val="009526E8"/>
    <w:rsid w:val="00952AF7"/>
    <w:rsid w:val="00952E0A"/>
    <w:rsid w:val="00953DDB"/>
    <w:rsid w:val="00953DF2"/>
    <w:rsid w:val="00955094"/>
    <w:rsid w:val="00960B49"/>
    <w:rsid w:val="009648C3"/>
    <w:rsid w:val="00964DD4"/>
    <w:rsid w:val="009669F1"/>
    <w:rsid w:val="00966BA6"/>
    <w:rsid w:val="0096732C"/>
    <w:rsid w:val="009675A9"/>
    <w:rsid w:val="00967B10"/>
    <w:rsid w:val="009714E6"/>
    <w:rsid w:val="00971553"/>
    <w:rsid w:val="009717A1"/>
    <w:rsid w:val="00976765"/>
    <w:rsid w:val="00976B7D"/>
    <w:rsid w:val="009774D1"/>
    <w:rsid w:val="00977737"/>
    <w:rsid w:val="00981947"/>
    <w:rsid w:val="00981BE4"/>
    <w:rsid w:val="00981C70"/>
    <w:rsid w:val="00982654"/>
    <w:rsid w:val="00982B60"/>
    <w:rsid w:val="009839F3"/>
    <w:rsid w:val="00983A76"/>
    <w:rsid w:val="009878F0"/>
    <w:rsid w:val="00987AB7"/>
    <w:rsid w:val="00987FB6"/>
    <w:rsid w:val="00990761"/>
    <w:rsid w:val="00992467"/>
    <w:rsid w:val="009972A2"/>
    <w:rsid w:val="0099783F"/>
    <w:rsid w:val="009A0B29"/>
    <w:rsid w:val="009A106A"/>
    <w:rsid w:val="009A13D9"/>
    <w:rsid w:val="009A15D9"/>
    <w:rsid w:val="009A1711"/>
    <w:rsid w:val="009A181B"/>
    <w:rsid w:val="009A1C23"/>
    <w:rsid w:val="009A36DD"/>
    <w:rsid w:val="009A4508"/>
    <w:rsid w:val="009A6788"/>
    <w:rsid w:val="009A6A40"/>
    <w:rsid w:val="009B1B6B"/>
    <w:rsid w:val="009B2A0E"/>
    <w:rsid w:val="009B462A"/>
    <w:rsid w:val="009B52AF"/>
    <w:rsid w:val="009B5606"/>
    <w:rsid w:val="009B603A"/>
    <w:rsid w:val="009B7956"/>
    <w:rsid w:val="009C057C"/>
    <w:rsid w:val="009C0789"/>
    <w:rsid w:val="009C0945"/>
    <w:rsid w:val="009C0F33"/>
    <w:rsid w:val="009C125D"/>
    <w:rsid w:val="009C143E"/>
    <w:rsid w:val="009C1E6B"/>
    <w:rsid w:val="009C4651"/>
    <w:rsid w:val="009C53E4"/>
    <w:rsid w:val="009C5CDE"/>
    <w:rsid w:val="009C6162"/>
    <w:rsid w:val="009C74AB"/>
    <w:rsid w:val="009D05E3"/>
    <w:rsid w:val="009D26B5"/>
    <w:rsid w:val="009D3151"/>
    <w:rsid w:val="009D42AA"/>
    <w:rsid w:val="009D5A7B"/>
    <w:rsid w:val="009D7CB0"/>
    <w:rsid w:val="009E013E"/>
    <w:rsid w:val="009E14E6"/>
    <w:rsid w:val="009E2682"/>
    <w:rsid w:val="009E44F2"/>
    <w:rsid w:val="009E4A2E"/>
    <w:rsid w:val="009E4D8D"/>
    <w:rsid w:val="009E6453"/>
    <w:rsid w:val="009E7A0A"/>
    <w:rsid w:val="009F19E8"/>
    <w:rsid w:val="009F1C9C"/>
    <w:rsid w:val="009F272A"/>
    <w:rsid w:val="009F2830"/>
    <w:rsid w:val="009F3181"/>
    <w:rsid w:val="009F6EB6"/>
    <w:rsid w:val="009F790B"/>
    <w:rsid w:val="009F7EB5"/>
    <w:rsid w:val="00A01E81"/>
    <w:rsid w:val="00A04AD3"/>
    <w:rsid w:val="00A073CB"/>
    <w:rsid w:val="00A07D5A"/>
    <w:rsid w:val="00A1037F"/>
    <w:rsid w:val="00A11CAC"/>
    <w:rsid w:val="00A1419D"/>
    <w:rsid w:val="00A14458"/>
    <w:rsid w:val="00A14C86"/>
    <w:rsid w:val="00A14CD4"/>
    <w:rsid w:val="00A1734E"/>
    <w:rsid w:val="00A17C3A"/>
    <w:rsid w:val="00A202A9"/>
    <w:rsid w:val="00A223EC"/>
    <w:rsid w:val="00A262DF"/>
    <w:rsid w:val="00A2684A"/>
    <w:rsid w:val="00A26A65"/>
    <w:rsid w:val="00A27EB6"/>
    <w:rsid w:val="00A30440"/>
    <w:rsid w:val="00A325AB"/>
    <w:rsid w:val="00A37DC4"/>
    <w:rsid w:val="00A40BC8"/>
    <w:rsid w:val="00A41316"/>
    <w:rsid w:val="00A43008"/>
    <w:rsid w:val="00A45F59"/>
    <w:rsid w:val="00A5218C"/>
    <w:rsid w:val="00A52469"/>
    <w:rsid w:val="00A52E02"/>
    <w:rsid w:val="00A537B6"/>
    <w:rsid w:val="00A54ACF"/>
    <w:rsid w:val="00A57EA4"/>
    <w:rsid w:val="00A60213"/>
    <w:rsid w:val="00A6114B"/>
    <w:rsid w:val="00A615E8"/>
    <w:rsid w:val="00A61C0E"/>
    <w:rsid w:val="00A645D8"/>
    <w:rsid w:val="00A66F9B"/>
    <w:rsid w:val="00A670FB"/>
    <w:rsid w:val="00A702F9"/>
    <w:rsid w:val="00A72343"/>
    <w:rsid w:val="00A730DC"/>
    <w:rsid w:val="00A73A66"/>
    <w:rsid w:val="00A75687"/>
    <w:rsid w:val="00A762AA"/>
    <w:rsid w:val="00A768DC"/>
    <w:rsid w:val="00A76F02"/>
    <w:rsid w:val="00A77399"/>
    <w:rsid w:val="00A77981"/>
    <w:rsid w:val="00A82B9E"/>
    <w:rsid w:val="00A82D0D"/>
    <w:rsid w:val="00A83597"/>
    <w:rsid w:val="00A83C79"/>
    <w:rsid w:val="00A841DE"/>
    <w:rsid w:val="00A8559D"/>
    <w:rsid w:val="00A931A3"/>
    <w:rsid w:val="00A9408A"/>
    <w:rsid w:val="00A94F52"/>
    <w:rsid w:val="00A96584"/>
    <w:rsid w:val="00A96795"/>
    <w:rsid w:val="00A96A6A"/>
    <w:rsid w:val="00A96E27"/>
    <w:rsid w:val="00A97343"/>
    <w:rsid w:val="00AA1DAF"/>
    <w:rsid w:val="00AA236F"/>
    <w:rsid w:val="00AA2E90"/>
    <w:rsid w:val="00AA37BC"/>
    <w:rsid w:val="00AA4A29"/>
    <w:rsid w:val="00AA651C"/>
    <w:rsid w:val="00AA74C1"/>
    <w:rsid w:val="00AA7A1B"/>
    <w:rsid w:val="00AB236A"/>
    <w:rsid w:val="00AB498D"/>
    <w:rsid w:val="00AB4C96"/>
    <w:rsid w:val="00AB5122"/>
    <w:rsid w:val="00AB56C9"/>
    <w:rsid w:val="00AB6E43"/>
    <w:rsid w:val="00AB6F46"/>
    <w:rsid w:val="00AB7603"/>
    <w:rsid w:val="00AC45F1"/>
    <w:rsid w:val="00AC6BB2"/>
    <w:rsid w:val="00AD0524"/>
    <w:rsid w:val="00AD5BB8"/>
    <w:rsid w:val="00AE306C"/>
    <w:rsid w:val="00AE3402"/>
    <w:rsid w:val="00AE3668"/>
    <w:rsid w:val="00AE3D01"/>
    <w:rsid w:val="00AE4E03"/>
    <w:rsid w:val="00AE53C0"/>
    <w:rsid w:val="00AE64EF"/>
    <w:rsid w:val="00AE7215"/>
    <w:rsid w:val="00AF2763"/>
    <w:rsid w:val="00AF2BA7"/>
    <w:rsid w:val="00AF306C"/>
    <w:rsid w:val="00AF420E"/>
    <w:rsid w:val="00AF6040"/>
    <w:rsid w:val="00AF60A5"/>
    <w:rsid w:val="00AF653C"/>
    <w:rsid w:val="00AF7938"/>
    <w:rsid w:val="00B0030B"/>
    <w:rsid w:val="00B00681"/>
    <w:rsid w:val="00B00A5E"/>
    <w:rsid w:val="00B00E83"/>
    <w:rsid w:val="00B0395F"/>
    <w:rsid w:val="00B0457A"/>
    <w:rsid w:val="00B064A0"/>
    <w:rsid w:val="00B071DB"/>
    <w:rsid w:val="00B135D7"/>
    <w:rsid w:val="00B1388C"/>
    <w:rsid w:val="00B1397B"/>
    <w:rsid w:val="00B13CE7"/>
    <w:rsid w:val="00B13FE9"/>
    <w:rsid w:val="00B14691"/>
    <w:rsid w:val="00B162CD"/>
    <w:rsid w:val="00B23279"/>
    <w:rsid w:val="00B2531F"/>
    <w:rsid w:val="00B2585A"/>
    <w:rsid w:val="00B25898"/>
    <w:rsid w:val="00B25B77"/>
    <w:rsid w:val="00B2629D"/>
    <w:rsid w:val="00B31011"/>
    <w:rsid w:val="00B316F7"/>
    <w:rsid w:val="00B34926"/>
    <w:rsid w:val="00B36811"/>
    <w:rsid w:val="00B370B2"/>
    <w:rsid w:val="00B371D4"/>
    <w:rsid w:val="00B377D4"/>
    <w:rsid w:val="00B401C1"/>
    <w:rsid w:val="00B403A1"/>
    <w:rsid w:val="00B40456"/>
    <w:rsid w:val="00B40AF8"/>
    <w:rsid w:val="00B426A5"/>
    <w:rsid w:val="00B426C6"/>
    <w:rsid w:val="00B432FD"/>
    <w:rsid w:val="00B44219"/>
    <w:rsid w:val="00B445C8"/>
    <w:rsid w:val="00B45117"/>
    <w:rsid w:val="00B45F40"/>
    <w:rsid w:val="00B524BD"/>
    <w:rsid w:val="00B53037"/>
    <w:rsid w:val="00B5315D"/>
    <w:rsid w:val="00B55FC5"/>
    <w:rsid w:val="00B60178"/>
    <w:rsid w:val="00B60EC4"/>
    <w:rsid w:val="00B61DE8"/>
    <w:rsid w:val="00B634D4"/>
    <w:rsid w:val="00B64313"/>
    <w:rsid w:val="00B64829"/>
    <w:rsid w:val="00B650A2"/>
    <w:rsid w:val="00B6548E"/>
    <w:rsid w:val="00B65667"/>
    <w:rsid w:val="00B6639B"/>
    <w:rsid w:val="00B66CB7"/>
    <w:rsid w:val="00B66CC0"/>
    <w:rsid w:val="00B7053E"/>
    <w:rsid w:val="00B71FC4"/>
    <w:rsid w:val="00B748E1"/>
    <w:rsid w:val="00B767AE"/>
    <w:rsid w:val="00B76BDF"/>
    <w:rsid w:val="00B76D6D"/>
    <w:rsid w:val="00B80D2B"/>
    <w:rsid w:val="00B82663"/>
    <w:rsid w:val="00B82B8B"/>
    <w:rsid w:val="00B82E0D"/>
    <w:rsid w:val="00B84330"/>
    <w:rsid w:val="00B875CA"/>
    <w:rsid w:val="00B87F2A"/>
    <w:rsid w:val="00B91356"/>
    <w:rsid w:val="00B922C3"/>
    <w:rsid w:val="00B92952"/>
    <w:rsid w:val="00B94E68"/>
    <w:rsid w:val="00B973A1"/>
    <w:rsid w:val="00B97C78"/>
    <w:rsid w:val="00BA05F4"/>
    <w:rsid w:val="00BA13A5"/>
    <w:rsid w:val="00BA1CC0"/>
    <w:rsid w:val="00BA5F96"/>
    <w:rsid w:val="00BA7A2C"/>
    <w:rsid w:val="00BB096A"/>
    <w:rsid w:val="00BB142E"/>
    <w:rsid w:val="00BB226D"/>
    <w:rsid w:val="00BB24FD"/>
    <w:rsid w:val="00BB34CA"/>
    <w:rsid w:val="00BB3B00"/>
    <w:rsid w:val="00BB3B04"/>
    <w:rsid w:val="00BB4123"/>
    <w:rsid w:val="00BB5FF4"/>
    <w:rsid w:val="00BC00A7"/>
    <w:rsid w:val="00BC04D5"/>
    <w:rsid w:val="00BC13CC"/>
    <w:rsid w:val="00BC32F2"/>
    <w:rsid w:val="00BC4BE2"/>
    <w:rsid w:val="00BC6211"/>
    <w:rsid w:val="00BC7E45"/>
    <w:rsid w:val="00BD0BA8"/>
    <w:rsid w:val="00BD1AF4"/>
    <w:rsid w:val="00BD32FB"/>
    <w:rsid w:val="00BD3693"/>
    <w:rsid w:val="00BD3FA1"/>
    <w:rsid w:val="00BD4FA3"/>
    <w:rsid w:val="00BD7409"/>
    <w:rsid w:val="00BD7CA7"/>
    <w:rsid w:val="00BE1260"/>
    <w:rsid w:val="00BE3AB7"/>
    <w:rsid w:val="00BE41AA"/>
    <w:rsid w:val="00BE4FA9"/>
    <w:rsid w:val="00BE7F85"/>
    <w:rsid w:val="00BF0B27"/>
    <w:rsid w:val="00BF33EF"/>
    <w:rsid w:val="00BF363C"/>
    <w:rsid w:val="00BF5CE2"/>
    <w:rsid w:val="00BF6CA6"/>
    <w:rsid w:val="00BF72BA"/>
    <w:rsid w:val="00C01B26"/>
    <w:rsid w:val="00C01B39"/>
    <w:rsid w:val="00C01ECD"/>
    <w:rsid w:val="00C02783"/>
    <w:rsid w:val="00C042DD"/>
    <w:rsid w:val="00C04D0B"/>
    <w:rsid w:val="00C05052"/>
    <w:rsid w:val="00C07579"/>
    <w:rsid w:val="00C10F0A"/>
    <w:rsid w:val="00C12EFE"/>
    <w:rsid w:val="00C14310"/>
    <w:rsid w:val="00C1528C"/>
    <w:rsid w:val="00C16A86"/>
    <w:rsid w:val="00C17C3A"/>
    <w:rsid w:val="00C21AE0"/>
    <w:rsid w:val="00C228CA"/>
    <w:rsid w:val="00C22EE7"/>
    <w:rsid w:val="00C253A1"/>
    <w:rsid w:val="00C27776"/>
    <w:rsid w:val="00C27961"/>
    <w:rsid w:val="00C27E06"/>
    <w:rsid w:val="00C328EF"/>
    <w:rsid w:val="00C35B2B"/>
    <w:rsid w:val="00C36857"/>
    <w:rsid w:val="00C40E95"/>
    <w:rsid w:val="00C41006"/>
    <w:rsid w:val="00C427E3"/>
    <w:rsid w:val="00C44C76"/>
    <w:rsid w:val="00C45B53"/>
    <w:rsid w:val="00C4790A"/>
    <w:rsid w:val="00C47DFF"/>
    <w:rsid w:val="00C50538"/>
    <w:rsid w:val="00C50E71"/>
    <w:rsid w:val="00C54129"/>
    <w:rsid w:val="00C5430F"/>
    <w:rsid w:val="00C56AE3"/>
    <w:rsid w:val="00C610B0"/>
    <w:rsid w:val="00C6227C"/>
    <w:rsid w:val="00C64C77"/>
    <w:rsid w:val="00C66CC9"/>
    <w:rsid w:val="00C675E2"/>
    <w:rsid w:val="00C70B5F"/>
    <w:rsid w:val="00C70EAC"/>
    <w:rsid w:val="00C70F5B"/>
    <w:rsid w:val="00C737DC"/>
    <w:rsid w:val="00C742C8"/>
    <w:rsid w:val="00C7535D"/>
    <w:rsid w:val="00C77196"/>
    <w:rsid w:val="00C82545"/>
    <w:rsid w:val="00C825EE"/>
    <w:rsid w:val="00C828B0"/>
    <w:rsid w:val="00C83561"/>
    <w:rsid w:val="00C84709"/>
    <w:rsid w:val="00C86473"/>
    <w:rsid w:val="00C879D3"/>
    <w:rsid w:val="00C90043"/>
    <w:rsid w:val="00C90C6F"/>
    <w:rsid w:val="00C91D90"/>
    <w:rsid w:val="00C91F35"/>
    <w:rsid w:val="00C9379B"/>
    <w:rsid w:val="00C937ED"/>
    <w:rsid w:val="00C93FDB"/>
    <w:rsid w:val="00C94CE9"/>
    <w:rsid w:val="00C9694F"/>
    <w:rsid w:val="00C978AB"/>
    <w:rsid w:val="00CA07E7"/>
    <w:rsid w:val="00CA112C"/>
    <w:rsid w:val="00CA2DA3"/>
    <w:rsid w:val="00CA2F0C"/>
    <w:rsid w:val="00CA4851"/>
    <w:rsid w:val="00CA74AC"/>
    <w:rsid w:val="00CB0612"/>
    <w:rsid w:val="00CB0C8A"/>
    <w:rsid w:val="00CB10F1"/>
    <w:rsid w:val="00CB1375"/>
    <w:rsid w:val="00CB2772"/>
    <w:rsid w:val="00CB3DAF"/>
    <w:rsid w:val="00CB5D37"/>
    <w:rsid w:val="00CB60B6"/>
    <w:rsid w:val="00CB629F"/>
    <w:rsid w:val="00CB6A6E"/>
    <w:rsid w:val="00CB6EF4"/>
    <w:rsid w:val="00CB7F52"/>
    <w:rsid w:val="00CC118C"/>
    <w:rsid w:val="00CC1966"/>
    <w:rsid w:val="00CC1A11"/>
    <w:rsid w:val="00CC1BC1"/>
    <w:rsid w:val="00CC6B03"/>
    <w:rsid w:val="00CD0AEC"/>
    <w:rsid w:val="00CD10EB"/>
    <w:rsid w:val="00CD1E76"/>
    <w:rsid w:val="00CD2441"/>
    <w:rsid w:val="00CD3C44"/>
    <w:rsid w:val="00CD3F6E"/>
    <w:rsid w:val="00CD40BC"/>
    <w:rsid w:val="00CD4B81"/>
    <w:rsid w:val="00CD643D"/>
    <w:rsid w:val="00CE2A21"/>
    <w:rsid w:val="00CE3F54"/>
    <w:rsid w:val="00CE3F8F"/>
    <w:rsid w:val="00CE4A3E"/>
    <w:rsid w:val="00CE6CB2"/>
    <w:rsid w:val="00CF06AE"/>
    <w:rsid w:val="00CF10AF"/>
    <w:rsid w:val="00CF2402"/>
    <w:rsid w:val="00CF3496"/>
    <w:rsid w:val="00CF4274"/>
    <w:rsid w:val="00CF5A27"/>
    <w:rsid w:val="00CF5CE8"/>
    <w:rsid w:val="00CF63FE"/>
    <w:rsid w:val="00CF666C"/>
    <w:rsid w:val="00CF6B8A"/>
    <w:rsid w:val="00D01E9D"/>
    <w:rsid w:val="00D02679"/>
    <w:rsid w:val="00D0278F"/>
    <w:rsid w:val="00D029B3"/>
    <w:rsid w:val="00D03164"/>
    <w:rsid w:val="00D038EC"/>
    <w:rsid w:val="00D03F0F"/>
    <w:rsid w:val="00D04F3A"/>
    <w:rsid w:val="00D148FE"/>
    <w:rsid w:val="00D20BA9"/>
    <w:rsid w:val="00D22722"/>
    <w:rsid w:val="00D22BFC"/>
    <w:rsid w:val="00D22D6A"/>
    <w:rsid w:val="00D24C85"/>
    <w:rsid w:val="00D25461"/>
    <w:rsid w:val="00D30343"/>
    <w:rsid w:val="00D31166"/>
    <w:rsid w:val="00D31480"/>
    <w:rsid w:val="00D325EC"/>
    <w:rsid w:val="00D36137"/>
    <w:rsid w:val="00D3650D"/>
    <w:rsid w:val="00D36CBD"/>
    <w:rsid w:val="00D377A4"/>
    <w:rsid w:val="00D37EF8"/>
    <w:rsid w:val="00D40A47"/>
    <w:rsid w:val="00D42A9D"/>
    <w:rsid w:val="00D44649"/>
    <w:rsid w:val="00D44971"/>
    <w:rsid w:val="00D465D5"/>
    <w:rsid w:val="00D501BC"/>
    <w:rsid w:val="00D5040E"/>
    <w:rsid w:val="00D50A07"/>
    <w:rsid w:val="00D5240C"/>
    <w:rsid w:val="00D54945"/>
    <w:rsid w:val="00D55969"/>
    <w:rsid w:val="00D567AB"/>
    <w:rsid w:val="00D571C6"/>
    <w:rsid w:val="00D5786C"/>
    <w:rsid w:val="00D57C94"/>
    <w:rsid w:val="00D57F60"/>
    <w:rsid w:val="00D6175A"/>
    <w:rsid w:val="00D62169"/>
    <w:rsid w:val="00D62DD0"/>
    <w:rsid w:val="00D644B7"/>
    <w:rsid w:val="00D647F2"/>
    <w:rsid w:val="00D651FB"/>
    <w:rsid w:val="00D66022"/>
    <w:rsid w:val="00D6636B"/>
    <w:rsid w:val="00D67161"/>
    <w:rsid w:val="00D67485"/>
    <w:rsid w:val="00D7058E"/>
    <w:rsid w:val="00D708F8"/>
    <w:rsid w:val="00D70F48"/>
    <w:rsid w:val="00D74F6D"/>
    <w:rsid w:val="00D75AA6"/>
    <w:rsid w:val="00D76538"/>
    <w:rsid w:val="00D76D32"/>
    <w:rsid w:val="00D770CE"/>
    <w:rsid w:val="00D80300"/>
    <w:rsid w:val="00D822BB"/>
    <w:rsid w:val="00D839AA"/>
    <w:rsid w:val="00D848EE"/>
    <w:rsid w:val="00D851AB"/>
    <w:rsid w:val="00D8538D"/>
    <w:rsid w:val="00D86638"/>
    <w:rsid w:val="00D92313"/>
    <w:rsid w:val="00D928C8"/>
    <w:rsid w:val="00D93550"/>
    <w:rsid w:val="00D93A8B"/>
    <w:rsid w:val="00D9587F"/>
    <w:rsid w:val="00D961EB"/>
    <w:rsid w:val="00D976F9"/>
    <w:rsid w:val="00DA23B0"/>
    <w:rsid w:val="00DA394E"/>
    <w:rsid w:val="00DA3959"/>
    <w:rsid w:val="00DA5A96"/>
    <w:rsid w:val="00DB12EF"/>
    <w:rsid w:val="00DB45D8"/>
    <w:rsid w:val="00DB663A"/>
    <w:rsid w:val="00DC072B"/>
    <w:rsid w:val="00DC1920"/>
    <w:rsid w:val="00DC79F9"/>
    <w:rsid w:val="00DD00AF"/>
    <w:rsid w:val="00DD1434"/>
    <w:rsid w:val="00DD1D52"/>
    <w:rsid w:val="00DD257B"/>
    <w:rsid w:val="00DE2554"/>
    <w:rsid w:val="00DE61F3"/>
    <w:rsid w:val="00DE7623"/>
    <w:rsid w:val="00DF482B"/>
    <w:rsid w:val="00DF5EBC"/>
    <w:rsid w:val="00DF67C7"/>
    <w:rsid w:val="00DF6838"/>
    <w:rsid w:val="00DF7314"/>
    <w:rsid w:val="00E04D6B"/>
    <w:rsid w:val="00E13679"/>
    <w:rsid w:val="00E14E12"/>
    <w:rsid w:val="00E16DF8"/>
    <w:rsid w:val="00E171BC"/>
    <w:rsid w:val="00E2212C"/>
    <w:rsid w:val="00E2217E"/>
    <w:rsid w:val="00E2306A"/>
    <w:rsid w:val="00E23394"/>
    <w:rsid w:val="00E23CA2"/>
    <w:rsid w:val="00E24CD9"/>
    <w:rsid w:val="00E24F81"/>
    <w:rsid w:val="00E2557A"/>
    <w:rsid w:val="00E2559D"/>
    <w:rsid w:val="00E26E3C"/>
    <w:rsid w:val="00E27261"/>
    <w:rsid w:val="00E274D8"/>
    <w:rsid w:val="00E342CC"/>
    <w:rsid w:val="00E36C66"/>
    <w:rsid w:val="00E36DC4"/>
    <w:rsid w:val="00E37950"/>
    <w:rsid w:val="00E37A8F"/>
    <w:rsid w:val="00E4039F"/>
    <w:rsid w:val="00E40C93"/>
    <w:rsid w:val="00E4247E"/>
    <w:rsid w:val="00E42B68"/>
    <w:rsid w:val="00E43703"/>
    <w:rsid w:val="00E43C26"/>
    <w:rsid w:val="00E43FA8"/>
    <w:rsid w:val="00E44639"/>
    <w:rsid w:val="00E46AEC"/>
    <w:rsid w:val="00E46CEA"/>
    <w:rsid w:val="00E4702E"/>
    <w:rsid w:val="00E474F0"/>
    <w:rsid w:val="00E47A9A"/>
    <w:rsid w:val="00E50993"/>
    <w:rsid w:val="00E50A6B"/>
    <w:rsid w:val="00E516F3"/>
    <w:rsid w:val="00E528F7"/>
    <w:rsid w:val="00E528F9"/>
    <w:rsid w:val="00E536DC"/>
    <w:rsid w:val="00E55684"/>
    <w:rsid w:val="00E602D0"/>
    <w:rsid w:val="00E603C8"/>
    <w:rsid w:val="00E64DB8"/>
    <w:rsid w:val="00E64EB9"/>
    <w:rsid w:val="00E64F4D"/>
    <w:rsid w:val="00E6613F"/>
    <w:rsid w:val="00E6698E"/>
    <w:rsid w:val="00E6770F"/>
    <w:rsid w:val="00E70CF0"/>
    <w:rsid w:val="00E71440"/>
    <w:rsid w:val="00E72196"/>
    <w:rsid w:val="00E72615"/>
    <w:rsid w:val="00E73654"/>
    <w:rsid w:val="00E736EF"/>
    <w:rsid w:val="00E742A9"/>
    <w:rsid w:val="00E742C0"/>
    <w:rsid w:val="00E753C8"/>
    <w:rsid w:val="00E75858"/>
    <w:rsid w:val="00E75ECD"/>
    <w:rsid w:val="00E76F05"/>
    <w:rsid w:val="00E848E3"/>
    <w:rsid w:val="00E86A90"/>
    <w:rsid w:val="00E87E60"/>
    <w:rsid w:val="00E9112A"/>
    <w:rsid w:val="00E933EB"/>
    <w:rsid w:val="00E94C91"/>
    <w:rsid w:val="00E95F9A"/>
    <w:rsid w:val="00E97314"/>
    <w:rsid w:val="00E976A2"/>
    <w:rsid w:val="00E97CBF"/>
    <w:rsid w:val="00EA0EFF"/>
    <w:rsid w:val="00EA2DEB"/>
    <w:rsid w:val="00EA4ED3"/>
    <w:rsid w:val="00EA58FE"/>
    <w:rsid w:val="00EA6897"/>
    <w:rsid w:val="00EA6EF0"/>
    <w:rsid w:val="00EB0855"/>
    <w:rsid w:val="00EB0FF8"/>
    <w:rsid w:val="00EB1C37"/>
    <w:rsid w:val="00EB3490"/>
    <w:rsid w:val="00EB4F0F"/>
    <w:rsid w:val="00EC1B0C"/>
    <w:rsid w:val="00EC2B2F"/>
    <w:rsid w:val="00EC41C3"/>
    <w:rsid w:val="00EC7CB1"/>
    <w:rsid w:val="00EC7DBC"/>
    <w:rsid w:val="00EC7F7D"/>
    <w:rsid w:val="00ED2780"/>
    <w:rsid w:val="00ED3258"/>
    <w:rsid w:val="00ED3491"/>
    <w:rsid w:val="00ED4F2C"/>
    <w:rsid w:val="00ED61FF"/>
    <w:rsid w:val="00ED6446"/>
    <w:rsid w:val="00ED688E"/>
    <w:rsid w:val="00EE17DC"/>
    <w:rsid w:val="00EE18B8"/>
    <w:rsid w:val="00EE2870"/>
    <w:rsid w:val="00EE48CC"/>
    <w:rsid w:val="00EE617F"/>
    <w:rsid w:val="00EF008E"/>
    <w:rsid w:val="00EF14EE"/>
    <w:rsid w:val="00EF1834"/>
    <w:rsid w:val="00EF1A73"/>
    <w:rsid w:val="00EF1F20"/>
    <w:rsid w:val="00EF589B"/>
    <w:rsid w:val="00EF62C0"/>
    <w:rsid w:val="00EF66C8"/>
    <w:rsid w:val="00EF6CF6"/>
    <w:rsid w:val="00EF7D2D"/>
    <w:rsid w:val="00F02B3A"/>
    <w:rsid w:val="00F03302"/>
    <w:rsid w:val="00F03716"/>
    <w:rsid w:val="00F048C4"/>
    <w:rsid w:val="00F04A88"/>
    <w:rsid w:val="00F04BC9"/>
    <w:rsid w:val="00F11B2B"/>
    <w:rsid w:val="00F13C1C"/>
    <w:rsid w:val="00F14BBD"/>
    <w:rsid w:val="00F205E9"/>
    <w:rsid w:val="00F20F1B"/>
    <w:rsid w:val="00F22E71"/>
    <w:rsid w:val="00F24605"/>
    <w:rsid w:val="00F253B2"/>
    <w:rsid w:val="00F25470"/>
    <w:rsid w:val="00F27237"/>
    <w:rsid w:val="00F277D7"/>
    <w:rsid w:val="00F2792C"/>
    <w:rsid w:val="00F27E28"/>
    <w:rsid w:val="00F307A2"/>
    <w:rsid w:val="00F3248D"/>
    <w:rsid w:val="00F32C8E"/>
    <w:rsid w:val="00F32D41"/>
    <w:rsid w:val="00F333DD"/>
    <w:rsid w:val="00F34226"/>
    <w:rsid w:val="00F34E7B"/>
    <w:rsid w:val="00F361C0"/>
    <w:rsid w:val="00F3628D"/>
    <w:rsid w:val="00F363E0"/>
    <w:rsid w:val="00F36E63"/>
    <w:rsid w:val="00F36E82"/>
    <w:rsid w:val="00F376E4"/>
    <w:rsid w:val="00F404DF"/>
    <w:rsid w:val="00F417FC"/>
    <w:rsid w:val="00F424B0"/>
    <w:rsid w:val="00F436D8"/>
    <w:rsid w:val="00F43F3B"/>
    <w:rsid w:val="00F44A8F"/>
    <w:rsid w:val="00F546BC"/>
    <w:rsid w:val="00F56A37"/>
    <w:rsid w:val="00F60507"/>
    <w:rsid w:val="00F60736"/>
    <w:rsid w:val="00F61C69"/>
    <w:rsid w:val="00F62F17"/>
    <w:rsid w:val="00F63839"/>
    <w:rsid w:val="00F6459B"/>
    <w:rsid w:val="00F66FF2"/>
    <w:rsid w:val="00F67FB8"/>
    <w:rsid w:val="00F70A8F"/>
    <w:rsid w:val="00F7139A"/>
    <w:rsid w:val="00F71D53"/>
    <w:rsid w:val="00F72052"/>
    <w:rsid w:val="00F72263"/>
    <w:rsid w:val="00F74174"/>
    <w:rsid w:val="00F75079"/>
    <w:rsid w:val="00F76A99"/>
    <w:rsid w:val="00F77FAF"/>
    <w:rsid w:val="00F80395"/>
    <w:rsid w:val="00F81F49"/>
    <w:rsid w:val="00F8456D"/>
    <w:rsid w:val="00F8763E"/>
    <w:rsid w:val="00F90D02"/>
    <w:rsid w:val="00F92FD1"/>
    <w:rsid w:val="00F93467"/>
    <w:rsid w:val="00F94484"/>
    <w:rsid w:val="00F953DC"/>
    <w:rsid w:val="00F96716"/>
    <w:rsid w:val="00F97AF0"/>
    <w:rsid w:val="00F97E01"/>
    <w:rsid w:val="00FA1D86"/>
    <w:rsid w:val="00FA283E"/>
    <w:rsid w:val="00FA3F38"/>
    <w:rsid w:val="00FA62A0"/>
    <w:rsid w:val="00FA71AC"/>
    <w:rsid w:val="00FB02AC"/>
    <w:rsid w:val="00FB0F9F"/>
    <w:rsid w:val="00FB2D2D"/>
    <w:rsid w:val="00FB35E9"/>
    <w:rsid w:val="00FB4C93"/>
    <w:rsid w:val="00FB5FB0"/>
    <w:rsid w:val="00FB745B"/>
    <w:rsid w:val="00FB7EF9"/>
    <w:rsid w:val="00FC013E"/>
    <w:rsid w:val="00FC2844"/>
    <w:rsid w:val="00FC293A"/>
    <w:rsid w:val="00FC3BE2"/>
    <w:rsid w:val="00FC4EEE"/>
    <w:rsid w:val="00FC7974"/>
    <w:rsid w:val="00FD0160"/>
    <w:rsid w:val="00FD0B0D"/>
    <w:rsid w:val="00FD1259"/>
    <w:rsid w:val="00FD23DE"/>
    <w:rsid w:val="00FD2C77"/>
    <w:rsid w:val="00FD35EB"/>
    <w:rsid w:val="00FD3700"/>
    <w:rsid w:val="00FD4516"/>
    <w:rsid w:val="00FD4C3E"/>
    <w:rsid w:val="00FD6064"/>
    <w:rsid w:val="00FD6E1A"/>
    <w:rsid w:val="00FE0A5A"/>
    <w:rsid w:val="00FE184D"/>
    <w:rsid w:val="00FE3845"/>
    <w:rsid w:val="00FE3C8B"/>
    <w:rsid w:val="00FE4D42"/>
    <w:rsid w:val="00FE5113"/>
    <w:rsid w:val="00FE5B60"/>
    <w:rsid w:val="00FE67AA"/>
    <w:rsid w:val="00FF0317"/>
    <w:rsid w:val="00FF0934"/>
    <w:rsid w:val="00FF1401"/>
    <w:rsid w:val="00FF3086"/>
    <w:rsid w:val="00FF5686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D5EEE"/>
  <w15:docId w15:val="{84CB119D-E443-4BDB-8B83-9CC2562C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C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9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5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511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261C1"/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ListParagraph">
    <w:name w:val="List Paragraph"/>
    <w:basedOn w:val="Normal"/>
    <w:uiPriority w:val="34"/>
    <w:qFormat/>
    <w:rsid w:val="0000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8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8E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460436"/>
    <w:rPr>
      <w:i/>
      <w:iCs/>
      <w:color w:val="008FD5"/>
    </w:rPr>
  </w:style>
  <w:style w:type="character" w:styleId="Hyperlink">
    <w:name w:val="Hyperlink"/>
    <w:basedOn w:val="DefaultParagraphFont"/>
    <w:uiPriority w:val="99"/>
    <w:unhideWhenUsed/>
    <w:rsid w:val="00230D29"/>
    <w:rPr>
      <w:color w:val="0563C1" w:themeColor="hyperlink"/>
      <w:u w:val="single"/>
    </w:rPr>
  </w:style>
  <w:style w:type="paragraph" w:styleId="FootnoteText">
    <w:name w:val="footnote text"/>
    <w:aliases w:val="Footnote_mpi"/>
    <w:basedOn w:val="Normal"/>
    <w:link w:val="FootnoteTextChar"/>
    <w:uiPriority w:val="99"/>
    <w:unhideWhenUsed/>
    <w:qFormat/>
    <w:rsid w:val="00D64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_mpi Char1"/>
    <w:basedOn w:val="DefaultParagraphFont"/>
    <w:link w:val="FootnoteText"/>
    <w:uiPriority w:val="99"/>
    <w:semiHidden/>
    <w:rsid w:val="00D64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64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E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2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0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3B5B"/>
    <w:pPr>
      <w:spacing w:after="0" w:line="240" w:lineRule="auto"/>
    </w:pPr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62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62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C62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6C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0F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1">
    <w:name w:val="Grid Table 3 Accent 1"/>
    <w:basedOn w:val="TableNormal"/>
    <w:uiPriority w:val="48"/>
    <w:rsid w:val="00617E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11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2-NoTOCmpi">
    <w:name w:val="H2 - No TOC_mpi"/>
    <w:link w:val="H2-NoTOCmpiChar"/>
    <w:qFormat/>
    <w:rsid w:val="004D1BCA"/>
    <w:pPr>
      <w:pBdr>
        <w:bottom w:val="single" w:sz="4" w:space="1" w:color="auto"/>
      </w:pBdr>
    </w:pPr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customStyle="1" w:styleId="H2-NoTOCmpiChar">
    <w:name w:val="H2 - No TOC_mpi Char"/>
    <w:basedOn w:val="DefaultParagraphFont"/>
    <w:link w:val="H2-NoTOCmpi"/>
    <w:rsid w:val="004D1BCA"/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1626"/>
    <w:rPr>
      <w:color w:val="605E5C"/>
      <w:shd w:val="clear" w:color="auto" w:fill="E1DFDD"/>
    </w:rPr>
  </w:style>
  <w:style w:type="character" w:customStyle="1" w:styleId="FootnoteTextChar1">
    <w:name w:val="Footnote Text Char1"/>
    <w:aliases w:val="Footnote_mpi Char"/>
    <w:uiPriority w:val="99"/>
    <w:rsid w:val="006859BA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3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d.stlouisfed.org/series/DGS10" TargetMode="External"/><Relationship Id="rId18" Type="http://schemas.openxmlformats.org/officeDocument/2006/relationships/hyperlink" Target="https://fred.stlouisfed.org/series/CIVPART" TargetMode="External"/><Relationship Id="rId26" Type="http://schemas.openxmlformats.org/officeDocument/2006/relationships/hyperlink" Target="https://fred.stlouisfed.org/series/APU000074714" TargetMode="External"/><Relationship Id="rId39" Type="http://schemas.openxmlformats.org/officeDocument/2006/relationships/hyperlink" Target="https://fred.stlouisfed.org/series/PCECTPICTM" TargetMode="External"/><Relationship Id="rId21" Type="http://schemas.openxmlformats.org/officeDocument/2006/relationships/hyperlink" Target="https://fred.stlouisfed.org/series/JTSJOL" TargetMode="External"/><Relationship Id="rId34" Type="http://schemas.openxmlformats.org/officeDocument/2006/relationships/hyperlink" Target="https://fred.stlouisfed.org/series/CUUR0000SETA01" TargetMode="External"/><Relationship Id="rId7" Type="http://schemas.openxmlformats.org/officeDocument/2006/relationships/hyperlink" Target="https://fred.stlouisfed.org/series/DPCERY2Q224SBEA" TargetMode="External"/><Relationship Id="rId12" Type="http://schemas.openxmlformats.org/officeDocument/2006/relationships/hyperlink" Target="https://fred.stlouisfed.org/series/DFEDTARU" TargetMode="External"/><Relationship Id="rId17" Type="http://schemas.openxmlformats.org/officeDocument/2006/relationships/hyperlink" Target="https://fred.stlouisfed.org/series/CLF16OV" TargetMode="External"/><Relationship Id="rId25" Type="http://schemas.openxmlformats.org/officeDocument/2006/relationships/hyperlink" Target="https://fred.stlouisfed.org/series/CPILEGSL" TargetMode="External"/><Relationship Id="rId33" Type="http://schemas.openxmlformats.org/officeDocument/2006/relationships/hyperlink" Target="https://fred.stlouisfed.org/series/PCE" TargetMode="External"/><Relationship Id="rId38" Type="http://schemas.openxmlformats.org/officeDocument/2006/relationships/hyperlink" Target="https://fred.stlouisfed.org/series/GDPC1CTM" TargetMode="External"/><Relationship Id="rId2" Type="http://schemas.openxmlformats.org/officeDocument/2006/relationships/hyperlink" Target="https://fred.stlouisfed.org/series/DTWEXBGS" TargetMode="External"/><Relationship Id="rId16" Type="http://schemas.openxmlformats.org/officeDocument/2006/relationships/hyperlink" Target="https://fred.stlouisfed.org/series/UNRATE" TargetMode="External"/><Relationship Id="rId20" Type="http://schemas.openxmlformats.org/officeDocument/2006/relationships/hyperlink" Target="https://fred.stlouisfed.org/series/JTSQUL" TargetMode="External"/><Relationship Id="rId29" Type="http://schemas.openxmlformats.org/officeDocument/2006/relationships/hyperlink" Target="https://fred.stlouisfed.org/series/DCOILWTICO" TargetMode="External"/><Relationship Id="rId1" Type="http://schemas.openxmlformats.org/officeDocument/2006/relationships/hyperlink" Target="https://fred.stlouisfed.org/series/USPHCI" TargetMode="External"/><Relationship Id="rId6" Type="http://schemas.openxmlformats.org/officeDocument/2006/relationships/hyperlink" Target="https://fred.stlouisfed.org/series/A006RY2Q224SBEA" TargetMode="External"/><Relationship Id="rId11" Type="http://schemas.openxmlformats.org/officeDocument/2006/relationships/hyperlink" Target="https://fred.stlouisfed.org/release/tables?rid=18&amp;eid=289&amp;od=2021-09-30" TargetMode="External"/><Relationship Id="rId24" Type="http://schemas.openxmlformats.org/officeDocument/2006/relationships/hyperlink" Target="https://fred.stlouisfed.org/series/CPIAUCSL" TargetMode="External"/><Relationship Id="rId32" Type="http://schemas.openxmlformats.org/officeDocument/2006/relationships/hyperlink" Target="https://fred.stlouisfed.org/series/SPCS20RSA" TargetMode="External"/><Relationship Id="rId37" Type="http://schemas.openxmlformats.org/officeDocument/2006/relationships/hyperlink" Target="https://fred.stlouisfed.org/series/VIXCLS" TargetMode="External"/><Relationship Id="rId40" Type="http://schemas.openxmlformats.org/officeDocument/2006/relationships/hyperlink" Target="https://fred.stlouisfed.org/series/UNRATECTM" TargetMode="External"/><Relationship Id="rId5" Type="http://schemas.openxmlformats.org/officeDocument/2006/relationships/hyperlink" Target="https://fred.stlouisfed.org/series/A822RY2Q224SBEA" TargetMode="External"/><Relationship Id="rId15" Type="http://schemas.openxmlformats.org/officeDocument/2006/relationships/hyperlink" Target="https://fred.stlouisfed.org/series/DAAA" TargetMode="External"/><Relationship Id="rId23" Type="http://schemas.openxmlformats.org/officeDocument/2006/relationships/hyperlink" Target="https://fred.stlouisfed.org/series/PAYEMS" TargetMode="External"/><Relationship Id="rId28" Type="http://schemas.openxmlformats.org/officeDocument/2006/relationships/hyperlink" Target="https://fred.stlouisfed.org/series/T5YIE" TargetMode="External"/><Relationship Id="rId36" Type="http://schemas.openxmlformats.org/officeDocument/2006/relationships/hyperlink" Target="https://fred.stlouisfed.org/series/UMCSENT" TargetMode="External"/><Relationship Id="rId10" Type="http://schemas.openxmlformats.org/officeDocument/2006/relationships/hyperlink" Target="https://fred.stlouisfed.org/series/FEDFUNDS" TargetMode="External"/><Relationship Id="rId19" Type="http://schemas.openxmlformats.org/officeDocument/2006/relationships/hyperlink" Target="https://www.philadelphiafed.org/surveys-and-data/real-time-data-research/livingston-survey" TargetMode="External"/><Relationship Id="rId31" Type="http://schemas.openxmlformats.org/officeDocument/2006/relationships/hyperlink" Target="https://fred.stlouisfed.org/series/MORTGAGE30US" TargetMode="External"/><Relationship Id="rId4" Type="http://schemas.openxmlformats.org/officeDocument/2006/relationships/hyperlink" Target="https://fred.stlouisfed.org/series/A019RY2Q224SBEA" TargetMode="External"/><Relationship Id="rId9" Type="http://schemas.openxmlformats.org/officeDocument/2006/relationships/hyperlink" Target="https://fred.stlouisfed.org/series/MCUMFN" TargetMode="External"/><Relationship Id="rId14" Type="http://schemas.openxmlformats.org/officeDocument/2006/relationships/hyperlink" Target="https://fred.stlouisfed.org/series/DBAA" TargetMode="External"/><Relationship Id="rId22" Type="http://schemas.openxmlformats.org/officeDocument/2006/relationships/hyperlink" Target="https://fred.stlouisfed.org/series/U6RATE" TargetMode="External"/><Relationship Id="rId27" Type="http://schemas.openxmlformats.org/officeDocument/2006/relationships/hyperlink" Target="https://fred.stlouisfed.org/series/PPIACO" TargetMode="External"/><Relationship Id="rId30" Type="http://schemas.openxmlformats.org/officeDocument/2006/relationships/hyperlink" Target="https://fred.stlouisfed.org/series/HOUST" TargetMode="External"/><Relationship Id="rId35" Type="http://schemas.openxmlformats.org/officeDocument/2006/relationships/hyperlink" Target="https://fred.stlouisfed.org/series/CUSR0000SETA02" TargetMode="External"/><Relationship Id="rId8" Type="http://schemas.openxmlformats.org/officeDocument/2006/relationships/hyperlink" Target="https://fred.stlouisfed.org/series/INDPRO" TargetMode="External"/><Relationship Id="rId3" Type="http://schemas.openxmlformats.org/officeDocument/2006/relationships/hyperlink" Target="https://fred.stlouisfed.org/series/GDPC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Designed for business valuation professionals, TagniFi’s Quarterly Economic Update provides timely economic data to satisfy Revenue Ruling 59-60.  </Abstract>
  <CompanyAddress/>
  <CompanyPhone/>
  <CompanyFax/>
  <CompanyEmail>www.tagnifi.com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EA666-4F3A-4F08-99D0-E705A40D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3195</Words>
  <Characters>18218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Economic Update</vt:lpstr>
    </vt:vector>
  </TitlesOfParts>
  <Company/>
  <LinksUpToDate>false</LinksUpToDate>
  <CharactersWithSpaces>21371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Economic Update</dc:title>
  <dc:subject>For the 1st Quarter of 2020</dc:subject>
  <dc:creator>Office 365</dc:creator>
  <cp:keywords/>
  <dc:description/>
  <cp:lastModifiedBy>Chad Sandstedt</cp:lastModifiedBy>
  <cp:revision>3</cp:revision>
  <cp:lastPrinted>2022-05-03T20:54:00Z</cp:lastPrinted>
  <dcterms:created xsi:type="dcterms:W3CDTF">2022-05-05T10:51:00Z</dcterms:created>
  <dcterms:modified xsi:type="dcterms:W3CDTF">2022-05-05T11:00:00Z</dcterms:modified>
</cp:coreProperties>
</file>