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625127297"/>
        <w:docPartObj>
          <w:docPartGallery w:val="Cover Pages"/>
          <w:docPartUnique/>
        </w:docPartObj>
      </w:sdtPr>
      <w:sdtEndPr/>
      <w:sdtContent>
        <w:p w14:paraId="2ABEC867" w14:textId="1B3017D2" w:rsidR="000F1648" w:rsidRDefault="008B2769" w:rsidP="002E6FDE">
          <w:pPr>
            <w:jc w:val="right"/>
          </w:pPr>
          <w:r>
            <w:rPr>
              <w:noProof/>
            </w:rPr>
            <w:drawing>
              <wp:inline distT="0" distB="0" distL="0" distR="0" wp14:anchorId="44435E8E" wp14:editId="4A515C24">
                <wp:extent cx="1743075" cy="275242"/>
                <wp:effectExtent l="0" t="0" r="0" b="0"/>
                <wp:docPr id="11" name="Picture 1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TagniFi Large Logo BlackFlat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0997" cy="28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0E9DD8" w14:textId="77777777" w:rsidR="006663D0" w:rsidRDefault="006663D0" w:rsidP="002E6FDE">
          <w:pPr>
            <w:jc w:val="right"/>
          </w:pPr>
        </w:p>
        <w:p w14:paraId="61E7189B" w14:textId="51BE3B1B" w:rsidR="006663D0" w:rsidRDefault="00474E3C" w:rsidP="002E6FDE">
          <w:pPr>
            <w:jc w:val="right"/>
          </w:pPr>
          <w:r>
            <w:rPr>
              <w:noProof/>
            </w:rPr>
            <w:drawing>
              <wp:inline distT="0" distB="0" distL="0" distR="0" wp14:anchorId="5C128B0F" wp14:editId="1E43108B">
                <wp:extent cx="5959775" cy="4038600"/>
                <wp:effectExtent l="0" t="0" r="317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0" t="28167" r="2834" b="6666"/>
                        <a:stretch/>
                      </pic:blipFill>
                      <pic:spPr bwMode="auto">
                        <a:xfrm>
                          <a:off x="0" y="0"/>
                          <a:ext cx="5965854" cy="40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987AB7">
            <w:br/>
          </w:r>
        </w:p>
        <w:p w14:paraId="149D5EEE" w14:textId="3FD73BB4" w:rsidR="00005111" w:rsidRDefault="006663D0" w:rsidP="002E6FDE">
          <w:pPr>
            <w:jc w:val="right"/>
            <w:rPr>
              <w:color w:val="008FD5"/>
              <w:sz w:val="64"/>
              <w:szCs w:val="64"/>
            </w:rPr>
          </w:pPr>
          <w:r w:rsidRPr="006663D0">
            <w:rPr>
              <w:color w:val="008FD5"/>
              <w:sz w:val="64"/>
              <w:szCs w:val="64"/>
            </w:rPr>
            <w:t xml:space="preserve">QUARTERLY </w:t>
          </w:r>
          <w:r w:rsidR="00FB73B6">
            <w:rPr>
              <w:color w:val="008FD5"/>
              <w:sz w:val="64"/>
              <w:szCs w:val="64"/>
            </w:rPr>
            <w:t>M&amp;A</w:t>
          </w:r>
          <w:r w:rsidRPr="006663D0">
            <w:rPr>
              <w:color w:val="008FD5"/>
              <w:sz w:val="64"/>
              <w:szCs w:val="64"/>
            </w:rPr>
            <w:t xml:space="preserve"> UPDATE</w:t>
          </w:r>
        </w:p>
        <w:p w14:paraId="7ADB2944" w14:textId="42F49AE0" w:rsidR="006663D0" w:rsidRDefault="006663D0" w:rsidP="002E6FDE">
          <w:pPr>
            <w:jc w:val="right"/>
            <w:rPr>
              <w:sz w:val="36"/>
              <w:szCs w:val="36"/>
            </w:rPr>
          </w:pPr>
          <w:r w:rsidRPr="006663D0">
            <w:rPr>
              <w:sz w:val="36"/>
              <w:szCs w:val="36"/>
            </w:rPr>
            <w:t xml:space="preserve">For the </w:t>
          </w:r>
          <w:r w:rsidR="001A78D6">
            <w:rPr>
              <w:sz w:val="36"/>
              <w:szCs w:val="36"/>
            </w:rPr>
            <w:t>2</w:t>
          </w:r>
          <w:r w:rsidR="001A78D6" w:rsidRPr="001A78D6">
            <w:rPr>
              <w:sz w:val="36"/>
              <w:szCs w:val="36"/>
              <w:vertAlign w:val="superscript"/>
            </w:rPr>
            <w:t>nd</w:t>
          </w:r>
          <w:r w:rsidR="001A78D6">
            <w:rPr>
              <w:sz w:val="36"/>
              <w:szCs w:val="36"/>
            </w:rPr>
            <w:t xml:space="preserve"> </w:t>
          </w:r>
          <w:r w:rsidRPr="006663D0">
            <w:rPr>
              <w:sz w:val="36"/>
              <w:szCs w:val="36"/>
            </w:rPr>
            <w:t>Quarter of 202</w:t>
          </w:r>
          <w:r w:rsidR="00A3301A">
            <w:rPr>
              <w:sz w:val="36"/>
              <w:szCs w:val="36"/>
            </w:rPr>
            <w:t>2</w:t>
          </w:r>
        </w:p>
        <w:p w14:paraId="45CA5FB6" w14:textId="7FC6A9D9" w:rsidR="006663D0" w:rsidRDefault="006663D0" w:rsidP="002E6FDE">
          <w:pPr>
            <w:jc w:val="right"/>
            <w:rPr>
              <w:sz w:val="36"/>
              <w:szCs w:val="36"/>
            </w:rPr>
          </w:pPr>
        </w:p>
        <w:p w14:paraId="036ED6C8" w14:textId="5EC9A59D" w:rsidR="006663D0" w:rsidRDefault="006663D0" w:rsidP="002E6FDE">
          <w:pPr>
            <w:jc w:val="right"/>
            <w:rPr>
              <w:color w:val="008FD5"/>
              <w:sz w:val="28"/>
              <w:szCs w:val="28"/>
            </w:rPr>
          </w:pPr>
          <w:r w:rsidRPr="006663D0">
            <w:rPr>
              <w:color w:val="008FD5"/>
              <w:sz w:val="28"/>
              <w:szCs w:val="28"/>
            </w:rPr>
            <w:t>Abstract</w:t>
          </w:r>
        </w:p>
        <w:p w14:paraId="78E365CD" w14:textId="3F1A3D36" w:rsidR="006663D0" w:rsidRPr="006663D0" w:rsidRDefault="006663D0" w:rsidP="006663D0">
          <w:pPr>
            <w:jc w:val="right"/>
            <w:rPr>
              <w:sz w:val="20"/>
              <w:szCs w:val="20"/>
            </w:rPr>
          </w:pPr>
          <w:r w:rsidRPr="006663D0">
            <w:rPr>
              <w:sz w:val="20"/>
              <w:szCs w:val="20"/>
            </w:rPr>
            <w:t xml:space="preserve">Designed for </w:t>
          </w:r>
          <w:r w:rsidR="00FB73B6">
            <w:rPr>
              <w:sz w:val="20"/>
              <w:szCs w:val="20"/>
            </w:rPr>
            <w:t>M&amp;A and private equity professionals</w:t>
          </w:r>
          <w:r w:rsidRPr="006663D0">
            <w:rPr>
              <w:sz w:val="20"/>
              <w:szCs w:val="20"/>
            </w:rPr>
            <w:t xml:space="preserve">, TagniFi’s Quarterly </w:t>
          </w:r>
          <w:r>
            <w:rPr>
              <w:sz w:val="20"/>
              <w:szCs w:val="20"/>
            </w:rPr>
            <w:br/>
          </w:r>
          <w:r w:rsidR="00BF65D2">
            <w:rPr>
              <w:sz w:val="20"/>
              <w:szCs w:val="20"/>
            </w:rPr>
            <w:t xml:space="preserve">M&amp;A </w:t>
          </w:r>
          <w:r w:rsidR="006756DF">
            <w:rPr>
              <w:sz w:val="20"/>
              <w:szCs w:val="20"/>
            </w:rPr>
            <w:t>U</w:t>
          </w:r>
          <w:r w:rsidRPr="006663D0">
            <w:rPr>
              <w:sz w:val="20"/>
              <w:szCs w:val="20"/>
            </w:rPr>
            <w:t xml:space="preserve">pdate provides </w:t>
          </w:r>
          <w:r w:rsidR="00FB73B6">
            <w:rPr>
              <w:sz w:val="20"/>
              <w:szCs w:val="20"/>
            </w:rPr>
            <w:t>an overview of deal activity with key trends and activity levels</w:t>
          </w:r>
          <w:r w:rsidRPr="006663D0">
            <w:rPr>
              <w:sz w:val="20"/>
              <w:szCs w:val="20"/>
            </w:rPr>
            <w:t>.</w:t>
          </w:r>
        </w:p>
        <w:p w14:paraId="149D5EEF" w14:textId="0F932CBB" w:rsidR="00005111" w:rsidRDefault="00005111" w:rsidP="000F1648">
          <w:pPr>
            <w:ind w:hanging="900"/>
          </w:pPr>
          <w:r>
            <w:br w:type="page"/>
          </w:r>
        </w:p>
      </w:sdtContent>
    </w:sdt>
    <w:p w14:paraId="2920D7EC" w14:textId="168EE58E" w:rsidR="002D2BFA" w:rsidRDefault="001D0E51" w:rsidP="002D2BFA">
      <w:pPr>
        <w:pStyle w:val="Heading1"/>
      </w:pPr>
      <w:r>
        <w:lastRenderedPageBreak/>
        <w:t>Q</w:t>
      </w:r>
      <w:r w:rsidR="006160AD">
        <w:t>2</w:t>
      </w:r>
      <w:r w:rsidR="002D2BFA">
        <w:t xml:space="preserve"> Highlights</w:t>
      </w:r>
    </w:p>
    <w:p w14:paraId="3C95D6FD" w14:textId="74328F51" w:rsidR="00377D29" w:rsidRDefault="008A7ADC" w:rsidP="00377D29">
      <w:r>
        <w:t xml:space="preserve">U.S. M&amp;A </w:t>
      </w:r>
      <w:r w:rsidR="008B2EFF">
        <w:t xml:space="preserve">activity </w:t>
      </w:r>
      <w:r w:rsidR="006160AD">
        <w:t xml:space="preserve">continued its </w:t>
      </w:r>
      <w:r w:rsidR="008B2EFF">
        <w:t>de</w:t>
      </w:r>
      <w:r w:rsidR="006160AD">
        <w:t>cline</w:t>
      </w:r>
      <w:r w:rsidR="008B2EFF">
        <w:t xml:space="preserve"> in Q</w:t>
      </w:r>
      <w:r w:rsidR="006160AD">
        <w:t>2</w:t>
      </w:r>
      <w:r w:rsidR="00291B82">
        <w:t xml:space="preserve"> due to increased borrowing costs and reduced valuation multiples</w:t>
      </w:r>
      <w:r w:rsidR="006160AD">
        <w:t xml:space="preserve">, </w:t>
      </w:r>
      <w:r w:rsidR="00291B82">
        <w:t xml:space="preserve">ending the quarter </w:t>
      </w:r>
      <w:r w:rsidR="006160AD">
        <w:t xml:space="preserve">down 12% from Q1 </w:t>
      </w:r>
      <w:r w:rsidR="00291B82">
        <w:t>as well as</w:t>
      </w:r>
      <w:r w:rsidR="006160AD">
        <w:t xml:space="preserve"> </w:t>
      </w:r>
      <w:r w:rsidR="005164C9">
        <w:t>compared to the same quarter last year</w:t>
      </w:r>
      <w:r w:rsidR="008B2EFF">
        <w:t xml:space="preserve">. </w:t>
      </w:r>
      <w:r w:rsidR="00377D29">
        <w:t xml:space="preserve">There were </w:t>
      </w:r>
      <w:r w:rsidR="005164C9">
        <w:t>2,639</w:t>
      </w:r>
      <w:r w:rsidR="00377D29">
        <w:t xml:space="preserve"> deals announced in Q</w:t>
      </w:r>
      <w:r w:rsidR="005164C9">
        <w:t>2</w:t>
      </w:r>
      <w:r w:rsidR="00377D29">
        <w:t xml:space="preserve">, a </w:t>
      </w:r>
      <w:r w:rsidR="008B2EFF">
        <w:t>decrease</w:t>
      </w:r>
      <w:r w:rsidR="00377D29">
        <w:t xml:space="preserve"> of </w:t>
      </w:r>
      <w:r w:rsidR="005164C9">
        <w:t>22</w:t>
      </w:r>
      <w:r w:rsidR="00BE76FD">
        <w:t xml:space="preserve">% </w:t>
      </w:r>
      <w:r w:rsidR="00427C9C">
        <w:t>compared to</w:t>
      </w:r>
      <w:r w:rsidR="00BE76FD">
        <w:t xml:space="preserve"> </w:t>
      </w:r>
      <w:r w:rsidR="005164C9">
        <w:t xml:space="preserve">the record number of deals reported in </w:t>
      </w:r>
      <w:r w:rsidR="00BE76FD">
        <w:t>Q</w:t>
      </w:r>
      <w:r w:rsidR="008B2EFF">
        <w:t>4</w:t>
      </w:r>
      <w:r w:rsidR="00BE76FD">
        <w:t xml:space="preserve"> </w:t>
      </w:r>
      <w:r w:rsidR="005164C9">
        <w:t>when 3,400 deals were announced</w:t>
      </w:r>
      <w:r w:rsidR="00BE76FD">
        <w:t>.</w:t>
      </w:r>
    </w:p>
    <w:p w14:paraId="7295E065" w14:textId="36C17EAE" w:rsidR="00377D29" w:rsidRDefault="001A78D6" w:rsidP="00377D29">
      <w:pPr>
        <w:jc w:val="center"/>
      </w:pPr>
      <w:r>
        <w:rPr>
          <w:noProof/>
        </w:rPr>
        <w:drawing>
          <wp:inline distT="0" distB="0" distL="0" distR="0" wp14:anchorId="396C6A96" wp14:editId="541B4F63">
            <wp:extent cx="4572635" cy="2999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8D1F14" w14:textId="7FA7B144" w:rsidR="002D2BFA" w:rsidRDefault="001D0E51" w:rsidP="002D2BFA">
      <w:pPr>
        <w:pStyle w:val="ListParagraph"/>
        <w:numPr>
          <w:ilvl w:val="0"/>
          <w:numId w:val="5"/>
        </w:numPr>
      </w:pPr>
      <w:r>
        <w:t xml:space="preserve">There were </w:t>
      </w:r>
      <w:r w:rsidR="001A78D6">
        <w:t>2,63</w:t>
      </w:r>
      <w:r w:rsidR="002B1D20">
        <w:t>9</w:t>
      </w:r>
      <w:r>
        <w:t xml:space="preserve"> M&amp;A deals announced in Q</w:t>
      </w:r>
      <w:r w:rsidR="001A78D6">
        <w:t>2</w:t>
      </w:r>
      <w:r>
        <w:t>.</w:t>
      </w:r>
    </w:p>
    <w:p w14:paraId="0AF89EFB" w14:textId="073E01EC" w:rsidR="00561141" w:rsidRDefault="00561141" w:rsidP="002D2BFA">
      <w:pPr>
        <w:pStyle w:val="ListParagraph"/>
        <w:numPr>
          <w:ilvl w:val="0"/>
          <w:numId w:val="5"/>
        </w:numPr>
      </w:pPr>
      <w:r>
        <w:t xml:space="preserve">The total disclosed transaction value was </w:t>
      </w:r>
      <w:r w:rsidR="00821C44">
        <w:t>$4</w:t>
      </w:r>
      <w:r w:rsidR="00371A15">
        <w:t>51</w:t>
      </w:r>
      <w:r w:rsidR="00821C44">
        <w:t xml:space="preserve"> billion, </w:t>
      </w:r>
      <w:r w:rsidR="00371A15">
        <w:t>up</w:t>
      </w:r>
      <w:r w:rsidR="00821C44">
        <w:t xml:space="preserve"> </w:t>
      </w:r>
      <w:r w:rsidR="00371A15">
        <w:t>2</w:t>
      </w:r>
      <w:r w:rsidR="00821C44">
        <w:t xml:space="preserve">% from the </w:t>
      </w:r>
      <w:r>
        <w:t>$</w:t>
      </w:r>
      <w:r w:rsidR="00371A15">
        <w:t>442</w:t>
      </w:r>
      <w:r>
        <w:t xml:space="preserve"> billion</w:t>
      </w:r>
      <w:r w:rsidR="00821C44">
        <w:t xml:space="preserve"> of deal value disclosed in Q</w:t>
      </w:r>
      <w:r w:rsidR="00371A15">
        <w:t>1</w:t>
      </w:r>
      <w:r>
        <w:t>.</w:t>
      </w:r>
    </w:p>
    <w:p w14:paraId="62559475" w14:textId="513B1948" w:rsidR="001D0E51" w:rsidRDefault="001D0E51" w:rsidP="002D2BFA">
      <w:pPr>
        <w:pStyle w:val="ListParagraph"/>
        <w:numPr>
          <w:ilvl w:val="0"/>
          <w:numId w:val="5"/>
        </w:numPr>
      </w:pPr>
      <w:r>
        <w:t xml:space="preserve">California led the nation with </w:t>
      </w:r>
      <w:r w:rsidR="00F43399">
        <w:t>38</w:t>
      </w:r>
      <w:r w:rsidR="00371A15">
        <w:t>1</w:t>
      </w:r>
      <w:r>
        <w:t xml:space="preserve"> announced deals.</w:t>
      </w:r>
    </w:p>
    <w:p w14:paraId="6157AE77" w14:textId="082F79C6" w:rsidR="001D0E51" w:rsidRDefault="001D0E51" w:rsidP="002D2BFA">
      <w:pPr>
        <w:pStyle w:val="ListParagraph"/>
        <w:numPr>
          <w:ilvl w:val="0"/>
          <w:numId w:val="5"/>
        </w:numPr>
      </w:pPr>
      <w:r>
        <w:t>The most popular deal type was the 100% Buyout which represented 4</w:t>
      </w:r>
      <w:r w:rsidR="00371A15">
        <w:t>0</w:t>
      </w:r>
      <w:r>
        <w:t>% of the announced deals.</w:t>
      </w:r>
    </w:p>
    <w:p w14:paraId="79F2CC27" w14:textId="35D98146" w:rsidR="001D0E51" w:rsidRDefault="001D0E51" w:rsidP="002D2BFA">
      <w:pPr>
        <w:pStyle w:val="ListParagraph"/>
        <w:numPr>
          <w:ilvl w:val="0"/>
          <w:numId w:val="5"/>
        </w:numPr>
      </w:pPr>
      <w:r>
        <w:t xml:space="preserve">Private companies were the most popular acquirer type with </w:t>
      </w:r>
      <w:r w:rsidR="00F43399">
        <w:t>5</w:t>
      </w:r>
      <w:r w:rsidR="00371A15">
        <w:t>6</w:t>
      </w:r>
      <w:r>
        <w:t xml:space="preserve">% of the deals </w:t>
      </w:r>
      <w:r w:rsidR="00354B05">
        <w:t>announced</w:t>
      </w:r>
      <w:r w:rsidR="00F43399">
        <w:t xml:space="preserve">, up from </w:t>
      </w:r>
      <w:r w:rsidR="006160AD">
        <w:t>55</w:t>
      </w:r>
      <w:r w:rsidR="00F43399">
        <w:t>% last quarter</w:t>
      </w:r>
      <w:r>
        <w:t>.</w:t>
      </w:r>
    </w:p>
    <w:p w14:paraId="531A2062" w14:textId="7415690E" w:rsidR="001D0E51" w:rsidRDefault="00354B05" w:rsidP="002D2BFA">
      <w:pPr>
        <w:pStyle w:val="ListParagraph"/>
        <w:numPr>
          <w:ilvl w:val="0"/>
          <w:numId w:val="5"/>
        </w:numPr>
      </w:pPr>
      <w:r>
        <w:t>The most active sector was Services with 6</w:t>
      </w:r>
      <w:r w:rsidR="006160AD">
        <w:t>1</w:t>
      </w:r>
      <w:r>
        <w:t>% of the deals announced</w:t>
      </w:r>
      <w:r w:rsidR="00F43399">
        <w:t xml:space="preserve">, </w:t>
      </w:r>
      <w:r w:rsidR="00D60E7A">
        <w:t>down</w:t>
      </w:r>
      <w:r w:rsidR="00F43399">
        <w:t xml:space="preserve"> from 6</w:t>
      </w:r>
      <w:r w:rsidR="006160AD">
        <w:t>3</w:t>
      </w:r>
      <w:r w:rsidR="00F43399">
        <w:t>% last quarter</w:t>
      </w:r>
      <w:r>
        <w:t>.</w:t>
      </w:r>
    </w:p>
    <w:p w14:paraId="65612BF1" w14:textId="21534369" w:rsidR="006160AD" w:rsidRDefault="006160AD" w:rsidP="006160AD">
      <w:pPr>
        <w:pStyle w:val="ListParagraph"/>
        <w:numPr>
          <w:ilvl w:val="0"/>
          <w:numId w:val="5"/>
        </w:numPr>
      </w:pPr>
      <w:r>
        <w:t>Arthur J. Gallagher &amp; Co. was the most acquisitive public strategic buyer with 9 deals announced.</w:t>
      </w:r>
    </w:p>
    <w:p w14:paraId="7BBB0DED" w14:textId="249AE573" w:rsidR="00354B05" w:rsidRDefault="006160AD" w:rsidP="002D2BFA">
      <w:pPr>
        <w:pStyle w:val="ListParagraph"/>
        <w:numPr>
          <w:ilvl w:val="0"/>
          <w:numId w:val="5"/>
        </w:numPr>
      </w:pPr>
      <w:r>
        <w:t>HUB International Ltd.</w:t>
      </w:r>
      <w:r w:rsidR="00354B05">
        <w:t xml:space="preserve"> was the most acquisitive </w:t>
      </w:r>
      <w:r>
        <w:t xml:space="preserve">private </w:t>
      </w:r>
      <w:r w:rsidR="00354B05">
        <w:t>strategic buyer</w:t>
      </w:r>
      <w:r w:rsidR="00F43399">
        <w:t xml:space="preserve"> with 1</w:t>
      </w:r>
      <w:r>
        <w:t>4</w:t>
      </w:r>
      <w:r w:rsidR="00F43399">
        <w:t xml:space="preserve"> deals announced</w:t>
      </w:r>
      <w:r w:rsidR="00354B05">
        <w:t>.</w:t>
      </w:r>
    </w:p>
    <w:p w14:paraId="1C0647CA" w14:textId="7084EDDC" w:rsidR="00354B05" w:rsidRDefault="006160AD" w:rsidP="002D2BFA">
      <w:pPr>
        <w:pStyle w:val="ListParagraph"/>
        <w:numPr>
          <w:ilvl w:val="0"/>
          <w:numId w:val="5"/>
        </w:numPr>
      </w:pPr>
      <w:r>
        <w:t>Advent International</w:t>
      </w:r>
      <w:r w:rsidR="00354B05">
        <w:t xml:space="preserve"> was the most a</w:t>
      </w:r>
      <w:r w:rsidR="00561702">
        <w:t>ctive</w:t>
      </w:r>
      <w:r w:rsidR="00354B05">
        <w:t xml:space="preserve"> financial buyer</w:t>
      </w:r>
      <w:r w:rsidR="00F43399">
        <w:t xml:space="preserve"> with </w:t>
      </w:r>
      <w:r>
        <w:t>7</w:t>
      </w:r>
      <w:r w:rsidR="00F43399">
        <w:t xml:space="preserve"> deals announced</w:t>
      </w:r>
      <w:r w:rsidR="00354B05">
        <w:t>.</w:t>
      </w:r>
    </w:p>
    <w:p w14:paraId="6A3271DD" w14:textId="17935C59" w:rsidR="00561141" w:rsidRDefault="00F43399" w:rsidP="002D2BFA">
      <w:pPr>
        <w:pStyle w:val="ListParagraph"/>
        <w:numPr>
          <w:ilvl w:val="0"/>
          <w:numId w:val="5"/>
        </w:numPr>
      </w:pPr>
      <w:r>
        <w:t>Goldman Sachs</w:t>
      </w:r>
      <w:r w:rsidR="00561141">
        <w:t xml:space="preserve"> was the most active financial advisor</w:t>
      </w:r>
      <w:r>
        <w:t xml:space="preserve"> with 3</w:t>
      </w:r>
      <w:r w:rsidR="006160AD">
        <w:t>1</w:t>
      </w:r>
      <w:r>
        <w:t xml:space="preserve"> deals announced</w:t>
      </w:r>
      <w:r w:rsidR="00561141">
        <w:t>.</w:t>
      </w:r>
    </w:p>
    <w:p w14:paraId="46988F8A" w14:textId="343A9907" w:rsidR="00354B05" w:rsidRPr="00D60E7A" w:rsidRDefault="00561141" w:rsidP="00D60E7A">
      <w:pPr>
        <w:pStyle w:val="ListParagraph"/>
        <w:numPr>
          <w:ilvl w:val="0"/>
          <w:numId w:val="5"/>
        </w:numPr>
      </w:pPr>
      <w:r>
        <w:t>Kirkland &amp; Ellis LLP was the most active legal advisor</w:t>
      </w:r>
      <w:r w:rsidR="00F43399">
        <w:t xml:space="preserve"> with 8</w:t>
      </w:r>
      <w:r w:rsidR="006160AD">
        <w:t>7</w:t>
      </w:r>
      <w:r w:rsidR="00F43399">
        <w:t xml:space="preserve"> deals announced.</w:t>
      </w:r>
    </w:p>
    <w:p w14:paraId="149D5EF0" w14:textId="2A1FDFE0" w:rsidR="00217AD5" w:rsidRDefault="002C5700" w:rsidP="00005111">
      <w:pPr>
        <w:pStyle w:val="Heading1"/>
      </w:pPr>
      <w:r>
        <w:lastRenderedPageBreak/>
        <w:t xml:space="preserve">M&amp;A Activity </w:t>
      </w:r>
      <w:r w:rsidR="00B83B6F">
        <w:t>by</w:t>
      </w:r>
      <w:r>
        <w:t xml:space="preserve"> State</w:t>
      </w:r>
    </w:p>
    <w:p w14:paraId="7549EFE2" w14:textId="3612E238" w:rsidR="00BD262B" w:rsidRDefault="00B55A34" w:rsidP="001E26E8">
      <w:r>
        <w:t xml:space="preserve">Quarter-over-quarter deal activity declined in 36 states, increased in </w:t>
      </w:r>
      <w:r w:rsidR="0029793E">
        <w:t>13</w:t>
      </w:r>
      <w:r>
        <w:t xml:space="preserve"> states, and was unchanged in </w:t>
      </w:r>
      <w:r w:rsidR="0029793E">
        <w:t>1</w:t>
      </w:r>
      <w:r>
        <w:t xml:space="preserve"> state. </w:t>
      </w:r>
      <w:r w:rsidR="0029793E">
        <w:t>Connecticut</w:t>
      </w:r>
      <w:r w:rsidR="0036697E">
        <w:t xml:space="preserve"> ha</w:t>
      </w:r>
      <w:r w:rsidR="0029793E">
        <w:t>d</w:t>
      </w:r>
      <w:r w:rsidR="0036697E">
        <w:t xml:space="preserve"> the largest gain in deal activity, </w:t>
      </w:r>
      <w:r w:rsidR="0029793E">
        <w:t>gaining</w:t>
      </w:r>
      <w:r w:rsidR="0036697E">
        <w:t xml:space="preserve"> </w:t>
      </w:r>
      <w:r w:rsidR="0029793E">
        <w:t xml:space="preserve">15 deals </w:t>
      </w:r>
      <w:r w:rsidR="0036697E">
        <w:t>compared to Q</w:t>
      </w:r>
      <w:r w:rsidR="0029793E">
        <w:t>1</w:t>
      </w:r>
      <w:r w:rsidR="0036697E">
        <w:t>.</w:t>
      </w:r>
      <w:r w:rsidR="005929AF">
        <w:t xml:space="preserve"> </w:t>
      </w:r>
      <w:r w:rsidR="0029793E">
        <w:t>North Carolina and Tennessee</w:t>
      </w:r>
      <w:r w:rsidR="0036697E">
        <w:t xml:space="preserve"> </w:t>
      </w:r>
      <w:r w:rsidR="0029793E">
        <w:t>were</w:t>
      </w:r>
      <w:r w:rsidR="0036697E">
        <w:t xml:space="preserve"> next with </w:t>
      </w:r>
      <w:r w:rsidR="0029793E">
        <w:t>an increase of 13 and 12 deals</w:t>
      </w:r>
      <w:r w:rsidR="0036697E">
        <w:t xml:space="preserve"> </w:t>
      </w:r>
      <w:r w:rsidR="0029793E">
        <w:t>over the quarter, respectively</w:t>
      </w:r>
      <w:r w:rsidR="0036697E">
        <w:t xml:space="preserve">. </w:t>
      </w:r>
    </w:p>
    <w:p w14:paraId="0EF994D7" w14:textId="118107FB" w:rsidR="00662A45" w:rsidRDefault="00BE76FD" w:rsidP="001E26E8">
      <w:r>
        <w:t>California</w:t>
      </w:r>
      <w:r w:rsidR="00FE064D">
        <w:t xml:space="preserve"> add</w:t>
      </w:r>
      <w:r>
        <w:t xml:space="preserve"> Texas </w:t>
      </w:r>
      <w:r w:rsidR="0036697E">
        <w:t xml:space="preserve">continued to </w:t>
      </w:r>
      <w:r>
        <w:t>lead</w:t>
      </w:r>
      <w:r w:rsidR="005929AF">
        <w:t xml:space="preserve"> </w:t>
      </w:r>
      <w:r>
        <w:t xml:space="preserve">the </w:t>
      </w:r>
      <w:r w:rsidR="005929AF">
        <w:t>pack</w:t>
      </w:r>
      <w:r>
        <w:t xml:space="preserve"> </w:t>
      </w:r>
      <w:r w:rsidR="0036697E">
        <w:t>in Q</w:t>
      </w:r>
      <w:r w:rsidR="0029793E">
        <w:t>2</w:t>
      </w:r>
      <w:r w:rsidR="0036697E">
        <w:t xml:space="preserve"> </w:t>
      </w:r>
      <w:r>
        <w:t xml:space="preserve">with </w:t>
      </w:r>
      <w:r w:rsidR="0029793E">
        <w:t>381</w:t>
      </w:r>
      <w:r w:rsidR="00FE064D">
        <w:t xml:space="preserve"> and 147 deals</w:t>
      </w:r>
      <w:r w:rsidR="00D849E4">
        <w:t xml:space="preserve"> announced, respectively.</w:t>
      </w:r>
      <w:r w:rsidR="00BD262B">
        <w:t xml:space="preserve"> Florida </w:t>
      </w:r>
      <w:r w:rsidR="000D6C7F">
        <w:t>moved up the list</w:t>
      </w:r>
      <w:r w:rsidR="00FE064D">
        <w:t xml:space="preserve"> to 3</w:t>
      </w:r>
      <w:r w:rsidR="00FE064D" w:rsidRPr="00FE064D">
        <w:rPr>
          <w:vertAlign w:val="superscript"/>
        </w:rPr>
        <w:t>rd</w:t>
      </w:r>
      <w:r w:rsidR="00FE064D">
        <w:t xml:space="preserve"> place in deal volume with 141 deals announced in Q2. New York was n</w:t>
      </w:r>
      <w:r w:rsidR="00BD262B">
        <w:t>ext in line with 1</w:t>
      </w:r>
      <w:r w:rsidR="00FE064D">
        <w:t>39</w:t>
      </w:r>
      <w:r w:rsidR="00BD262B">
        <w:t xml:space="preserve"> deals announced followed by </w:t>
      </w:r>
      <w:r w:rsidR="00FE064D">
        <w:t>Massachusetts</w:t>
      </w:r>
      <w:r w:rsidR="00BD262B">
        <w:t xml:space="preserve"> with </w:t>
      </w:r>
      <w:r w:rsidR="00FE064D">
        <w:t>85</w:t>
      </w:r>
      <w:r w:rsidR="00BD262B">
        <w:t xml:space="preserve"> deals and </w:t>
      </w:r>
      <w:r w:rsidR="00FE064D">
        <w:t>Illinois</w:t>
      </w:r>
      <w:r w:rsidR="00BD262B">
        <w:t xml:space="preserve"> with </w:t>
      </w:r>
      <w:r w:rsidR="00FE064D">
        <w:t>73</w:t>
      </w:r>
      <w:r w:rsidR="00BD262B">
        <w:t xml:space="preserve"> deals. </w:t>
      </w:r>
    </w:p>
    <w:p w14:paraId="0B4B64B3" w14:textId="77777777" w:rsidR="00533EFE" w:rsidRDefault="00533EFE" w:rsidP="001E26E8"/>
    <w:p w14:paraId="5FD9C9E3" w14:textId="54924A92" w:rsidR="004D1C9D" w:rsidRDefault="002B1D20" w:rsidP="006D4E8F">
      <w:pPr>
        <w:jc w:val="center"/>
      </w:pPr>
      <w:r w:rsidRPr="002B1D20">
        <w:rPr>
          <w:noProof/>
        </w:rPr>
        <w:drawing>
          <wp:inline distT="0" distB="0" distL="0" distR="0" wp14:anchorId="29DC8DDB" wp14:editId="4C762CA1">
            <wp:extent cx="5943600" cy="34493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515E4" w14:textId="77777777" w:rsidR="00341AFD" w:rsidRDefault="00341AFD" w:rsidP="006D4E8F">
      <w:pPr>
        <w:jc w:val="center"/>
      </w:pPr>
    </w:p>
    <w:p w14:paraId="149D5F03" w14:textId="6EC3AE93" w:rsidR="0076717F" w:rsidRPr="00F94484" w:rsidRDefault="0076717F" w:rsidP="002D2BFA">
      <w:pPr>
        <w:pStyle w:val="ListParagraph"/>
      </w:pPr>
      <w:r>
        <w:br w:type="page"/>
      </w:r>
    </w:p>
    <w:p w14:paraId="149D5F04" w14:textId="59383444" w:rsidR="00057711" w:rsidRDefault="00B83B6F" w:rsidP="00057711">
      <w:pPr>
        <w:pStyle w:val="Heading1"/>
      </w:pPr>
      <w:bookmarkStart w:id="0" w:name="_Hlk93571760"/>
      <w:r>
        <w:lastRenderedPageBreak/>
        <w:t>M&amp;A Activity by Deal Type</w:t>
      </w:r>
    </w:p>
    <w:p w14:paraId="12AAB755" w14:textId="2BAB1533" w:rsidR="00877FEF" w:rsidRDefault="00877FEF" w:rsidP="00057711">
      <w:r>
        <w:t>Q</w:t>
      </w:r>
      <w:r w:rsidR="008344D7">
        <w:t>2</w:t>
      </w:r>
      <w:r>
        <w:t xml:space="preserve"> saw more </w:t>
      </w:r>
      <w:r w:rsidR="002129A1">
        <w:t xml:space="preserve">100% </w:t>
      </w:r>
      <w:r>
        <w:t>buyouts</w:t>
      </w:r>
      <w:r w:rsidR="002129A1">
        <w:t xml:space="preserve"> than any other deal type but they were down 1</w:t>
      </w:r>
      <w:r w:rsidR="008344D7">
        <w:t>5</w:t>
      </w:r>
      <w:r w:rsidR="002129A1">
        <w:t xml:space="preserve">% compared to </w:t>
      </w:r>
      <w:r w:rsidR="008344D7">
        <w:t>Q1</w:t>
      </w:r>
      <w:r w:rsidR="002129A1">
        <w:t xml:space="preserve">. The number of add-on acquisitions </w:t>
      </w:r>
      <w:r w:rsidR="008344D7">
        <w:t>decreased</w:t>
      </w:r>
      <w:r w:rsidR="002129A1">
        <w:t xml:space="preserve"> by </w:t>
      </w:r>
      <w:r w:rsidR="008344D7">
        <w:t>only 9</w:t>
      </w:r>
      <w:r w:rsidR="002129A1">
        <w:t xml:space="preserve">% </w:t>
      </w:r>
      <w:r w:rsidR="008344D7">
        <w:t>from</w:t>
      </w:r>
      <w:r w:rsidR="002129A1">
        <w:t xml:space="preserve"> the prior quarter, indicating a </w:t>
      </w:r>
      <w:r w:rsidR="008344D7">
        <w:t xml:space="preserve">continued </w:t>
      </w:r>
      <w:r w:rsidR="002129A1">
        <w:t xml:space="preserve">shift from new platforms towards enhancing </w:t>
      </w:r>
      <w:r w:rsidR="000D6C7F">
        <w:t xml:space="preserve">value through </w:t>
      </w:r>
      <w:r w:rsidR="002129A1">
        <w:t>existing portfolio companies. Minority stake deals</w:t>
      </w:r>
      <w:r w:rsidR="008344D7">
        <w:t xml:space="preserve"> were also down in Q2</w:t>
      </w:r>
      <w:r w:rsidR="002129A1">
        <w:t xml:space="preserve">, </w:t>
      </w:r>
      <w:r w:rsidR="008344D7">
        <w:t>declining</w:t>
      </w:r>
      <w:r w:rsidR="002129A1">
        <w:t xml:space="preserve"> by </w:t>
      </w:r>
      <w:r w:rsidR="008344D7">
        <w:t>21</w:t>
      </w:r>
      <w:r w:rsidR="002129A1">
        <w:t xml:space="preserve">% </w:t>
      </w:r>
      <w:r w:rsidR="008344D7">
        <w:t>from Q1</w:t>
      </w:r>
      <w:r w:rsidR="002129A1">
        <w:t xml:space="preserve">. </w:t>
      </w:r>
      <w:r w:rsidR="008344D7">
        <w:t>Growth Capital deals</w:t>
      </w:r>
      <w:r w:rsidR="002129A1">
        <w:t xml:space="preserve"> saw the largest increase this quarter, up </w:t>
      </w:r>
      <w:r w:rsidR="008344D7">
        <w:t>95</w:t>
      </w:r>
      <w:r w:rsidR="002129A1">
        <w:t>% over Q</w:t>
      </w:r>
      <w:r w:rsidR="00B720EB">
        <w:t>1</w:t>
      </w:r>
      <w:r w:rsidR="002129A1">
        <w:t xml:space="preserve">. </w:t>
      </w:r>
      <w:r w:rsidR="00B720EB">
        <w:t>Corporate divestitures also experience</w:t>
      </w:r>
      <w:r w:rsidR="002A54F6">
        <w:t>d</w:t>
      </w:r>
      <w:r w:rsidR="00B720EB">
        <w:t xml:space="preserve"> an increase in deal activity, up 31% for the quarter</w:t>
      </w:r>
      <w:r w:rsidR="004150AF">
        <w:t>.</w:t>
      </w:r>
    </w:p>
    <w:bookmarkEnd w:id="0"/>
    <w:p w14:paraId="1C774D89" w14:textId="20A4BE61" w:rsidR="008273B1" w:rsidRPr="00877FEF" w:rsidRDefault="002B1D20" w:rsidP="00877FEF">
      <w:pPr>
        <w:jc w:val="center"/>
      </w:pPr>
      <w:r>
        <w:rPr>
          <w:noProof/>
        </w:rPr>
        <w:drawing>
          <wp:inline distT="0" distB="0" distL="0" distR="0" wp14:anchorId="79A98A53" wp14:editId="3EFD90B1">
            <wp:extent cx="5236845" cy="6309995"/>
            <wp:effectExtent l="0" t="0" r="190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630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ABD5E" w14:textId="04D93949" w:rsidR="00674DFD" w:rsidRDefault="00674DFD" w:rsidP="00674DFD">
      <w:pPr>
        <w:pStyle w:val="Heading1"/>
      </w:pPr>
      <w:r>
        <w:lastRenderedPageBreak/>
        <w:t>M&amp;A Activity by Acquirer Type</w:t>
      </w:r>
    </w:p>
    <w:p w14:paraId="367F9697" w14:textId="4CA64EB8" w:rsidR="00674DFD" w:rsidRDefault="002069B8" w:rsidP="00674DFD">
      <w:r>
        <w:t xml:space="preserve">Private companies </w:t>
      </w:r>
      <w:r w:rsidR="008A3AD0">
        <w:t>increased their share of deals announced in Q</w:t>
      </w:r>
      <w:r w:rsidR="00200214">
        <w:t>2</w:t>
      </w:r>
      <w:r w:rsidR="008A3AD0">
        <w:t xml:space="preserve"> with 5</w:t>
      </w:r>
      <w:r w:rsidR="00200214">
        <w:t>6</w:t>
      </w:r>
      <w:r w:rsidR="008A3AD0">
        <w:t xml:space="preserve">% of all </w:t>
      </w:r>
      <w:r w:rsidR="002A54F6">
        <w:t>transactions</w:t>
      </w:r>
      <w:r w:rsidR="008A3AD0">
        <w:t xml:space="preserve">, up from </w:t>
      </w:r>
      <w:r w:rsidR="00200214">
        <w:t>55</w:t>
      </w:r>
      <w:r w:rsidR="008A3AD0">
        <w:t>% in Q</w:t>
      </w:r>
      <w:r w:rsidR="00200214">
        <w:t>1</w:t>
      </w:r>
      <w:r w:rsidR="008A3AD0">
        <w:t xml:space="preserve">. </w:t>
      </w:r>
      <w:r>
        <w:t xml:space="preserve"> Public companies were involved in </w:t>
      </w:r>
      <w:r w:rsidR="008A3AD0">
        <w:t>2</w:t>
      </w:r>
      <w:r w:rsidR="00200214">
        <w:t>4</w:t>
      </w:r>
      <w:r>
        <w:t xml:space="preserve">% </w:t>
      </w:r>
      <w:r w:rsidR="008A3AD0">
        <w:t>of the deals announced in Q</w:t>
      </w:r>
      <w:r w:rsidR="00200214">
        <w:t>2</w:t>
      </w:r>
      <w:r w:rsidR="008A3AD0">
        <w:t xml:space="preserve">, down </w:t>
      </w:r>
      <w:r w:rsidR="00200214">
        <w:t>25</w:t>
      </w:r>
      <w:r w:rsidR="008A3AD0">
        <w:t>% in Q</w:t>
      </w:r>
      <w:r w:rsidR="00200214">
        <w:t>1</w:t>
      </w:r>
      <w:r w:rsidR="008A3AD0">
        <w:t>. I</w:t>
      </w:r>
      <w:r>
        <w:t xml:space="preserve">nvestors were involved in </w:t>
      </w:r>
      <w:r w:rsidR="008A3AD0">
        <w:t>20% of the deals in Q</w:t>
      </w:r>
      <w:r w:rsidR="00200214">
        <w:t>2</w:t>
      </w:r>
      <w:r w:rsidR="008A3AD0">
        <w:t xml:space="preserve">, </w:t>
      </w:r>
      <w:r w:rsidR="00200214">
        <w:t>unchanged from Q1</w:t>
      </w:r>
      <w:r>
        <w:t>.</w:t>
      </w:r>
    </w:p>
    <w:p w14:paraId="229AC315" w14:textId="77777777" w:rsidR="00674DFD" w:rsidRDefault="00674DFD" w:rsidP="00674DFD"/>
    <w:p w14:paraId="0D5F2537" w14:textId="0CFBA8E5" w:rsidR="009E2CF4" w:rsidRDefault="009D3198" w:rsidP="0016004E">
      <w:pPr>
        <w:jc w:val="center"/>
      </w:pPr>
      <w:r>
        <w:rPr>
          <w:noProof/>
        </w:rPr>
        <w:drawing>
          <wp:inline distT="0" distB="0" distL="0" distR="0" wp14:anchorId="7011CFA2" wp14:editId="204833E5">
            <wp:extent cx="4572635" cy="30054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55C34F" w14:textId="77777777" w:rsidR="002069B8" w:rsidRDefault="002069B8" w:rsidP="0016004E">
      <w:pPr>
        <w:jc w:val="center"/>
      </w:pPr>
    </w:p>
    <w:p w14:paraId="456966D1" w14:textId="77777777" w:rsidR="008273B1" w:rsidRDefault="008273B1">
      <w:pPr>
        <w:rPr>
          <w:rFonts w:asciiTheme="majorHAnsi" w:eastAsiaTheme="majorEastAsia" w:hAnsiTheme="majorHAnsi" w:cstheme="majorBidi"/>
          <w:color w:val="008FD5"/>
          <w:sz w:val="36"/>
          <w:szCs w:val="32"/>
        </w:rPr>
      </w:pPr>
      <w:r>
        <w:br w:type="page"/>
      </w:r>
    </w:p>
    <w:p w14:paraId="09A04420" w14:textId="27E63419" w:rsidR="002069B8" w:rsidRDefault="002069B8" w:rsidP="002069B8">
      <w:pPr>
        <w:pStyle w:val="Heading1"/>
      </w:pPr>
      <w:r>
        <w:lastRenderedPageBreak/>
        <w:t>Deal Activity by Sector</w:t>
      </w:r>
    </w:p>
    <w:p w14:paraId="71B00AEE" w14:textId="66B3DE04" w:rsidR="002069B8" w:rsidRDefault="005237F9" w:rsidP="002069B8">
      <w:r>
        <w:t xml:space="preserve">The </w:t>
      </w:r>
      <w:r w:rsidR="002069B8">
        <w:t xml:space="preserve">Services sector </w:t>
      </w:r>
      <w:r>
        <w:t>continue to be the most active sector during Q</w:t>
      </w:r>
      <w:r w:rsidR="0087545C">
        <w:t>2</w:t>
      </w:r>
      <w:r>
        <w:t xml:space="preserve"> with 1,</w:t>
      </w:r>
      <w:r w:rsidR="0087545C">
        <w:t>479</w:t>
      </w:r>
      <w:r>
        <w:t xml:space="preserve"> deals announced representing 6</w:t>
      </w:r>
      <w:r w:rsidR="0087545C">
        <w:t>1</w:t>
      </w:r>
      <w:r>
        <w:t>% of all deals. This</w:t>
      </w:r>
      <w:r w:rsidR="002B05E3">
        <w:t xml:space="preserve"> represents</w:t>
      </w:r>
      <w:r>
        <w:t xml:space="preserve"> a decrease of </w:t>
      </w:r>
      <w:r w:rsidR="0087545C">
        <w:t>15</w:t>
      </w:r>
      <w:r>
        <w:t>% from Q</w:t>
      </w:r>
      <w:r w:rsidR="0087545C">
        <w:t>1</w:t>
      </w:r>
      <w:r>
        <w:t xml:space="preserve"> when 1,</w:t>
      </w:r>
      <w:r w:rsidR="0087545C">
        <w:t>733</w:t>
      </w:r>
      <w:r>
        <w:t xml:space="preserve"> deals were announced in the Services sector. </w:t>
      </w:r>
      <w:r w:rsidR="002B05E3">
        <w:t xml:space="preserve">The </w:t>
      </w:r>
      <w:r w:rsidR="0087545C">
        <w:t>Manufacturing</w:t>
      </w:r>
      <w:r w:rsidR="002B05E3">
        <w:t xml:space="preserve"> sector was hit hardest in Q</w:t>
      </w:r>
      <w:r w:rsidR="0087545C">
        <w:t>2</w:t>
      </w:r>
      <w:r w:rsidR="002B05E3">
        <w:t xml:space="preserve">, with deal announcements down </w:t>
      </w:r>
      <w:r w:rsidR="0087545C">
        <w:t>16</w:t>
      </w:r>
      <w:r w:rsidR="002B05E3">
        <w:t>% from Q</w:t>
      </w:r>
      <w:r w:rsidR="0087545C">
        <w:t>1</w:t>
      </w:r>
      <w:r w:rsidR="002B05E3">
        <w:t xml:space="preserve">. </w:t>
      </w:r>
      <w:r w:rsidR="00CC0C96">
        <w:t>The next worst performance was</w:t>
      </w:r>
      <w:r w:rsidR="002B05E3">
        <w:t xml:space="preserve"> the </w:t>
      </w:r>
      <w:r w:rsidR="0087545C">
        <w:t>Utilities</w:t>
      </w:r>
      <w:r w:rsidR="002B05E3">
        <w:t xml:space="preserve"> </w:t>
      </w:r>
      <w:r w:rsidR="0087545C">
        <w:t xml:space="preserve">sector </w:t>
      </w:r>
      <w:r w:rsidR="002B05E3">
        <w:t xml:space="preserve">which experienced a decline of </w:t>
      </w:r>
      <w:r w:rsidR="0087545C">
        <w:t>13</w:t>
      </w:r>
      <w:r w:rsidR="002B05E3">
        <w:t>% compared to Q</w:t>
      </w:r>
      <w:r w:rsidR="0087545C">
        <w:t>1</w:t>
      </w:r>
      <w:r w:rsidR="002B05E3">
        <w:t xml:space="preserve">. </w:t>
      </w:r>
      <w:r w:rsidR="002A54F6">
        <w:t>The Financial sector was the lone bright spot, with 39 deals announced in Q1 compared to 34 the prior quarter.</w:t>
      </w:r>
    </w:p>
    <w:p w14:paraId="5D521194" w14:textId="588463B2" w:rsidR="008273B1" w:rsidRPr="008273B1" w:rsidRDefault="002B1D20" w:rsidP="008273B1">
      <w:pPr>
        <w:jc w:val="center"/>
      </w:pPr>
      <w:r>
        <w:rPr>
          <w:noProof/>
        </w:rPr>
        <w:drawing>
          <wp:inline distT="0" distB="0" distL="0" distR="0" wp14:anchorId="3A722921" wp14:editId="279349D6">
            <wp:extent cx="4962525" cy="4334510"/>
            <wp:effectExtent l="0" t="0" r="9525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33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319806" w14:textId="77777777" w:rsidR="00674CE3" w:rsidRDefault="00674CE3">
      <w:pPr>
        <w:rPr>
          <w:rFonts w:asciiTheme="majorHAnsi" w:eastAsiaTheme="majorEastAsia" w:hAnsiTheme="majorHAnsi" w:cstheme="majorBidi"/>
          <w:color w:val="008FD5"/>
          <w:sz w:val="36"/>
          <w:szCs w:val="32"/>
        </w:rPr>
      </w:pPr>
      <w:r>
        <w:br w:type="page"/>
      </w:r>
    </w:p>
    <w:p w14:paraId="27D563D2" w14:textId="23FDDB22" w:rsidR="005A66B1" w:rsidRDefault="00757972" w:rsidP="005A66B1">
      <w:pPr>
        <w:pStyle w:val="Heading1"/>
      </w:pPr>
      <w:r>
        <w:lastRenderedPageBreak/>
        <w:t xml:space="preserve">Public </w:t>
      </w:r>
      <w:r w:rsidR="005A66B1">
        <w:t xml:space="preserve">Strategic Buyer </w:t>
      </w:r>
      <w:r w:rsidR="00A11E1C">
        <w:t>Activity</w:t>
      </w:r>
    </w:p>
    <w:p w14:paraId="57449B9A" w14:textId="04DDD2E1" w:rsidR="00A325EC" w:rsidRDefault="00C73A2C" w:rsidP="005A66B1">
      <w:r>
        <w:t>T</w:t>
      </w:r>
      <w:r w:rsidR="005A66B1">
        <w:t xml:space="preserve">here were </w:t>
      </w:r>
      <w:r w:rsidR="00757972">
        <w:t>536</w:t>
      </w:r>
      <w:r>
        <w:t xml:space="preserve"> different</w:t>
      </w:r>
      <w:r w:rsidR="005A66B1">
        <w:t xml:space="preserve"> </w:t>
      </w:r>
      <w:r w:rsidR="00757972">
        <w:t xml:space="preserve">public </w:t>
      </w:r>
      <w:r w:rsidR="005A66B1">
        <w:t>strategic buyers with acquisition activity</w:t>
      </w:r>
      <w:r>
        <w:t xml:space="preserve"> in Q</w:t>
      </w:r>
      <w:r w:rsidR="00757972">
        <w:t>2</w:t>
      </w:r>
      <w:r w:rsidR="005E5D16">
        <w:t xml:space="preserve">. </w:t>
      </w:r>
      <w:r>
        <w:t xml:space="preserve">This figure is down </w:t>
      </w:r>
      <w:r w:rsidR="00377087">
        <w:t>19</w:t>
      </w:r>
      <w:r>
        <w:t>% from Q</w:t>
      </w:r>
      <w:r w:rsidR="00377087">
        <w:t>1</w:t>
      </w:r>
      <w:r>
        <w:t xml:space="preserve"> when </w:t>
      </w:r>
      <w:r w:rsidR="00377087">
        <w:t>662</w:t>
      </w:r>
      <w:r>
        <w:t xml:space="preserve"> different </w:t>
      </w:r>
      <w:r w:rsidR="000D6C77">
        <w:t xml:space="preserve">public </w:t>
      </w:r>
      <w:r>
        <w:t xml:space="preserve">strategic buyers announced an acquisition. </w:t>
      </w:r>
      <w:r w:rsidR="005E5D16">
        <w:t xml:space="preserve">Below is a chart of the most acquisitive </w:t>
      </w:r>
      <w:r w:rsidR="00757972">
        <w:t xml:space="preserve">public </w:t>
      </w:r>
      <w:r w:rsidR="005E5D16">
        <w:t xml:space="preserve">strategic buyers during the quarter. </w:t>
      </w:r>
    </w:p>
    <w:p w14:paraId="149D5F1F" w14:textId="1D805A72" w:rsidR="00172307" w:rsidRDefault="00757972" w:rsidP="00BA7A2C">
      <w:pPr>
        <w:jc w:val="center"/>
      </w:pPr>
      <w:r>
        <w:rPr>
          <w:noProof/>
        </w:rPr>
        <w:drawing>
          <wp:inline distT="0" distB="0" distL="0" distR="0" wp14:anchorId="78562F7F" wp14:editId="70057C59">
            <wp:extent cx="4572635" cy="47428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474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D0FA99" w14:textId="01B2E8E7" w:rsidR="0052327D" w:rsidRDefault="0052327D" w:rsidP="0052327D">
      <w:pPr>
        <w:rPr>
          <w:color w:val="000000" w:themeColor="text1"/>
        </w:rPr>
      </w:pPr>
    </w:p>
    <w:p w14:paraId="2970B991" w14:textId="77777777" w:rsidR="008273B1" w:rsidRDefault="008273B1">
      <w:pPr>
        <w:rPr>
          <w:rFonts w:asciiTheme="majorHAnsi" w:eastAsiaTheme="majorEastAsia" w:hAnsiTheme="majorHAnsi" w:cstheme="majorBidi"/>
          <w:color w:val="008FD5"/>
          <w:sz w:val="36"/>
          <w:szCs w:val="32"/>
        </w:rPr>
      </w:pPr>
      <w:r>
        <w:br w:type="page"/>
      </w:r>
    </w:p>
    <w:p w14:paraId="725CA2DD" w14:textId="0B3E71DD" w:rsidR="002375D7" w:rsidRDefault="002375D7" w:rsidP="002375D7">
      <w:pPr>
        <w:pStyle w:val="Heading1"/>
      </w:pPr>
      <w:r>
        <w:lastRenderedPageBreak/>
        <w:t>Private Strategic Buyer Activity</w:t>
      </w:r>
    </w:p>
    <w:p w14:paraId="5B5CB69D" w14:textId="31F39A21" w:rsidR="002375D7" w:rsidRDefault="002375D7" w:rsidP="002375D7">
      <w:r>
        <w:t xml:space="preserve">There were </w:t>
      </w:r>
      <w:r w:rsidR="00D12A31">
        <w:t>1,256</w:t>
      </w:r>
      <w:r>
        <w:t xml:space="preserve"> different </w:t>
      </w:r>
      <w:r w:rsidR="00D12A31">
        <w:t>private</w:t>
      </w:r>
      <w:r>
        <w:t xml:space="preserve"> strategic buyers with acquisition activity in Q2. This figure is down </w:t>
      </w:r>
      <w:r w:rsidR="00377087">
        <w:t>10</w:t>
      </w:r>
      <w:r>
        <w:t>% from Q</w:t>
      </w:r>
      <w:r w:rsidR="00073A24">
        <w:t>1</w:t>
      </w:r>
      <w:r>
        <w:t xml:space="preserve"> when </w:t>
      </w:r>
      <w:r w:rsidR="00377087">
        <w:t>1,394</w:t>
      </w:r>
      <w:r>
        <w:t xml:space="preserve"> different </w:t>
      </w:r>
      <w:r w:rsidR="000D6C77">
        <w:t xml:space="preserve">private </w:t>
      </w:r>
      <w:r>
        <w:t xml:space="preserve">strategic buyers announced an acquisition. Below is a chart of the most acquisitive </w:t>
      </w:r>
      <w:r w:rsidR="00D12A31">
        <w:t>private</w:t>
      </w:r>
      <w:r>
        <w:t xml:space="preserve"> strategic buyers during the quarter. </w:t>
      </w:r>
    </w:p>
    <w:p w14:paraId="41298EEB" w14:textId="363F1FF2" w:rsidR="002375D7" w:rsidRDefault="00EC2C30" w:rsidP="002375D7">
      <w:pPr>
        <w:pStyle w:val="Heading1"/>
        <w:jc w:val="center"/>
      </w:pPr>
      <w:r>
        <w:rPr>
          <w:noProof/>
        </w:rPr>
        <w:drawing>
          <wp:inline distT="0" distB="0" distL="0" distR="0" wp14:anchorId="330D57F1" wp14:editId="73985699">
            <wp:extent cx="4572635" cy="574929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574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576BCD" w14:textId="77777777" w:rsidR="002375D7" w:rsidRPr="002375D7" w:rsidRDefault="002375D7" w:rsidP="002375D7"/>
    <w:p w14:paraId="1B597799" w14:textId="77777777" w:rsidR="002375D7" w:rsidRDefault="002375D7">
      <w:pPr>
        <w:rPr>
          <w:rFonts w:asciiTheme="majorHAnsi" w:eastAsiaTheme="majorEastAsia" w:hAnsiTheme="majorHAnsi" w:cstheme="majorBidi"/>
          <w:color w:val="008FD5"/>
          <w:sz w:val="36"/>
          <w:szCs w:val="32"/>
        </w:rPr>
      </w:pPr>
      <w:r>
        <w:br w:type="page"/>
      </w:r>
    </w:p>
    <w:p w14:paraId="029CDA2F" w14:textId="215A2C12" w:rsidR="005E5D16" w:rsidRDefault="005E5D16" w:rsidP="005E5D16">
      <w:pPr>
        <w:pStyle w:val="Heading1"/>
      </w:pPr>
      <w:r>
        <w:lastRenderedPageBreak/>
        <w:t xml:space="preserve">Financial Buyer </w:t>
      </w:r>
      <w:r w:rsidR="00A11E1C">
        <w:t>Activity</w:t>
      </w:r>
    </w:p>
    <w:p w14:paraId="566ADF64" w14:textId="65467958" w:rsidR="005E5D16" w:rsidRDefault="000647BE" w:rsidP="005E5D16">
      <w:r>
        <w:t>T</w:t>
      </w:r>
      <w:r w:rsidR="005E5D16">
        <w:t xml:space="preserve">here were </w:t>
      </w:r>
      <w:r>
        <w:t>3</w:t>
      </w:r>
      <w:r w:rsidR="00AF1AD5">
        <w:t>58</w:t>
      </w:r>
      <w:r>
        <w:t xml:space="preserve"> different financial buyers with deal activity in </w:t>
      </w:r>
      <w:r w:rsidR="00C73A2C">
        <w:t>Q</w:t>
      </w:r>
      <w:r w:rsidR="00AF1AD5">
        <w:t>2</w:t>
      </w:r>
      <w:r w:rsidR="00C73A2C">
        <w:t xml:space="preserve">. This figure is down </w:t>
      </w:r>
      <w:r w:rsidR="00073A24">
        <w:t>9</w:t>
      </w:r>
      <w:r w:rsidR="00C73A2C">
        <w:t>% from Q</w:t>
      </w:r>
      <w:r w:rsidR="00073A24">
        <w:t>1</w:t>
      </w:r>
      <w:r w:rsidR="00C73A2C">
        <w:t xml:space="preserve"> when </w:t>
      </w:r>
      <w:r w:rsidR="00073A24">
        <w:t>392</w:t>
      </w:r>
      <w:r w:rsidR="005E5D16">
        <w:t xml:space="preserve"> </w:t>
      </w:r>
      <w:r w:rsidR="00C73A2C">
        <w:t xml:space="preserve">different </w:t>
      </w:r>
      <w:r w:rsidR="005E5D16">
        <w:t xml:space="preserve">financial buyers </w:t>
      </w:r>
      <w:r w:rsidR="00C73A2C">
        <w:t>had</w:t>
      </w:r>
      <w:r w:rsidR="005E5D16">
        <w:t xml:space="preserve"> deal activity. Below is a chart of the most active financial buyers during the quarter. </w:t>
      </w:r>
    </w:p>
    <w:p w14:paraId="01AA3144" w14:textId="4DAE7F9A" w:rsidR="008273B1" w:rsidRPr="0035683B" w:rsidRDefault="003D5A47" w:rsidP="0035683B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87013F9" wp14:editId="3CAA8A82">
            <wp:extent cx="4572635" cy="68707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687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105B73" w14:textId="314952E0" w:rsidR="00651DAB" w:rsidRDefault="00651DAB" w:rsidP="00651DAB">
      <w:pPr>
        <w:pStyle w:val="Heading1"/>
      </w:pPr>
      <w:r>
        <w:lastRenderedPageBreak/>
        <w:t xml:space="preserve">Financial Advisor </w:t>
      </w:r>
      <w:r w:rsidR="00A11E1C">
        <w:t>Activity</w:t>
      </w:r>
    </w:p>
    <w:p w14:paraId="5B52D709" w14:textId="4681DA76" w:rsidR="00651DAB" w:rsidRDefault="00752CF2" w:rsidP="00651DAB">
      <w:r>
        <w:t>T</w:t>
      </w:r>
      <w:r w:rsidR="00651DAB">
        <w:t xml:space="preserve">here were </w:t>
      </w:r>
      <w:r>
        <w:t>3</w:t>
      </w:r>
      <w:r w:rsidR="00F51007">
        <w:t>63</w:t>
      </w:r>
      <w:r>
        <w:t xml:space="preserve"> </w:t>
      </w:r>
      <w:r w:rsidR="00550297">
        <w:t>different</w:t>
      </w:r>
      <w:r>
        <w:t xml:space="preserve"> </w:t>
      </w:r>
      <w:r w:rsidR="00651DAB">
        <w:t xml:space="preserve">financial </w:t>
      </w:r>
      <w:r w:rsidR="00146251">
        <w:t>advisors</w:t>
      </w:r>
      <w:r w:rsidR="00651DAB">
        <w:t xml:space="preserve"> </w:t>
      </w:r>
      <w:r>
        <w:t>disclosed</w:t>
      </w:r>
      <w:r w:rsidR="00146251">
        <w:t xml:space="preserve"> </w:t>
      </w:r>
      <w:r>
        <w:t>on 9</w:t>
      </w:r>
      <w:r w:rsidR="00F51007">
        <w:t>94</w:t>
      </w:r>
      <w:r w:rsidR="00146251">
        <w:t xml:space="preserve"> </w:t>
      </w:r>
      <w:r>
        <w:t>transactions during Q</w:t>
      </w:r>
      <w:r w:rsidR="00F51007">
        <w:t>2</w:t>
      </w:r>
      <w:r w:rsidR="00651DAB">
        <w:t xml:space="preserve">. </w:t>
      </w:r>
      <w:r w:rsidR="00550297">
        <w:t xml:space="preserve">This figure is </w:t>
      </w:r>
      <w:r w:rsidR="00073A24">
        <w:t>up</w:t>
      </w:r>
      <w:r w:rsidR="00550297">
        <w:t xml:space="preserve"> </w:t>
      </w:r>
      <w:r w:rsidR="00073A24">
        <w:t>4</w:t>
      </w:r>
      <w:r w:rsidR="00550297">
        <w:t>% from Q</w:t>
      </w:r>
      <w:r w:rsidR="00073A24">
        <w:t>1</w:t>
      </w:r>
      <w:r w:rsidR="00550297">
        <w:t xml:space="preserve"> when </w:t>
      </w:r>
      <w:r w:rsidR="00073A24">
        <w:t>349</w:t>
      </w:r>
      <w:r w:rsidR="00550297">
        <w:t xml:space="preserve"> different financial advisors were disclosed in transactions. </w:t>
      </w:r>
      <w:r w:rsidR="00651DAB">
        <w:t xml:space="preserve">Below is a chart of the most active financial </w:t>
      </w:r>
      <w:r w:rsidR="00146251">
        <w:t>advisors</w:t>
      </w:r>
      <w:r w:rsidR="00651DAB">
        <w:t xml:space="preserve"> during the quarter. </w:t>
      </w:r>
    </w:p>
    <w:p w14:paraId="51050840" w14:textId="6EE791F2" w:rsidR="00F03302" w:rsidRDefault="009E3E6A" w:rsidP="00166C08">
      <w:pPr>
        <w:jc w:val="center"/>
      </w:pPr>
      <w:r>
        <w:rPr>
          <w:noProof/>
        </w:rPr>
        <w:drawing>
          <wp:inline distT="0" distB="0" distL="0" distR="0" wp14:anchorId="3FBD465C" wp14:editId="0C77E70D">
            <wp:extent cx="4572635" cy="66878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668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0D3A46" w14:textId="08179B40" w:rsidR="008273B1" w:rsidRDefault="008273B1">
      <w:pPr>
        <w:rPr>
          <w:rFonts w:asciiTheme="majorHAnsi" w:eastAsiaTheme="majorEastAsia" w:hAnsiTheme="majorHAnsi" w:cstheme="majorBidi"/>
          <w:color w:val="008FD5"/>
          <w:sz w:val="36"/>
          <w:szCs w:val="32"/>
        </w:rPr>
      </w:pPr>
    </w:p>
    <w:p w14:paraId="306764EF" w14:textId="50E66134" w:rsidR="00146251" w:rsidRDefault="00146251" w:rsidP="00146251">
      <w:pPr>
        <w:pStyle w:val="Heading1"/>
      </w:pPr>
      <w:r>
        <w:lastRenderedPageBreak/>
        <w:t xml:space="preserve">Legal Advisor </w:t>
      </w:r>
      <w:r w:rsidR="00A11E1C">
        <w:t>Activity</w:t>
      </w:r>
    </w:p>
    <w:p w14:paraId="0997E784" w14:textId="4777D161" w:rsidR="00146251" w:rsidRDefault="00F454BB" w:rsidP="00146251">
      <w:r>
        <w:t>T</w:t>
      </w:r>
      <w:r w:rsidR="00146251">
        <w:t xml:space="preserve">here were </w:t>
      </w:r>
      <w:r w:rsidR="000B7F3A">
        <w:t>33</w:t>
      </w:r>
      <w:r w:rsidR="00506CE5">
        <w:t>6</w:t>
      </w:r>
      <w:r w:rsidR="000B7F3A">
        <w:t xml:space="preserve"> </w:t>
      </w:r>
      <w:r w:rsidR="00550297">
        <w:t>different</w:t>
      </w:r>
      <w:r>
        <w:t xml:space="preserve"> </w:t>
      </w:r>
      <w:r w:rsidR="00146251">
        <w:t xml:space="preserve">legal advisors </w:t>
      </w:r>
      <w:r>
        <w:t>disclosed</w:t>
      </w:r>
      <w:r w:rsidR="00146251">
        <w:t xml:space="preserve"> </w:t>
      </w:r>
      <w:r w:rsidR="00550297">
        <w:t>in</w:t>
      </w:r>
      <w:r w:rsidR="00146251">
        <w:t xml:space="preserve"> </w:t>
      </w:r>
      <w:r w:rsidR="00506CE5">
        <w:t>986</w:t>
      </w:r>
      <w:r w:rsidR="00550297">
        <w:t xml:space="preserve"> </w:t>
      </w:r>
      <w:r>
        <w:t>transactions during Q</w:t>
      </w:r>
      <w:r w:rsidR="00506CE5">
        <w:t>2</w:t>
      </w:r>
      <w:r w:rsidR="00146251">
        <w:t xml:space="preserve">. </w:t>
      </w:r>
      <w:r w:rsidR="000B7F3A">
        <w:t xml:space="preserve">This </w:t>
      </w:r>
      <w:r>
        <w:t xml:space="preserve">figure </w:t>
      </w:r>
      <w:r w:rsidR="000B7F3A">
        <w:t xml:space="preserve">is </w:t>
      </w:r>
      <w:r>
        <w:t xml:space="preserve">down </w:t>
      </w:r>
      <w:r w:rsidR="000B7F3A">
        <w:t>1% from Q</w:t>
      </w:r>
      <w:r w:rsidR="00073A24">
        <w:t>1</w:t>
      </w:r>
      <w:r w:rsidR="000B7F3A">
        <w:t xml:space="preserve"> when 3</w:t>
      </w:r>
      <w:r w:rsidR="00073A24">
        <w:t>39</w:t>
      </w:r>
      <w:r w:rsidR="000B7F3A">
        <w:t xml:space="preserve"> </w:t>
      </w:r>
      <w:r w:rsidR="00550297">
        <w:t>different</w:t>
      </w:r>
      <w:r w:rsidR="000B7F3A">
        <w:t xml:space="preserve"> legal advisors </w:t>
      </w:r>
      <w:r>
        <w:t>were disclosed in transactions</w:t>
      </w:r>
      <w:r w:rsidR="000B7F3A">
        <w:t>. B</w:t>
      </w:r>
      <w:r w:rsidR="00146251">
        <w:t xml:space="preserve">elow is a chart of the most active legal advisors during the quarter. </w:t>
      </w:r>
    </w:p>
    <w:p w14:paraId="3DA5A3C9" w14:textId="5D938019" w:rsidR="002308A9" w:rsidRPr="00321666" w:rsidRDefault="00321666" w:rsidP="00321666">
      <w:pPr>
        <w:jc w:val="center"/>
      </w:pPr>
      <w:r>
        <w:rPr>
          <w:noProof/>
        </w:rPr>
        <w:drawing>
          <wp:inline distT="0" distB="0" distL="0" distR="0" wp14:anchorId="1DE9FB0D" wp14:editId="50AA6C22">
            <wp:extent cx="4572635" cy="6913245"/>
            <wp:effectExtent l="0" t="0" r="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691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D5FB3" w14:textId="386CB697" w:rsidR="00005111" w:rsidRPr="0017465F" w:rsidRDefault="00005111" w:rsidP="001475FF">
      <w:pPr>
        <w:pStyle w:val="Heading1"/>
      </w:pPr>
      <w:r w:rsidRPr="0017465F">
        <w:lastRenderedPageBreak/>
        <w:t>About This Report</w:t>
      </w:r>
    </w:p>
    <w:p w14:paraId="32A5BD6B" w14:textId="1C1BDC95" w:rsidR="00A00EBD" w:rsidRDefault="00BB34CA" w:rsidP="004C20AB">
      <w:r w:rsidRPr="0017465F">
        <w:t xml:space="preserve">The </w:t>
      </w:r>
      <w:r w:rsidRPr="0017465F">
        <w:rPr>
          <w:i/>
        </w:rPr>
        <w:t xml:space="preserve">Quarterly </w:t>
      </w:r>
      <w:r w:rsidR="005D307F">
        <w:rPr>
          <w:i/>
        </w:rPr>
        <w:t xml:space="preserve">M&amp;A </w:t>
      </w:r>
      <w:r w:rsidRPr="0017465F">
        <w:rPr>
          <w:i/>
        </w:rPr>
        <w:t>Update</w:t>
      </w:r>
      <w:r w:rsidRPr="0017465F">
        <w:t xml:space="preserve"> is a free publication sponsored by TagniFi. You are free to share this report</w:t>
      </w:r>
      <w:r w:rsidR="005D307F">
        <w:t xml:space="preserve"> with your colleagues and clients</w:t>
      </w:r>
      <w:r w:rsidRPr="0017465F">
        <w:t xml:space="preserve">. </w:t>
      </w:r>
      <w:r w:rsidR="005D307F">
        <w:t xml:space="preserve">In fact, we would appreciate it if you </w:t>
      </w:r>
      <w:r w:rsidR="00A00EBD">
        <w:t>w</w:t>
      </w:r>
      <w:r w:rsidR="005D307F">
        <w:t>ould p</w:t>
      </w:r>
      <w:r w:rsidRPr="0017465F">
        <w:t xml:space="preserve">lease forward this </w:t>
      </w:r>
      <w:r w:rsidR="00DF67C7" w:rsidRPr="0017465F">
        <w:t xml:space="preserve">free </w:t>
      </w:r>
      <w:r w:rsidRPr="0017465F">
        <w:t xml:space="preserve">report </w:t>
      </w:r>
      <w:r w:rsidR="005D307F">
        <w:t xml:space="preserve">to a few friends </w:t>
      </w:r>
      <w:r w:rsidR="00DF67C7" w:rsidRPr="0017465F">
        <w:t>to help us spread the word about TagniFi</w:t>
      </w:r>
      <w:r w:rsidR="000A2FC1">
        <w:t xml:space="preserve"> as an alternative data platform</w:t>
      </w:r>
      <w:r w:rsidRPr="0017465F">
        <w:t>.</w:t>
      </w:r>
      <w:r w:rsidR="000A2FC1">
        <w:t xml:space="preserve"> Learn more or request a demo at </w:t>
      </w:r>
      <w:hyperlink r:id="rId21" w:history="1">
        <w:r w:rsidR="000A2FC1" w:rsidRPr="000A2FC1">
          <w:rPr>
            <w:rStyle w:val="Hyperlink"/>
          </w:rPr>
          <w:t>tagnifi.com</w:t>
        </w:r>
      </w:hyperlink>
      <w:r w:rsidR="000A2FC1">
        <w:t>.</w:t>
      </w:r>
    </w:p>
    <w:p w14:paraId="3556DF73" w14:textId="5389D548" w:rsidR="004E080A" w:rsidRDefault="004E080A" w:rsidP="004C20AB">
      <w:r>
        <w:t>As of the date of this report, the TagniFi platform includes data on the following:</w:t>
      </w:r>
    </w:p>
    <w:p w14:paraId="69C7FF86" w14:textId="6AC903EB" w:rsidR="004E080A" w:rsidRDefault="008542A4" w:rsidP="004E080A">
      <w:pPr>
        <w:pStyle w:val="ListParagraph"/>
        <w:numPr>
          <w:ilvl w:val="0"/>
          <w:numId w:val="6"/>
        </w:numPr>
      </w:pPr>
      <w:r>
        <w:t>9,034</w:t>
      </w:r>
      <w:r w:rsidR="004E080A">
        <w:t xml:space="preserve"> public companies</w:t>
      </w:r>
    </w:p>
    <w:p w14:paraId="7787270D" w14:textId="605F188B" w:rsidR="004E080A" w:rsidRDefault="008542A4" w:rsidP="004E080A">
      <w:pPr>
        <w:pStyle w:val="ListParagraph"/>
        <w:numPr>
          <w:ilvl w:val="0"/>
          <w:numId w:val="6"/>
        </w:numPr>
      </w:pPr>
      <w:r>
        <w:t>657,491</w:t>
      </w:r>
      <w:r w:rsidR="00ED6E73">
        <w:t xml:space="preserve"> private companies</w:t>
      </w:r>
    </w:p>
    <w:p w14:paraId="20549A85" w14:textId="57018487" w:rsidR="004E080A" w:rsidRDefault="008542A4" w:rsidP="004E080A">
      <w:pPr>
        <w:pStyle w:val="ListParagraph"/>
        <w:numPr>
          <w:ilvl w:val="0"/>
          <w:numId w:val="6"/>
        </w:numPr>
      </w:pPr>
      <w:r>
        <w:t>54,395</w:t>
      </w:r>
      <w:r w:rsidR="004E080A">
        <w:t xml:space="preserve"> M&amp;A transactions</w:t>
      </w:r>
    </w:p>
    <w:p w14:paraId="0F005B50" w14:textId="21860BF5" w:rsidR="004E080A" w:rsidRDefault="008542A4" w:rsidP="004E080A">
      <w:pPr>
        <w:pStyle w:val="ListParagraph"/>
        <w:numPr>
          <w:ilvl w:val="0"/>
          <w:numId w:val="6"/>
        </w:numPr>
      </w:pPr>
      <w:r>
        <w:t>5,043</w:t>
      </w:r>
      <w:r w:rsidR="004E080A">
        <w:t xml:space="preserve"> private equity investors</w:t>
      </w:r>
    </w:p>
    <w:p w14:paraId="21F924DB" w14:textId="240313B0" w:rsidR="004E080A" w:rsidRDefault="008542A4" w:rsidP="004E080A">
      <w:pPr>
        <w:pStyle w:val="ListParagraph"/>
        <w:numPr>
          <w:ilvl w:val="0"/>
          <w:numId w:val="6"/>
        </w:numPr>
      </w:pPr>
      <w:r>
        <w:t>2,015</w:t>
      </w:r>
      <w:r w:rsidR="004E080A">
        <w:t xml:space="preserve"> financial (M&amp;A) advisors</w:t>
      </w:r>
    </w:p>
    <w:p w14:paraId="03C4E812" w14:textId="3A677922" w:rsidR="004E080A" w:rsidRDefault="004E080A" w:rsidP="004E080A">
      <w:pPr>
        <w:pStyle w:val="ListParagraph"/>
        <w:numPr>
          <w:ilvl w:val="0"/>
          <w:numId w:val="6"/>
        </w:numPr>
      </w:pPr>
      <w:r>
        <w:t>1,</w:t>
      </w:r>
      <w:r w:rsidR="008542A4">
        <w:t>837</w:t>
      </w:r>
      <w:r>
        <w:t xml:space="preserve"> legal advisors</w:t>
      </w:r>
    </w:p>
    <w:p w14:paraId="037A5AA0" w14:textId="3F517C1A" w:rsidR="004E080A" w:rsidRDefault="004E080A" w:rsidP="004E080A">
      <w:pPr>
        <w:pStyle w:val="ListParagraph"/>
        <w:numPr>
          <w:ilvl w:val="0"/>
          <w:numId w:val="6"/>
        </w:numPr>
      </w:pPr>
      <w:r>
        <w:t>2</w:t>
      </w:r>
      <w:r w:rsidR="009151B7">
        <w:t>6,</w:t>
      </w:r>
      <w:r w:rsidR="008542A4">
        <w:t>730</w:t>
      </w:r>
      <w:r>
        <w:t xml:space="preserve"> private equity </w:t>
      </w:r>
      <w:r w:rsidR="009151B7">
        <w:t>bios</w:t>
      </w:r>
    </w:p>
    <w:p w14:paraId="542AD44E" w14:textId="75A2DB69" w:rsidR="004E080A" w:rsidRDefault="004E080A" w:rsidP="004E080A">
      <w:pPr>
        <w:pStyle w:val="ListParagraph"/>
        <w:numPr>
          <w:ilvl w:val="0"/>
          <w:numId w:val="6"/>
        </w:numPr>
      </w:pPr>
      <w:r>
        <w:t>1</w:t>
      </w:r>
      <w:r w:rsidR="009151B7">
        <w:t>5,</w:t>
      </w:r>
      <w:r w:rsidR="008542A4">
        <w:t>593</w:t>
      </w:r>
      <w:r>
        <w:t xml:space="preserve"> </w:t>
      </w:r>
      <w:r w:rsidR="009151B7">
        <w:t xml:space="preserve">financial and legal </w:t>
      </w:r>
      <w:r>
        <w:t xml:space="preserve">advisor </w:t>
      </w:r>
      <w:r w:rsidR="009151B7">
        <w:t>bios</w:t>
      </w:r>
    </w:p>
    <w:p w14:paraId="0573FB2E" w14:textId="549398AC" w:rsidR="00ED6E73" w:rsidRDefault="00ED6E73" w:rsidP="004E080A">
      <w:pPr>
        <w:pStyle w:val="ListParagraph"/>
        <w:numPr>
          <w:ilvl w:val="0"/>
          <w:numId w:val="6"/>
        </w:numPr>
      </w:pPr>
      <w:r>
        <w:t>812,576 economic and industry time series</w:t>
      </w:r>
    </w:p>
    <w:p w14:paraId="3D54D806" w14:textId="77777777" w:rsidR="009C151B" w:rsidRDefault="009C151B" w:rsidP="009C151B">
      <w:pPr>
        <w:pStyle w:val="ListParagraph"/>
      </w:pPr>
    </w:p>
    <w:p w14:paraId="3CBBC851" w14:textId="75877E4B" w:rsidR="00A00EBD" w:rsidRPr="000A2FC1" w:rsidRDefault="00A00EBD" w:rsidP="004C20AB">
      <w:r>
        <w:rPr>
          <w:noProof/>
        </w:rPr>
        <w:drawing>
          <wp:inline distT="0" distB="0" distL="0" distR="0" wp14:anchorId="33A2C9EF" wp14:editId="511C66FC">
            <wp:extent cx="5800725" cy="4168257"/>
            <wp:effectExtent l="0" t="0" r="0" b="3810"/>
            <wp:docPr id="17" name="Picture 1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5730" b="5902"/>
                    <a:stretch/>
                  </pic:blipFill>
                  <pic:spPr bwMode="auto">
                    <a:xfrm>
                      <a:off x="0" y="0"/>
                      <a:ext cx="5826798" cy="418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0EBD" w:rsidRPr="000A2FC1" w:rsidSect="00005111">
      <w:headerReference w:type="default" r:id="rId23"/>
      <w:footerReference w:type="default" r:id="rId24"/>
      <w:footerReference w:type="first" r:id="rId2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F9FA" w14:textId="77777777" w:rsidR="00CD382C" w:rsidRDefault="00CD382C" w:rsidP="00171C8E">
      <w:pPr>
        <w:spacing w:after="0" w:line="240" w:lineRule="auto"/>
      </w:pPr>
      <w:r>
        <w:separator/>
      </w:r>
    </w:p>
  </w:endnote>
  <w:endnote w:type="continuationSeparator" w:id="0">
    <w:p w14:paraId="579ED93E" w14:textId="77777777" w:rsidR="00CD382C" w:rsidRDefault="00CD382C" w:rsidP="0017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5FE8" w14:textId="7F5A902A" w:rsidR="00111911" w:rsidRDefault="00111911">
    <w:pPr>
      <w:pStyle w:val="Footer"/>
    </w:pPr>
    <w:r>
      <w:t>© 202</w:t>
    </w:r>
    <w:r w:rsidR="00562D7D">
      <w:t>2</w:t>
    </w:r>
    <w:r>
      <w:t xml:space="preserve"> TagniFi, LLC. All rights reserved.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AF58" w14:textId="5EAC5F17" w:rsidR="00111911" w:rsidRDefault="00111911">
    <w:pPr>
      <w:pStyle w:val="Footer"/>
    </w:pPr>
    <w:r>
      <w:t>TagniFi.com</w:t>
    </w:r>
    <w:r>
      <w:tab/>
    </w:r>
    <w:r>
      <w:tab/>
      <w:t>800-TagniFi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2F4B" w14:textId="77777777" w:rsidR="00CD382C" w:rsidRDefault="00CD382C" w:rsidP="00171C8E">
      <w:pPr>
        <w:spacing w:after="0" w:line="240" w:lineRule="auto"/>
      </w:pPr>
      <w:r>
        <w:separator/>
      </w:r>
    </w:p>
  </w:footnote>
  <w:footnote w:type="continuationSeparator" w:id="0">
    <w:p w14:paraId="2BCEE241" w14:textId="77777777" w:rsidR="00CD382C" w:rsidRDefault="00CD382C" w:rsidP="0017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5FE7" w14:textId="1D7B8E6A" w:rsidR="00111911" w:rsidRPr="00460436" w:rsidRDefault="00111911" w:rsidP="00460436">
    <w:pPr>
      <w:pStyle w:val="Header"/>
      <w:jc w:val="right"/>
      <w:rPr>
        <w:rStyle w:val="IntenseEmphasis"/>
      </w:rPr>
    </w:pPr>
    <w:r w:rsidRPr="00460436">
      <w:rPr>
        <w:rStyle w:val="IntenseEmphasis"/>
      </w:rPr>
      <w:t xml:space="preserve">Quarterly </w:t>
    </w:r>
    <w:r w:rsidR="00854DE2">
      <w:rPr>
        <w:rStyle w:val="IntenseEmphasis"/>
      </w:rPr>
      <w:t>M&amp;A</w:t>
    </w:r>
    <w:r w:rsidRPr="00460436">
      <w:rPr>
        <w:rStyle w:val="IntenseEmphasis"/>
      </w:rPr>
      <w:t xml:space="preserve"> 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D28"/>
    <w:multiLevelType w:val="hybridMultilevel"/>
    <w:tmpl w:val="3CC4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252BC"/>
    <w:multiLevelType w:val="hybridMultilevel"/>
    <w:tmpl w:val="98CC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54B19"/>
    <w:multiLevelType w:val="hybridMultilevel"/>
    <w:tmpl w:val="82C2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907BB"/>
    <w:multiLevelType w:val="hybridMultilevel"/>
    <w:tmpl w:val="A0F67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E6018"/>
    <w:multiLevelType w:val="hybridMultilevel"/>
    <w:tmpl w:val="62A6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49F8"/>
    <w:multiLevelType w:val="hybridMultilevel"/>
    <w:tmpl w:val="C388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862864">
    <w:abstractNumId w:val="2"/>
  </w:num>
  <w:num w:numId="2" w16cid:durableId="1151945179">
    <w:abstractNumId w:val="3"/>
  </w:num>
  <w:num w:numId="3" w16cid:durableId="1047527535">
    <w:abstractNumId w:val="0"/>
  </w:num>
  <w:num w:numId="4" w16cid:durableId="44985479">
    <w:abstractNumId w:val="4"/>
  </w:num>
  <w:num w:numId="5" w16cid:durableId="342247420">
    <w:abstractNumId w:val="5"/>
  </w:num>
  <w:num w:numId="6" w16cid:durableId="410785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11"/>
    <w:rsid w:val="0000055B"/>
    <w:rsid w:val="000017CB"/>
    <w:rsid w:val="00005111"/>
    <w:rsid w:val="00014CBA"/>
    <w:rsid w:val="00021EA4"/>
    <w:rsid w:val="00022BB4"/>
    <w:rsid w:val="000248D0"/>
    <w:rsid w:val="00024E64"/>
    <w:rsid w:val="0002602B"/>
    <w:rsid w:val="0002760A"/>
    <w:rsid w:val="00027E1E"/>
    <w:rsid w:val="00030ECA"/>
    <w:rsid w:val="0003136B"/>
    <w:rsid w:val="000322F4"/>
    <w:rsid w:val="00033B75"/>
    <w:rsid w:val="00035810"/>
    <w:rsid w:val="00035F0C"/>
    <w:rsid w:val="0003611B"/>
    <w:rsid w:val="0004306B"/>
    <w:rsid w:val="00046A04"/>
    <w:rsid w:val="00047034"/>
    <w:rsid w:val="00047E74"/>
    <w:rsid w:val="0005198D"/>
    <w:rsid w:val="00052F94"/>
    <w:rsid w:val="00053E46"/>
    <w:rsid w:val="0005726F"/>
    <w:rsid w:val="00057711"/>
    <w:rsid w:val="00060AA5"/>
    <w:rsid w:val="00061DAA"/>
    <w:rsid w:val="000644DB"/>
    <w:rsid w:val="000647BE"/>
    <w:rsid w:val="000650B3"/>
    <w:rsid w:val="00065E14"/>
    <w:rsid w:val="00071875"/>
    <w:rsid w:val="00072C36"/>
    <w:rsid w:val="000738AD"/>
    <w:rsid w:val="00073A24"/>
    <w:rsid w:val="00074123"/>
    <w:rsid w:val="000742F7"/>
    <w:rsid w:val="0007515A"/>
    <w:rsid w:val="00076850"/>
    <w:rsid w:val="000807FF"/>
    <w:rsid w:val="0008199A"/>
    <w:rsid w:val="00084604"/>
    <w:rsid w:val="00084608"/>
    <w:rsid w:val="00084C45"/>
    <w:rsid w:val="00086DBA"/>
    <w:rsid w:val="000874E3"/>
    <w:rsid w:val="00090DA6"/>
    <w:rsid w:val="00093D9A"/>
    <w:rsid w:val="00093EF4"/>
    <w:rsid w:val="0009699C"/>
    <w:rsid w:val="000A0001"/>
    <w:rsid w:val="000A0FCA"/>
    <w:rsid w:val="000A1224"/>
    <w:rsid w:val="000A239B"/>
    <w:rsid w:val="000A2C4B"/>
    <w:rsid w:val="000A2FC1"/>
    <w:rsid w:val="000A3240"/>
    <w:rsid w:val="000A79DC"/>
    <w:rsid w:val="000B0583"/>
    <w:rsid w:val="000B0B86"/>
    <w:rsid w:val="000B42F9"/>
    <w:rsid w:val="000B4F85"/>
    <w:rsid w:val="000B5DA2"/>
    <w:rsid w:val="000B6EBB"/>
    <w:rsid w:val="000B7F3A"/>
    <w:rsid w:val="000C1495"/>
    <w:rsid w:val="000C19DD"/>
    <w:rsid w:val="000C2E7D"/>
    <w:rsid w:val="000C6EEB"/>
    <w:rsid w:val="000C6F08"/>
    <w:rsid w:val="000C71C7"/>
    <w:rsid w:val="000D47AB"/>
    <w:rsid w:val="000D4973"/>
    <w:rsid w:val="000D5719"/>
    <w:rsid w:val="000D646D"/>
    <w:rsid w:val="000D6C77"/>
    <w:rsid w:val="000D6C7F"/>
    <w:rsid w:val="000D7BDC"/>
    <w:rsid w:val="000E1BAA"/>
    <w:rsid w:val="000E3192"/>
    <w:rsid w:val="000E5860"/>
    <w:rsid w:val="000E6060"/>
    <w:rsid w:val="000E6A61"/>
    <w:rsid w:val="000F1648"/>
    <w:rsid w:val="000F4AC6"/>
    <w:rsid w:val="000F59FF"/>
    <w:rsid w:val="000F6AA6"/>
    <w:rsid w:val="000F6E0B"/>
    <w:rsid w:val="001009B9"/>
    <w:rsid w:val="00100DF8"/>
    <w:rsid w:val="00102080"/>
    <w:rsid w:val="0010260B"/>
    <w:rsid w:val="00105413"/>
    <w:rsid w:val="00105A55"/>
    <w:rsid w:val="00107AB4"/>
    <w:rsid w:val="001116CA"/>
    <w:rsid w:val="00111911"/>
    <w:rsid w:val="00111974"/>
    <w:rsid w:val="00113C90"/>
    <w:rsid w:val="001149CD"/>
    <w:rsid w:val="00115717"/>
    <w:rsid w:val="00116B91"/>
    <w:rsid w:val="00117BB0"/>
    <w:rsid w:val="00121E2F"/>
    <w:rsid w:val="00122842"/>
    <w:rsid w:val="001235D8"/>
    <w:rsid w:val="001277B9"/>
    <w:rsid w:val="00130055"/>
    <w:rsid w:val="00131885"/>
    <w:rsid w:val="00134A21"/>
    <w:rsid w:val="00140712"/>
    <w:rsid w:val="00140763"/>
    <w:rsid w:val="00140FEE"/>
    <w:rsid w:val="001451F8"/>
    <w:rsid w:val="001460CC"/>
    <w:rsid w:val="00146251"/>
    <w:rsid w:val="00147561"/>
    <w:rsid w:val="001475FF"/>
    <w:rsid w:val="0015037B"/>
    <w:rsid w:val="001511FF"/>
    <w:rsid w:val="00153FBB"/>
    <w:rsid w:val="001545F2"/>
    <w:rsid w:val="00155E88"/>
    <w:rsid w:val="00156FE4"/>
    <w:rsid w:val="0016004E"/>
    <w:rsid w:val="0016088B"/>
    <w:rsid w:val="00162E77"/>
    <w:rsid w:val="00163F37"/>
    <w:rsid w:val="00164566"/>
    <w:rsid w:val="0016688A"/>
    <w:rsid w:val="00166C08"/>
    <w:rsid w:val="00166F90"/>
    <w:rsid w:val="00171C8E"/>
    <w:rsid w:val="00172307"/>
    <w:rsid w:val="001737B6"/>
    <w:rsid w:val="00173812"/>
    <w:rsid w:val="001744C6"/>
    <w:rsid w:val="0017465F"/>
    <w:rsid w:val="00174B44"/>
    <w:rsid w:val="00174BCD"/>
    <w:rsid w:val="00174CC3"/>
    <w:rsid w:val="001756EC"/>
    <w:rsid w:val="0017576B"/>
    <w:rsid w:val="00176C00"/>
    <w:rsid w:val="001773AA"/>
    <w:rsid w:val="0018096F"/>
    <w:rsid w:val="00180CA9"/>
    <w:rsid w:val="001819E6"/>
    <w:rsid w:val="00183B61"/>
    <w:rsid w:val="00186318"/>
    <w:rsid w:val="00186873"/>
    <w:rsid w:val="001868CB"/>
    <w:rsid w:val="00187669"/>
    <w:rsid w:val="00193436"/>
    <w:rsid w:val="00195B12"/>
    <w:rsid w:val="001A3FBA"/>
    <w:rsid w:val="001A4F9E"/>
    <w:rsid w:val="001A6C86"/>
    <w:rsid w:val="001A78D6"/>
    <w:rsid w:val="001B1490"/>
    <w:rsid w:val="001B4B76"/>
    <w:rsid w:val="001C0F2A"/>
    <w:rsid w:val="001C1070"/>
    <w:rsid w:val="001C14A1"/>
    <w:rsid w:val="001C2541"/>
    <w:rsid w:val="001C38B9"/>
    <w:rsid w:val="001C7617"/>
    <w:rsid w:val="001D0E51"/>
    <w:rsid w:val="001D7D8D"/>
    <w:rsid w:val="001E04F8"/>
    <w:rsid w:val="001E15B0"/>
    <w:rsid w:val="001E26E8"/>
    <w:rsid w:val="001E42A6"/>
    <w:rsid w:val="001E6FCC"/>
    <w:rsid w:val="001E7445"/>
    <w:rsid w:val="001F4E3D"/>
    <w:rsid w:val="001F7970"/>
    <w:rsid w:val="00200214"/>
    <w:rsid w:val="0020145F"/>
    <w:rsid w:val="00204D9D"/>
    <w:rsid w:val="002069B8"/>
    <w:rsid w:val="002129A1"/>
    <w:rsid w:val="0021377C"/>
    <w:rsid w:val="00216195"/>
    <w:rsid w:val="00217AD5"/>
    <w:rsid w:val="00220B63"/>
    <w:rsid w:val="002219B5"/>
    <w:rsid w:val="0022226D"/>
    <w:rsid w:val="002308A9"/>
    <w:rsid w:val="00230D29"/>
    <w:rsid w:val="00231FA3"/>
    <w:rsid w:val="00232336"/>
    <w:rsid w:val="00234F94"/>
    <w:rsid w:val="002361FB"/>
    <w:rsid w:val="00236B68"/>
    <w:rsid w:val="002375D7"/>
    <w:rsid w:val="00237893"/>
    <w:rsid w:val="00237901"/>
    <w:rsid w:val="00237E71"/>
    <w:rsid w:val="002406D9"/>
    <w:rsid w:val="002435D7"/>
    <w:rsid w:val="00244C4D"/>
    <w:rsid w:val="00245903"/>
    <w:rsid w:val="002502D5"/>
    <w:rsid w:val="00250313"/>
    <w:rsid w:val="002516C6"/>
    <w:rsid w:val="002521FF"/>
    <w:rsid w:val="0025222E"/>
    <w:rsid w:val="00252A9B"/>
    <w:rsid w:val="00254176"/>
    <w:rsid w:val="00255530"/>
    <w:rsid w:val="00255C32"/>
    <w:rsid w:val="0025666D"/>
    <w:rsid w:val="00257944"/>
    <w:rsid w:val="002608F3"/>
    <w:rsid w:val="0026329B"/>
    <w:rsid w:val="00265131"/>
    <w:rsid w:val="0026599C"/>
    <w:rsid w:val="002731EF"/>
    <w:rsid w:val="0027585A"/>
    <w:rsid w:val="002775DB"/>
    <w:rsid w:val="002817E1"/>
    <w:rsid w:val="0028237E"/>
    <w:rsid w:val="00283D6F"/>
    <w:rsid w:val="0028428F"/>
    <w:rsid w:val="00285F67"/>
    <w:rsid w:val="00291763"/>
    <w:rsid w:val="00291B82"/>
    <w:rsid w:val="00291FFB"/>
    <w:rsid w:val="00292B24"/>
    <w:rsid w:val="00296BEB"/>
    <w:rsid w:val="002972D2"/>
    <w:rsid w:val="002978F9"/>
    <w:rsid w:val="0029793E"/>
    <w:rsid w:val="002A0B80"/>
    <w:rsid w:val="002A14C5"/>
    <w:rsid w:val="002A375D"/>
    <w:rsid w:val="002A3CB2"/>
    <w:rsid w:val="002A45E8"/>
    <w:rsid w:val="002A54F6"/>
    <w:rsid w:val="002A764F"/>
    <w:rsid w:val="002B05E3"/>
    <w:rsid w:val="002B16D0"/>
    <w:rsid w:val="002B1D20"/>
    <w:rsid w:val="002B29C7"/>
    <w:rsid w:val="002B2BBA"/>
    <w:rsid w:val="002C0EC8"/>
    <w:rsid w:val="002C240B"/>
    <w:rsid w:val="002C3C67"/>
    <w:rsid w:val="002C429F"/>
    <w:rsid w:val="002C5700"/>
    <w:rsid w:val="002C5E52"/>
    <w:rsid w:val="002C601A"/>
    <w:rsid w:val="002C69A4"/>
    <w:rsid w:val="002D2BFA"/>
    <w:rsid w:val="002D4C10"/>
    <w:rsid w:val="002D5CC3"/>
    <w:rsid w:val="002D660A"/>
    <w:rsid w:val="002E0DC9"/>
    <w:rsid w:val="002E2644"/>
    <w:rsid w:val="002E3213"/>
    <w:rsid w:val="002E3647"/>
    <w:rsid w:val="002E4494"/>
    <w:rsid w:val="002E58CF"/>
    <w:rsid w:val="002E6FDE"/>
    <w:rsid w:val="002E7ACF"/>
    <w:rsid w:val="002F0CDA"/>
    <w:rsid w:val="002F1660"/>
    <w:rsid w:val="002F1B2A"/>
    <w:rsid w:val="002F1B4B"/>
    <w:rsid w:val="002F1C7B"/>
    <w:rsid w:val="002F3682"/>
    <w:rsid w:val="002F3ADD"/>
    <w:rsid w:val="002F3CE6"/>
    <w:rsid w:val="002F6282"/>
    <w:rsid w:val="002F63F8"/>
    <w:rsid w:val="003028B3"/>
    <w:rsid w:val="00304B4E"/>
    <w:rsid w:val="00306B1D"/>
    <w:rsid w:val="003071CD"/>
    <w:rsid w:val="00307A87"/>
    <w:rsid w:val="0031179D"/>
    <w:rsid w:val="00311E77"/>
    <w:rsid w:val="003137AC"/>
    <w:rsid w:val="00314985"/>
    <w:rsid w:val="003167AC"/>
    <w:rsid w:val="00316CBD"/>
    <w:rsid w:val="00316E8F"/>
    <w:rsid w:val="00317448"/>
    <w:rsid w:val="003175DC"/>
    <w:rsid w:val="00321666"/>
    <w:rsid w:val="00321AA2"/>
    <w:rsid w:val="00322C58"/>
    <w:rsid w:val="00323C75"/>
    <w:rsid w:val="00327700"/>
    <w:rsid w:val="0033052C"/>
    <w:rsid w:val="003316E9"/>
    <w:rsid w:val="00331CF3"/>
    <w:rsid w:val="00332197"/>
    <w:rsid w:val="00334DE4"/>
    <w:rsid w:val="00336F2C"/>
    <w:rsid w:val="003376CD"/>
    <w:rsid w:val="00337BD8"/>
    <w:rsid w:val="00340B8A"/>
    <w:rsid w:val="003414E7"/>
    <w:rsid w:val="00341AFD"/>
    <w:rsid w:val="003477B7"/>
    <w:rsid w:val="003479C3"/>
    <w:rsid w:val="00353F0A"/>
    <w:rsid w:val="00354195"/>
    <w:rsid w:val="00354414"/>
    <w:rsid w:val="00354B05"/>
    <w:rsid w:val="0035542E"/>
    <w:rsid w:val="0035683B"/>
    <w:rsid w:val="00360100"/>
    <w:rsid w:val="00362202"/>
    <w:rsid w:val="00363E78"/>
    <w:rsid w:val="00364347"/>
    <w:rsid w:val="003643F8"/>
    <w:rsid w:val="0036641E"/>
    <w:rsid w:val="0036697E"/>
    <w:rsid w:val="00371414"/>
    <w:rsid w:val="00371A15"/>
    <w:rsid w:val="00372F3C"/>
    <w:rsid w:val="00373BA6"/>
    <w:rsid w:val="00377087"/>
    <w:rsid w:val="00377D29"/>
    <w:rsid w:val="003802E7"/>
    <w:rsid w:val="003812D0"/>
    <w:rsid w:val="0038144F"/>
    <w:rsid w:val="00382C86"/>
    <w:rsid w:val="00385105"/>
    <w:rsid w:val="00386023"/>
    <w:rsid w:val="00387C82"/>
    <w:rsid w:val="0039196F"/>
    <w:rsid w:val="00392D01"/>
    <w:rsid w:val="00393B78"/>
    <w:rsid w:val="00394236"/>
    <w:rsid w:val="00395B3E"/>
    <w:rsid w:val="00396E51"/>
    <w:rsid w:val="00396F4D"/>
    <w:rsid w:val="0039736B"/>
    <w:rsid w:val="00397F57"/>
    <w:rsid w:val="003A0447"/>
    <w:rsid w:val="003A390C"/>
    <w:rsid w:val="003A3D8A"/>
    <w:rsid w:val="003A4BCC"/>
    <w:rsid w:val="003A679B"/>
    <w:rsid w:val="003B0615"/>
    <w:rsid w:val="003B0B22"/>
    <w:rsid w:val="003B2BFB"/>
    <w:rsid w:val="003B4D22"/>
    <w:rsid w:val="003C1F24"/>
    <w:rsid w:val="003C4CAF"/>
    <w:rsid w:val="003D112A"/>
    <w:rsid w:val="003D3C51"/>
    <w:rsid w:val="003D4159"/>
    <w:rsid w:val="003D5A47"/>
    <w:rsid w:val="003E18DF"/>
    <w:rsid w:val="003E282E"/>
    <w:rsid w:val="003E3E2D"/>
    <w:rsid w:val="003E4ACB"/>
    <w:rsid w:val="003E5CFB"/>
    <w:rsid w:val="003F2FE7"/>
    <w:rsid w:val="003F5061"/>
    <w:rsid w:val="00401A65"/>
    <w:rsid w:val="0040211C"/>
    <w:rsid w:val="00403355"/>
    <w:rsid w:val="0040653A"/>
    <w:rsid w:val="004067F5"/>
    <w:rsid w:val="0041138E"/>
    <w:rsid w:val="00411404"/>
    <w:rsid w:val="00411A4C"/>
    <w:rsid w:val="004134F4"/>
    <w:rsid w:val="00413EE3"/>
    <w:rsid w:val="004150AF"/>
    <w:rsid w:val="00421F60"/>
    <w:rsid w:val="0042476E"/>
    <w:rsid w:val="00424E74"/>
    <w:rsid w:val="00427110"/>
    <w:rsid w:val="0042719D"/>
    <w:rsid w:val="00427C9C"/>
    <w:rsid w:val="0043016A"/>
    <w:rsid w:val="00440FEB"/>
    <w:rsid w:val="00442163"/>
    <w:rsid w:val="00442565"/>
    <w:rsid w:val="00442BF6"/>
    <w:rsid w:val="00443A15"/>
    <w:rsid w:val="00445A11"/>
    <w:rsid w:val="00446890"/>
    <w:rsid w:val="00446C08"/>
    <w:rsid w:val="004476DE"/>
    <w:rsid w:val="00447E7F"/>
    <w:rsid w:val="004506CC"/>
    <w:rsid w:val="0045095D"/>
    <w:rsid w:val="0045097E"/>
    <w:rsid w:val="004513EB"/>
    <w:rsid w:val="00451755"/>
    <w:rsid w:val="00452944"/>
    <w:rsid w:val="00453708"/>
    <w:rsid w:val="00453C16"/>
    <w:rsid w:val="00454F4B"/>
    <w:rsid w:val="0045550A"/>
    <w:rsid w:val="00457E1D"/>
    <w:rsid w:val="00460436"/>
    <w:rsid w:val="00460DE2"/>
    <w:rsid w:val="00460E43"/>
    <w:rsid w:val="00463560"/>
    <w:rsid w:val="00466612"/>
    <w:rsid w:val="00466861"/>
    <w:rsid w:val="00466F93"/>
    <w:rsid w:val="00467AB1"/>
    <w:rsid w:val="004709B0"/>
    <w:rsid w:val="00474E3C"/>
    <w:rsid w:val="004759DB"/>
    <w:rsid w:val="004778D8"/>
    <w:rsid w:val="004907DA"/>
    <w:rsid w:val="00490AFD"/>
    <w:rsid w:val="0049182B"/>
    <w:rsid w:val="00491B4B"/>
    <w:rsid w:val="00493C94"/>
    <w:rsid w:val="00493CF1"/>
    <w:rsid w:val="00494933"/>
    <w:rsid w:val="004965CE"/>
    <w:rsid w:val="00496E13"/>
    <w:rsid w:val="004A0649"/>
    <w:rsid w:val="004A0947"/>
    <w:rsid w:val="004A0ABB"/>
    <w:rsid w:val="004A4BD1"/>
    <w:rsid w:val="004B047B"/>
    <w:rsid w:val="004B2BFB"/>
    <w:rsid w:val="004B3923"/>
    <w:rsid w:val="004B3B5E"/>
    <w:rsid w:val="004B6D7A"/>
    <w:rsid w:val="004B6F66"/>
    <w:rsid w:val="004B7D92"/>
    <w:rsid w:val="004C20AB"/>
    <w:rsid w:val="004C587A"/>
    <w:rsid w:val="004C6B76"/>
    <w:rsid w:val="004D0515"/>
    <w:rsid w:val="004D099A"/>
    <w:rsid w:val="004D1C9D"/>
    <w:rsid w:val="004D1DA4"/>
    <w:rsid w:val="004E080A"/>
    <w:rsid w:val="004E2AB3"/>
    <w:rsid w:val="004E2C09"/>
    <w:rsid w:val="004E3393"/>
    <w:rsid w:val="004E4A45"/>
    <w:rsid w:val="004E4B6F"/>
    <w:rsid w:val="004E5EC0"/>
    <w:rsid w:val="004E7265"/>
    <w:rsid w:val="004F1527"/>
    <w:rsid w:val="004F330B"/>
    <w:rsid w:val="004F3ADA"/>
    <w:rsid w:val="004F55C9"/>
    <w:rsid w:val="004F67A9"/>
    <w:rsid w:val="004F73C7"/>
    <w:rsid w:val="00502B32"/>
    <w:rsid w:val="00504F45"/>
    <w:rsid w:val="00506CE5"/>
    <w:rsid w:val="005117CA"/>
    <w:rsid w:val="005127D3"/>
    <w:rsid w:val="00515DB3"/>
    <w:rsid w:val="00515E9D"/>
    <w:rsid w:val="005164C9"/>
    <w:rsid w:val="005200CA"/>
    <w:rsid w:val="0052077C"/>
    <w:rsid w:val="00521F1D"/>
    <w:rsid w:val="00522B30"/>
    <w:rsid w:val="0052327D"/>
    <w:rsid w:val="005237F9"/>
    <w:rsid w:val="00525C1B"/>
    <w:rsid w:val="005261C1"/>
    <w:rsid w:val="00532A06"/>
    <w:rsid w:val="00533EFE"/>
    <w:rsid w:val="00536754"/>
    <w:rsid w:val="00536B00"/>
    <w:rsid w:val="005378C5"/>
    <w:rsid w:val="005409CF"/>
    <w:rsid w:val="005425D7"/>
    <w:rsid w:val="00542F5A"/>
    <w:rsid w:val="00544623"/>
    <w:rsid w:val="005475F2"/>
    <w:rsid w:val="00550297"/>
    <w:rsid w:val="005505E5"/>
    <w:rsid w:val="00550C7C"/>
    <w:rsid w:val="00551864"/>
    <w:rsid w:val="00554121"/>
    <w:rsid w:val="005554F5"/>
    <w:rsid w:val="0055555A"/>
    <w:rsid w:val="00556EAD"/>
    <w:rsid w:val="00557239"/>
    <w:rsid w:val="00561141"/>
    <w:rsid w:val="00561702"/>
    <w:rsid w:val="00562791"/>
    <w:rsid w:val="00562B39"/>
    <w:rsid w:val="00562D7D"/>
    <w:rsid w:val="0056320C"/>
    <w:rsid w:val="005650CD"/>
    <w:rsid w:val="005662B5"/>
    <w:rsid w:val="00566AD2"/>
    <w:rsid w:val="00570005"/>
    <w:rsid w:val="00570346"/>
    <w:rsid w:val="00571BD4"/>
    <w:rsid w:val="00572F03"/>
    <w:rsid w:val="005734C4"/>
    <w:rsid w:val="00575923"/>
    <w:rsid w:val="00576484"/>
    <w:rsid w:val="00576E9B"/>
    <w:rsid w:val="005779B7"/>
    <w:rsid w:val="00577C8E"/>
    <w:rsid w:val="005807C6"/>
    <w:rsid w:val="00580F92"/>
    <w:rsid w:val="005828F0"/>
    <w:rsid w:val="00583BEE"/>
    <w:rsid w:val="00584B8E"/>
    <w:rsid w:val="00587C5A"/>
    <w:rsid w:val="00590322"/>
    <w:rsid w:val="005917C1"/>
    <w:rsid w:val="005929AF"/>
    <w:rsid w:val="00594B4A"/>
    <w:rsid w:val="005954B1"/>
    <w:rsid w:val="005A66B1"/>
    <w:rsid w:val="005A693F"/>
    <w:rsid w:val="005B1168"/>
    <w:rsid w:val="005B1ACA"/>
    <w:rsid w:val="005B40E5"/>
    <w:rsid w:val="005C021F"/>
    <w:rsid w:val="005C0423"/>
    <w:rsid w:val="005C0A6E"/>
    <w:rsid w:val="005C0D2D"/>
    <w:rsid w:val="005C2215"/>
    <w:rsid w:val="005C493F"/>
    <w:rsid w:val="005C532B"/>
    <w:rsid w:val="005C6CD5"/>
    <w:rsid w:val="005C771E"/>
    <w:rsid w:val="005D0430"/>
    <w:rsid w:val="005D06C9"/>
    <w:rsid w:val="005D1E0A"/>
    <w:rsid w:val="005D1E7F"/>
    <w:rsid w:val="005D307F"/>
    <w:rsid w:val="005D3CEF"/>
    <w:rsid w:val="005D43B8"/>
    <w:rsid w:val="005D5553"/>
    <w:rsid w:val="005D6316"/>
    <w:rsid w:val="005E19C2"/>
    <w:rsid w:val="005E306A"/>
    <w:rsid w:val="005E3622"/>
    <w:rsid w:val="005E56AE"/>
    <w:rsid w:val="005E5D16"/>
    <w:rsid w:val="005E67EF"/>
    <w:rsid w:val="005E797B"/>
    <w:rsid w:val="005E7A94"/>
    <w:rsid w:val="005F07E9"/>
    <w:rsid w:val="005F17E9"/>
    <w:rsid w:val="005F1D7F"/>
    <w:rsid w:val="005F5744"/>
    <w:rsid w:val="006055F4"/>
    <w:rsid w:val="006068F7"/>
    <w:rsid w:val="00610140"/>
    <w:rsid w:val="0061080D"/>
    <w:rsid w:val="00610894"/>
    <w:rsid w:val="0061200D"/>
    <w:rsid w:val="006130EE"/>
    <w:rsid w:val="00615B70"/>
    <w:rsid w:val="006160AD"/>
    <w:rsid w:val="006167DB"/>
    <w:rsid w:val="00617DFF"/>
    <w:rsid w:val="00617E5C"/>
    <w:rsid w:val="00620094"/>
    <w:rsid w:val="00621173"/>
    <w:rsid w:val="0062162D"/>
    <w:rsid w:val="00623672"/>
    <w:rsid w:val="00624AEF"/>
    <w:rsid w:val="0062659E"/>
    <w:rsid w:val="00626CAF"/>
    <w:rsid w:val="00626DAC"/>
    <w:rsid w:val="00627C19"/>
    <w:rsid w:val="00627DE7"/>
    <w:rsid w:val="006314B9"/>
    <w:rsid w:val="00631555"/>
    <w:rsid w:val="00632F4E"/>
    <w:rsid w:val="006331A2"/>
    <w:rsid w:val="006342D9"/>
    <w:rsid w:val="00634658"/>
    <w:rsid w:val="00634787"/>
    <w:rsid w:val="00640C9C"/>
    <w:rsid w:val="00640DD5"/>
    <w:rsid w:val="00643797"/>
    <w:rsid w:val="006439EA"/>
    <w:rsid w:val="00643FBF"/>
    <w:rsid w:val="006451FA"/>
    <w:rsid w:val="0064538F"/>
    <w:rsid w:val="00650430"/>
    <w:rsid w:val="00650582"/>
    <w:rsid w:val="00651AC2"/>
    <w:rsid w:val="00651DAB"/>
    <w:rsid w:val="00654B02"/>
    <w:rsid w:val="006553D1"/>
    <w:rsid w:val="006575D2"/>
    <w:rsid w:val="00657642"/>
    <w:rsid w:val="00660A13"/>
    <w:rsid w:val="00660C7A"/>
    <w:rsid w:val="00660C8A"/>
    <w:rsid w:val="006619DC"/>
    <w:rsid w:val="00662A45"/>
    <w:rsid w:val="006646E8"/>
    <w:rsid w:val="006663D0"/>
    <w:rsid w:val="00670FB1"/>
    <w:rsid w:val="0067215A"/>
    <w:rsid w:val="006748EE"/>
    <w:rsid w:val="00674CE3"/>
    <w:rsid w:val="00674DFD"/>
    <w:rsid w:val="006756DF"/>
    <w:rsid w:val="00675F26"/>
    <w:rsid w:val="00682B7E"/>
    <w:rsid w:val="00690C93"/>
    <w:rsid w:val="0069122E"/>
    <w:rsid w:val="00691D14"/>
    <w:rsid w:val="00692278"/>
    <w:rsid w:val="00694624"/>
    <w:rsid w:val="00695441"/>
    <w:rsid w:val="00695980"/>
    <w:rsid w:val="006970E9"/>
    <w:rsid w:val="006A01A0"/>
    <w:rsid w:val="006A0819"/>
    <w:rsid w:val="006A114D"/>
    <w:rsid w:val="006A5321"/>
    <w:rsid w:val="006A62EE"/>
    <w:rsid w:val="006A6BFF"/>
    <w:rsid w:val="006B394A"/>
    <w:rsid w:val="006B792C"/>
    <w:rsid w:val="006C08FA"/>
    <w:rsid w:val="006C28D8"/>
    <w:rsid w:val="006C2DAB"/>
    <w:rsid w:val="006C6752"/>
    <w:rsid w:val="006C7116"/>
    <w:rsid w:val="006D2660"/>
    <w:rsid w:val="006D3877"/>
    <w:rsid w:val="006D4E8F"/>
    <w:rsid w:val="006D518C"/>
    <w:rsid w:val="006D579F"/>
    <w:rsid w:val="006E0781"/>
    <w:rsid w:val="006E0830"/>
    <w:rsid w:val="006E4B4F"/>
    <w:rsid w:val="006E5760"/>
    <w:rsid w:val="006E608A"/>
    <w:rsid w:val="006E621A"/>
    <w:rsid w:val="006E69A7"/>
    <w:rsid w:val="006E6EAA"/>
    <w:rsid w:val="006E79DA"/>
    <w:rsid w:val="006F060A"/>
    <w:rsid w:val="006F0678"/>
    <w:rsid w:val="006F1B14"/>
    <w:rsid w:val="006F3E36"/>
    <w:rsid w:val="006F49C7"/>
    <w:rsid w:val="006F4DB7"/>
    <w:rsid w:val="006F6733"/>
    <w:rsid w:val="006F7FB2"/>
    <w:rsid w:val="00700166"/>
    <w:rsid w:val="00701D95"/>
    <w:rsid w:val="00703D80"/>
    <w:rsid w:val="007062B8"/>
    <w:rsid w:val="00707B5E"/>
    <w:rsid w:val="007102D3"/>
    <w:rsid w:val="007110AF"/>
    <w:rsid w:val="00714B74"/>
    <w:rsid w:val="00724C08"/>
    <w:rsid w:val="0072697B"/>
    <w:rsid w:val="00730BC7"/>
    <w:rsid w:val="00730C3D"/>
    <w:rsid w:val="007329E1"/>
    <w:rsid w:val="0073598E"/>
    <w:rsid w:val="007361CC"/>
    <w:rsid w:val="00737D58"/>
    <w:rsid w:val="00740863"/>
    <w:rsid w:val="0074137C"/>
    <w:rsid w:val="00741DA8"/>
    <w:rsid w:val="00742E84"/>
    <w:rsid w:val="00743683"/>
    <w:rsid w:val="00743A12"/>
    <w:rsid w:val="00745413"/>
    <w:rsid w:val="00745762"/>
    <w:rsid w:val="00752CF2"/>
    <w:rsid w:val="00753B2B"/>
    <w:rsid w:val="0075479C"/>
    <w:rsid w:val="00755B70"/>
    <w:rsid w:val="00756248"/>
    <w:rsid w:val="00756A49"/>
    <w:rsid w:val="00757972"/>
    <w:rsid w:val="007602B9"/>
    <w:rsid w:val="00761D36"/>
    <w:rsid w:val="0076272C"/>
    <w:rsid w:val="007635CE"/>
    <w:rsid w:val="0076678E"/>
    <w:rsid w:val="0076717F"/>
    <w:rsid w:val="0077027E"/>
    <w:rsid w:val="00770759"/>
    <w:rsid w:val="007736DF"/>
    <w:rsid w:val="00773AC4"/>
    <w:rsid w:val="00773B5B"/>
    <w:rsid w:val="00773E0E"/>
    <w:rsid w:val="007807DE"/>
    <w:rsid w:val="00781AB1"/>
    <w:rsid w:val="00782F5F"/>
    <w:rsid w:val="0078488C"/>
    <w:rsid w:val="00791F5C"/>
    <w:rsid w:val="007929DB"/>
    <w:rsid w:val="00792E5D"/>
    <w:rsid w:val="00795569"/>
    <w:rsid w:val="0079609A"/>
    <w:rsid w:val="007A0574"/>
    <w:rsid w:val="007A0E93"/>
    <w:rsid w:val="007A5255"/>
    <w:rsid w:val="007A770A"/>
    <w:rsid w:val="007A7FCF"/>
    <w:rsid w:val="007B0C0E"/>
    <w:rsid w:val="007B0FB5"/>
    <w:rsid w:val="007B178B"/>
    <w:rsid w:val="007B3A9E"/>
    <w:rsid w:val="007B5780"/>
    <w:rsid w:val="007B5CA1"/>
    <w:rsid w:val="007B7D73"/>
    <w:rsid w:val="007C1E79"/>
    <w:rsid w:val="007C4944"/>
    <w:rsid w:val="007C54CB"/>
    <w:rsid w:val="007D4FF9"/>
    <w:rsid w:val="007E3ED3"/>
    <w:rsid w:val="007E5B14"/>
    <w:rsid w:val="007E7320"/>
    <w:rsid w:val="007E76B7"/>
    <w:rsid w:val="007F04AE"/>
    <w:rsid w:val="007F1968"/>
    <w:rsid w:val="007F34A5"/>
    <w:rsid w:val="007F590E"/>
    <w:rsid w:val="007F5A38"/>
    <w:rsid w:val="007F5D12"/>
    <w:rsid w:val="007F67C3"/>
    <w:rsid w:val="0080028D"/>
    <w:rsid w:val="0080052B"/>
    <w:rsid w:val="00805C12"/>
    <w:rsid w:val="0080666E"/>
    <w:rsid w:val="00811606"/>
    <w:rsid w:val="00811FA7"/>
    <w:rsid w:val="008129B2"/>
    <w:rsid w:val="00813396"/>
    <w:rsid w:val="008155BA"/>
    <w:rsid w:val="008162B7"/>
    <w:rsid w:val="00816313"/>
    <w:rsid w:val="00816C0F"/>
    <w:rsid w:val="00821C44"/>
    <w:rsid w:val="00822897"/>
    <w:rsid w:val="00823A4E"/>
    <w:rsid w:val="00823E2B"/>
    <w:rsid w:val="00826AE7"/>
    <w:rsid w:val="00826F0B"/>
    <w:rsid w:val="008273B1"/>
    <w:rsid w:val="00831484"/>
    <w:rsid w:val="008339F4"/>
    <w:rsid w:val="00833A07"/>
    <w:rsid w:val="008344D7"/>
    <w:rsid w:val="00835434"/>
    <w:rsid w:val="00836176"/>
    <w:rsid w:val="00837DF2"/>
    <w:rsid w:val="00842094"/>
    <w:rsid w:val="0084463F"/>
    <w:rsid w:val="008450AD"/>
    <w:rsid w:val="0084528D"/>
    <w:rsid w:val="00850A64"/>
    <w:rsid w:val="008542A4"/>
    <w:rsid w:val="00854DE2"/>
    <w:rsid w:val="00855A46"/>
    <w:rsid w:val="008564EA"/>
    <w:rsid w:val="00857079"/>
    <w:rsid w:val="00860631"/>
    <w:rsid w:val="008636F9"/>
    <w:rsid w:val="00865CE8"/>
    <w:rsid w:val="008664EB"/>
    <w:rsid w:val="00870469"/>
    <w:rsid w:val="00873466"/>
    <w:rsid w:val="00874DE9"/>
    <w:rsid w:val="0087545C"/>
    <w:rsid w:val="00875F25"/>
    <w:rsid w:val="0087715C"/>
    <w:rsid w:val="00877D3C"/>
    <w:rsid w:val="00877FEF"/>
    <w:rsid w:val="00882E60"/>
    <w:rsid w:val="008845A9"/>
    <w:rsid w:val="0088520B"/>
    <w:rsid w:val="008860FC"/>
    <w:rsid w:val="00886D3A"/>
    <w:rsid w:val="008874C1"/>
    <w:rsid w:val="00890513"/>
    <w:rsid w:val="0089070C"/>
    <w:rsid w:val="00890B68"/>
    <w:rsid w:val="0089260E"/>
    <w:rsid w:val="00892D49"/>
    <w:rsid w:val="008932A3"/>
    <w:rsid w:val="00893CB8"/>
    <w:rsid w:val="00894FB2"/>
    <w:rsid w:val="008955D4"/>
    <w:rsid w:val="00895BD8"/>
    <w:rsid w:val="0089655B"/>
    <w:rsid w:val="008972D1"/>
    <w:rsid w:val="00897BC8"/>
    <w:rsid w:val="008A0838"/>
    <w:rsid w:val="008A13E7"/>
    <w:rsid w:val="008A3AD0"/>
    <w:rsid w:val="008A3F35"/>
    <w:rsid w:val="008A581A"/>
    <w:rsid w:val="008A5F7F"/>
    <w:rsid w:val="008A63E2"/>
    <w:rsid w:val="008A6630"/>
    <w:rsid w:val="008A6DB9"/>
    <w:rsid w:val="008A7ADC"/>
    <w:rsid w:val="008A7D83"/>
    <w:rsid w:val="008B0154"/>
    <w:rsid w:val="008B1963"/>
    <w:rsid w:val="008B20D0"/>
    <w:rsid w:val="008B24F2"/>
    <w:rsid w:val="008B2769"/>
    <w:rsid w:val="008B2EFF"/>
    <w:rsid w:val="008B37F0"/>
    <w:rsid w:val="008B3E4E"/>
    <w:rsid w:val="008B4702"/>
    <w:rsid w:val="008B612B"/>
    <w:rsid w:val="008B65B4"/>
    <w:rsid w:val="008C0F54"/>
    <w:rsid w:val="008C1C56"/>
    <w:rsid w:val="008C5503"/>
    <w:rsid w:val="008C5726"/>
    <w:rsid w:val="008C798A"/>
    <w:rsid w:val="008D1C86"/>
    <w:rsid w:val="008D6371"/>
    <w:rsid w:val="008E1296"/>
    <w:rsid w:val="008E270A"/>
    <w:rsid w:val="008E72E3"/>
    <w:rsid w:val="008F4B7D"/>
    <w:rsid w:val="008F4B82"/>
    <w:rsid w:val="00900CFD"/>
    <w:rsid w:val="009130AF"/>
    <w:rsid w:val="00913825"/>
    <w:rsid w:val="009141C1"/>
    <w:rsid w:val="009148CA"/>
    <w:rsid w:val="00914EA8"/>
    <w:rsid w:val="009151B7"/>
    <w:rsid w:val="0091664E"/>
    <w:rsid w:val="009169A4"/>
    <w:rsid w:val="009170B7"/>
    <w:rsid w:val="00920236"/>
    <w:rsid w:val="009219D9"/>
    <w:rsid w:val="0092347C"/>
    <w:rsid w:val="00923769"/>
    <w:rsid w:val="0092472D"/>
    <w:rsid w:val="00925F58"/>
    <w:rsid w:val="009262AA"/>
    <w:rsid w:val="00926438"/>
    <w:rsid w:val="009323CA"/>
    <w:rsid w:val="0093291C"/>
    <w:rsid w:val="00932DD8"/>
    <w:rsid w:val="00933213"/>
    <w:rsid w:val="00933E80"/>
    <w:rsid w:val="009343D3"/>
    <w:rsid w:val="00937D2C"/>
    <w:rsid w:val="009411C1"/>
    <w:rsid w:val="00942366"/>
    <w:rsid w:val="00943329"/>
    <w:rsid w:val="00943ED3"/>
    <w:rsid w:val="009445E7"/>
    <w:rsid w:val="0094654A"/>
    <w:rsid w:val="0094736B"/>
    <w:rsid w:val="00947BA2"/>
    <w:rsid w:val="0095004D"/>
    <w:rsid w:val="009515AA"/>
    <w:rsid w:val="00951DAA"/>
    <w:rsid w:val="009524D9"/>
    <w:rsid w:val="00952AF7"/>
    <w:rsid w:val="00953DDB"/>
    <w:rsid w:val="00955094"/>
    <w:rsid w:val="00960B49"/>
    <w:rsid w:val="009648C3"/>
    <w:rsid w:val="00964DD4"/>
    <w:rsid w:val="009669F1"/>
    <w:rsid w:val="0096732C"/>
    <w:rsid w:val="009675A9"/>
    <w:rsid w:val="00970616"/>
    <w:rsid w:val="009714E6"/>
    <w:rsid w:val="00971553"/>
    <w:rsid w:val="009717A1"/>
    <w:rsid w:val="009774D1"/>
    <w:rsid w:val="00977737"/>
    <w:rsid w:val="00981C70"/>
    <w:rsid w:val="00982654"/>
    <w:rsid w:val="00982B60"/>
    <w:rsid w:val="009878F0"/>
    <w:rsid w:val="00987AB7"/>
    <w:rsid w:val="00987FB6"/>
    <w:rsid w:val="00992467"/>
    <w:rsid w:val="009972A2"/>
    <w:rsid w:val="0099783F"/>
    <w:rsid w:val="009A0B29"/>
    <w:rsid w:val="009A106A"/>
    <w:rsid w:val="009A13D9"/>
    <w:rsid w:val="009A1711"/>
    <w:rsid w:val="009A181B"/>
    <w:rsid w:val="009A36DD"/>
    <w:rsid w:val="009A4508"/>
    <w:rsid w:val="009A5352"/>
    <w:rsid w:val="009A6A40"/>
    <w:rsid w:val="009B1B6B"/>
    <w:rsid w:val="009B2A0E"/>
    <w:rsid w:val="009B5606"/>
    <w:rsid w:val="009B603A"/>
    <w:rsid w:val="009B7956"/>
    <w:rsid w:val="009C057C"/>
    <w:rsid w:val="009C0945"/>
    <w:rsid w:val="009C0F33"/>
    <w:rsid w:val="009C151B"/>
    <w:rsid w:val="009C1E6B"/>
    <w:rsid w:val="009C4651"/>
    <w:rsid w:val="009C5CDE"/>
    <w:rsid w:val="009C74AB"/>
    <w:rsid w:val="009D26B5"/>
    <w:rsid w:val="009D3151"/>
    <w:rsid w:val="009D3198"/>
    <w:rsid w:val="009D5A7B"/>
    <w:rsid w:val="009E013E"/>
    <w:rsid w:val="009E2CF4"/>
    <w:rsid w:val="009E33B4"/>
    <w:rsid w:val="009E3E6A"/>
    <w:rsid w:val="009E4A2E"/>
    <w:rsid w:val="009E4D8D"/>
    <w:rsid w:val="009E6453"/>
    <w:rsid w:val="009F1C9C"/>
    <w:rsid w:val="009F272A"/>
    <w:rsid w:val="009F2830"/>
    <w:rsid w:val="009F3181"/>
    <w:rsid w:val="009F6EB6"/>
    <w:rsid w:val="009F790B"/>
    <w:rsid w:val="009F7EB5"/>
    <w:rsid w:val="00A00EBD"/>
    <w:rsid w:val="00A04AD3"/>
    <w:rsid w:val="00A073CB"/>
    <w:rsid w:val="00A07D5A"/>
    <w:rsid w:val="00A11CAC"/>
    <w:rsid w:val="00A11E1C"/>
    <w:rsid w:val="00A14CD4"/>
    <w:rsid w:val="00A223EC"/>
    <w:rsid w:val="00A262DF"/>
    <w:rsid w:val="00A2684A"/>
    <w:rsid w:val="00A27EB6"/>
    <w:rsid w:val="00A30440"/>
    <w:rsid w:val="00A325AB"/>
    <w:rsid w:val="00A325EC"/>
    <w:rsid w:val="00A3301A"/>
    <w:rsid w:val="00A41316"/>
    <w:rsid w:val="00A42A0B"/>
    <w:rsid w:val="00A45F59"/>
    <w:rsid w:val="00A5218C"/>
    <w:rsid w:val="00A52469"/>
    <w:rsid w:val="00A52E02"/>
    <w:rsid w:val="00A57EA4"/>
    <w:rsid w:val="00A60213"/>
    <w:rsid w:val="00A615E8"/>
    <w:rsid w:val="00A61C0E"/>
    <w:rsid w:val="00A645D8"/>
    <w:rsid w:val="00A670FB"/>
    <w:rsid w:val="00A72343"/>
    <w:rsid w:val="00A730DC"/>
    <w:rsid w:val="00A75687"/>
    <w:rsid w:val="00A76F02"/>
    <w:rsid w:val="00A77399"/>
    <w:rsid w:val="00A77981"/>
    <w:rsid w:val="00A82B9E"/>
    <w:rsid w:val="00A841DE"/>
    <w:rsid w:val="00A8559D"/>
    <w:rsid w:val="00A931A3"/>
    <w:rsid w:val="00A9408A"/>
    <w:rsid w:val="00A96795"/>
    <w:rsid w:val="00A96A6A"/>
    <w:rsid w:val="00A96E27"/>
    <w:rsid w:val="00A97343"/>
    <w:rsid w:val="00AA1DAF"/>
    <w:rsid w:val="00AA236F"/>
    <w:rsid w:val="00AA2E90"/>
    <w:rsid w:val="00AA37BC"/>
    <w:rsid w:val="00AA651C"/>
    <w:rsid w:val="00AA7A1B"/>
    <w:rsid w:val="00AB498D"/>
    <w:rsid w:val="00AB4C96"/>
    <w:rsid w:val="00AB5122"/>
    <w:rsid w:val="00AB56C9"/>
    <w:rsid w:val="00AB6E43"/>
    <w:rsid w:val="00AB6F46"/>
    <w:rsid w:val="00AB7603"/>
    <w:rsid w:val="00AC45F1"/>
    <w:rsid w:val="00AC6BB2"/>
    <w:rsid w:val="00AD0524"/>
    <w:rsid w:val="00AD5BB8"/>
    <w:rsid w:val="00AE306C"/>
    <w:rsid w:val="00AE3402"/>
    <w:rsid w:val="00AE3668"/>
    <w:rsid w:val="00AE4E03"/>
    <w:rsid w:val="00AE53C0"/>
    <w:rsid w:val="00AE64EF"/>
    <w:rsid w:val="00AE7215"/>
    <w:rsid w:val="00AF1AD5"/>
    <w:rsid w:val="00AF2763"/>
    <w:rsid w:val="00AF2BA7"/>
    <w:rsid w:val="00AF306C"/>
    <w:rsid w:val="00AF420E"/>
    <w:rsid w:val="00AF6040"/>
    <w:rsid w:val="00AF653C"/>
    <w:rsid w:val="00AF7938"/>
    <w:rsid w:val="00B0030B"/>
    <w:rsid w:val="00B00681"/>
    <w:rsid w:val="00B00A5E"/>
    <w:rsid w:val="00B00E83"/>
    <w:rsid w:val="00B0395F"/>
    <w:rsid w:val="00B064A0"/>
    <w:rsid w:val="00B071DB"/>
    <w:rsid w:val="00B072DA"/>
    <w:rsid w:val="00B135D7"/>
    <w:rsid w:val="00B1388C"/>
    <w:rsid w:val="00B1397B"/>
    <w:rsid w:val="00B13FE9"/>
    <w:rsid w:val="00B14691"/>
    <w:rsid w:val="00B14C95"/>
    <w:rsid w:val="00B162CD"/>
    <w:rsid w:val="00B23279"/>
    <w:rsid w:val="00B2585A"/>
    <w:rsid w:val="00B25898"/>
    <w:rsid w:val="00B25B77"/>
    <w:rsid w:val="00B2629D"/>
    <w:rsid w:val="00B31011"/>
    <w:rsid w:val="00B316F7"/>
    <w:rsid w:val="00B3440D"/>
    <w:rsid w:val="00B34926"/>
    <w:rsid w:val="00B370B2"/>
    <w:rsid w:val="00B401C1"/>
    <w:rsid w:val="00B40456"/>
    <w:rsid w:val="00B40AF8"/>
    <w:rsid w:val="00B426C6"/>
    <w:rsid w:val="00B432FD"/>
    <w:rsid w:val="00B44219"/>
    <w:rsid w:val="00B45F40"/>
    <w:rsid w:val="00B501B1"/>
    <w:rsid w:val="00B524BD"/>
    <w:rsid w:val="00B53037"/>
    <w:rsid w:val="00B5315D"/>
    <w:rsid w:val="00B55A34"/>
    <w:rsid w:val="00B60178"/>
    <w:rsid w:val="00B60EC4"/>
    <w:rsid w:val="00B61DE8"/>
    <w:rsid w:val="00B634D4"/>
    <w:rsid w:val="00B650A2"/>
    <w:rsid w:val="00B65667"/>
    <w:rsid w:val="00B66CC0"/>
    <w:rsid w:val="00B7053E"/>
    <w:rsid w:val="00B71FC4"/>
    <w:rsid w:val="00B720EB"/>
    <w:rsid w:val="00B748E1"/>
    <w:rsid w:val="00B767AE"/>
    <w:rsid w:val="00B76BDF"/>
    <w:rsid w:val="00B76D6D"/>
    <w:rsid w:val="00B80D2B"/>
    <w:rsid w:val="00B82B8B"/>
    <w:rsid w:val="00B83B6F"/>
    <w:rsid w:val="00B84330"/>
    <w:rsid w:val="00B875CA"/>
    <w:rsid w:val="00B87F2A"/>
    <w:rsid w:val="00B94E68"/>
    <w:rsid w:val="00B97C78"/>
    <w:rsid w:val="00BA05F4"/>
    <w:rsid w:val="00BA13A5"/>
    <w:rsid w:val="00BA1CC0"/>
    <w:rsid w:val="00BA5F96"/>
    <w:rsid w:val="00BA75C6"/>
    <w:rsid w:val="00BA7A2C"/>
    <w:rsid w:val="00BB096A"/>
    <w:rsid w:val="00BB142E"/>
    <w:rsid w:val="00BB226D"/>
    <w:rsid w:val="00BB24FD"/>
    <w:rsid w:val="00BB34CA"/>
    <w:rsid w:val="00BB3B00"/>
    <w:rsid w:val="00BB3B04"/>
    <w:rsid w:val="00BB5FF4"/>
    <w:rsid w:val="00BC00A7"/>
    <w:rsid w:val="00BC04D5"/>
    <w:rsid w:val="00BC4BE2"/>
    <w:rsid w:val="00BC6211"/>
    <w:rsid w:val="00BC7E45"/>
    <w:rsid w:val="00BD0BA8"/>
    <w:rsid w:val="00BD1AF4"/>
    <w:rsid w:val="00BD262B"/>
    <w:rsid w:val="00BD32FB"/>
    <w:rsid w:val="00BD3693"/>
    <w:rsid w:val="00BD3FA1"/>
    <w:rsid w:val="00BD7CA7"/>
    <w:rsid w:val="00BE1260"/>
    <w:rsid w:val="00BE3AB7"/>
    <w:rsid w:val="00BE41AA"/>
    <w:rsid w:val="00BE4FA9"/>
    <w:rsid w:val="00BE76FD"/>
    <w:rsid w:val="00BE7F85"/>
    <w:rsid w:val="00BF0B27"/>
    <w:rsid w:val="00BF33EF"/>
    <w:rsid w:val="00BF363C"/>
    <w:rsid w:val="00BF5CE2"/>
    <w:rsid w:val="00BF65D2"/>
    <w:rsid w:val="00C01B26"/>
    <w:rsid w:val="00C01B39"/>
    <w:rsid w:val="00C01ECD"/>
    <w:rsid w:val="00C02783"/>
    <w:rsid w:val="00C04D0B"/>
    <w:rsid w:val="00C05052"/>
    <w:rsid w:val="00C07579"/>
    <w:rsid w:val="00C10F0A"/>
    <w:rsid w:val="00C12EFE"/>
    <w:rsid w:val="00C13AD4"/>
    <w:rsid w:val="00C14310"/>
    <w:rsid w:val="00C1528C"/>
    <w:rsid w:val="00C17C3A"/>
    <w:rsid w:val="00C228CA"/>
    <w:rsid w:val="00C22EE7"/>
    <w:rsid w:val="00C253A1"/>
    <w:rsid w:val="00C27776"/>
    <w:rsid w:val="00C27961"/>
    <w:rsid w:val="00C27E06"/>
    <w:rsid w:val="00C357E1"/>
    <w:rsid w:val="00C35B2B"/>
    <w:rsid w:val="00C36857"/>
    <w:rsid w:val="00C40E95"/>
    <w:rsid w:val="00C41006"/>
    <w:rsid w:val="00C45B53"/>
    <w:rsid w:val="00C4790A"/>
    <w:rsid w:val="00C47DFF"/>
    <w:rsid w:val="00C50538"/>
    <w:rsid w:val="00C50E71"/>
    <w:rsid w:val="00C54129"/>
    <w:rsid w:val="00C56AE3"/>
    <w:rsid w:val="00C610B0"/>
    <w:rsid w:val="00C66CC9"/>
    <w:rsid w:val="00C70F5B"/>
    <w:rsid w:val="00C737DC"/>
    <w:rsid w:val="00C73A2C"/>
    <w:rsid w:val="00C742C8"/>
    <w:rsid w:val="00C82545"/>
    <w:rsid w:val="00C828B0"/>
    <w:rsid w:val="00C83561"/>
    <w:rsid w:val="00C84709"/>
    <w:rsid w:val="00C879D3"/>
    <w:rsid w:val="00C90043"/>
    <w:rsid w:val="00C90C6F"/>
    <w:rsid w:val="00C91D90"/>
    <w:rsid w:val="00C91F35"/>
    <w:rsid w:val="00C9379B"/>
    <w:rsid w:val="00C937ED"/>
    <w:rsid w:val="00C94CE9"/>
    <w:rsid w:val="00C9694F"/>
    <w:rsid w:val="00C978AB"/>
    <w:rsid w:val="00CA07E7"/>
    <w:rsid w:val="00CA112C"/>
    <w:rsid w:val="00CA2DA3"/>
    <w:rsid w:val="00CA2F0C"/>
    <w:rsid w:val="00CA41D1"/>
    <w:rsid w:val="00CA4851"/>
    <w:rsid w:val="00CA74AC"/>
    <w:rsid w:val="00CB0612"/>
    <w:rsid w:val="00CB10F1"/>
    <w:rsid w:val="00CB1375"/>
    <w:rsid w:val="00CB2772"/>
    <w:rsid w:val="00CB3DAF"/>
    <w:rsid w:val="00CB60B6"/>
    <w:rsid w:val="00CB629F"/>
    <w:rsid w:val="00CB6A6E"/>
    <w:rsid w:val="00CB6EF4"/>
    <w:rsid w:val="00CC0C96"/>
    <w:rsid w:val="00CC118C"/>
    <w:rsid w:val="00CC1A11"/>
    <w:rsid w:val="00CC1BC1"/>
    <w:rsid w:val="00CC6B03"/>
    <w:rsid w:val="00CD0AEC"/>
    <w:rsid w:val="00CD10EB"/>
    <w:rsid w:val="00CD1E76"/>
    <w:rsid w:val="00CD2441"/>
    <w:rsid w:val="00CD382C"/>
    <w:rsid w:val="00CD3C44"/>
    <w:rsid w:val="00CD3F6E"/>
    <w:rsid w:val="00CD40BC"/>
    <w:rsid w:val="00CD4B81"/>
    <w:rsid w:val="00CD643D"/>
    <w:rsid w:val="00CE2A21"/>
    <w:rsid w:val="00CE3F54"/>
    <w:rsid w:val="00CE3F8F"/>
    <w:rsid w:val="00CE4A3E"/>
    <w:rsid w:val="00CE6CB2"/>
    <w:rsid w:val="00CF06AE"/>
    <w:rsid w:val="00CF10AF"/>
    <w:rsid w:val="00CF3496"/>
    <w:rsid w:val="00CF4274"/>
    <w:rsid w:val="00CF5A27"/>
    <w:rsid w:val="00CF5CE8"/>
    <w:rsid w:val="00CF6B8A"/>
    <w:rsid w:val="00D01E9D"/>
    <w:rsid w:val="00D02679"/>
    <w:rsid w:val="00D0278F"/>
    <w:rsid w:val="00D038EC"/>
    <w:rsid w:val="00D03F0F"/>
    <w:rsid w:val="00D12A31"/>
    <w:rsid w:val="00D20BA9"/>
    <w:rsid w:val="00D22BFC"/>
    <w:rsid w:val="00D22D6A"/>
    <w:rsid w:val="00D24C85"/>
    <w:rsid w:val="00D31166"/>
    <w:rsid w:val="00D3247C"/>
    <w:rsid w:val="00D325EC"/>
    <w:rsid w:val="00D35F69"/>
    <w:rsid w:val="00D36137"/>
    <w:rsid w:val="00D3650D"/>
    <w:rsid w:val="00D36CBD"/>
    <w:rsid w:val="00D377A4"/>
    <w:rsid w:val="00D42A9D"/>
    <w:rsid w:val="00D44971"/>
    <w:rsid w:val="00D465D5"/>
    <w:rsid w:val="00D501BC"/>
    <w:rsid w:val="00D54945"/>
    <w:rsid w:val="00D55969"/>
    <w:rsid w:val="00D5786C"/>
    <w:rsid w:val="00D57C94"/>
    <w:rsid w:val="00D57F60"/>
    <w:rsid w:val="00D60E7A"/>
    <w:rsid w:val="00D6175A"/>
    <w:rsid w:val="00D644B7"/>
    <w:rsid w:val="00D647F2"/>
    <w:rsid w:val="00D651FB"/>
    <w:rsid w:val="00D67485"/>
    <w:rsid w:val="00D7058E"/>
    <w:rsid w:val="00D708F8"/>
    <w:rsid w:val="00D70F48"/>
    <w:rsid w:val="00D74F6D"/>
    <w:rsid w:val="00D75AA6"/>
    <w:rsid w:val="00D76538"/>
    <w:rsid w:val="00D76D32"/>
    <w:rsid w:val="00D80300"/>
    <w:rsid w:val="00D839AA"/>
    <w:rsid w:val="00D848EE"/>
    <w:rsid w:val="00D849E4"/>
    <w:rsid w:val="00D851AB"/>
    <w:rsid w:val="00D8538D"/>
    <w:rsid w:val="00D92313"/>
    <w:rsid w:val="00D928C8"/>
    <w:rsid w:val="00D93550"/>
    <w:rsid w:val="00D9587F"/>
    <w:rsid w:val="00DA0983"/>
    <w:rsid w:val="00DA23B0"/>
    <w:rsid w:val="00DA394E"/>
    <w:rsid w:val="00DA3959"/>
    <w:rsid w:val="00DA4072"/>
    <w:rsid w:val="00DA5A96"/>
    <w:rsid w:val="00DB12EF"/>
    <w:rsid w:val="00DB663A"/>
    <w:rsid w:val="00DC072B"/>
    <w:rsid w:val="00DC1920"/>
    <w:rsid w:val="00DC79F9"/>
    <w:rsid w:val="00DD1D52"/>
    <w:rsid w:val="00DD257B"/>
    <w:rsid w:val="00DE2540"/>
    <w:rsid w:val="00DE2554"/>
    <w:rsid w:val="00DE61F3"/>
    <w:rsid w:val="00DE7623"/>
    <w:rsid w:val="00DF1706"/>
    <w:rsid w:val="00DF482B"/>
    <w:rsid w:val="00DF61A7"/>
    <w:rsid w:val="00DF67C7"/>
    <w:rsid w:val="00DF7314"/>
    <w:rsid w:val="00E04D6B"/>
    <w:rsid w:val="00E13679"/>
    <w:rsid w:val="00E14E12"/>
    <w:rsid w:val="00E171BC"/>
    <w:rsid w:val="00E2212C"/>
    <w:rsid w:val="00E2306A"/>
    <w:rsid w:val="00E23CA2"/>
    <w:rsid w:val="00E24F81"/>
    <w:rsid w:val="00E2557A"/>
    <w:rsid w:val="00E2559D"/>
    <w:rsid w:val="00E27261"/>
    <w:rsid w:val="00E274D8"/>
    <w:rsid w:val="00E342CC"/>
    <w:rsid w:val="00E36C66"/>
    <w:rsid w:val="00E37950"/>
    <w:rsid w:val="00E37A8F"/>
    <w:rsid w:val="00E4247E"/>
    <w:rsid w:val="00E42B68"/>
    <w:rsid w:val="00E43703"/>
    <w:rsid w:val="00E43C26"/>
    <w:rsid w:val="00E43FA8"/>
    <w:rsid w:val="00E44639"/>
    <w:rsid w:val="00E46AEC"/>
    <w:rsid w:val="00E46CEA"/>
    <w:rsid w:val="00E4702E"/>
    <w:rsid w:val="00E474F0"/>
    <w:rsid w:val="00E47A9A"/>
    <w:rsid w:val="00E50993"/>
    <w:rsid w:val="00E516F3"/>
    <w:rsid w:val="00E528F7"/>
    <w:rsid w:val="00E528F9"/>
    <w:rsid w:val="00E55684"/>
    <w:rsid w:val="00E602D0"/>
    <w:rsid w:val="00E603C8"/>
    <w:rsid w:val="00E64DB8"/>
    <w:rsid w:val="00E64EB9"/>
    <w:rsid w:val="00E64F4D"/>
    <w:rsid w:val="00E6613F"/>
    <w:rsid w:val="00E6770F"/>
    <w:rsid w:val="00E71440"/>
    <w:rsid w:val="00E72196"/>
    <w:rsid w:val="00E72615"/>
    <w:rsid w:val="00E736EF"/>
    <w:rsid w:val="00E742C0"/>
    <w:rsid w:val="00E753C8"/>
    <w:rsid w:val="00E75858"/>
    <w:rsid w:val="00E75ECD"/>
    <w:rsid w:val="00E76F05"/>
    <w:rsid w:val="00E80272"/>
    <w:rsid w:val="00E848E3"/>
    <w:rsid w:val="00E86A90"/>
    <w:rsid w:val="00E9112A"/>
    <w:rsid w:val="00E94C91"/>
    <w:rsid w:val="00E976A2"/>
    <w:rsid w:val="00E97CBF"/>
    <w:rsid w:val="00EA58FE"/>
    <w:rsid w:val="00EA6897"/>
    <w:rsid w:val="00EA6EF0"/>
    <w:rsid w:val="00EB0855"/>
    <w:rsid w:val="00EB1C37"/>
    <w:rsid w:val="00EB3490"/>
    <w:rsid w:val="00EB4F0F"/>
    <w:rsid w:val="00EC2C30"/>
    <w:rsid w:val="00EC41C3"/>
    <w:rsid w:val="00EC7DBC"/>
    <w:rsid w:val="00EC7F7D"/>
    <w:rsid w:val="00ED2780"/>
    <w:rsid w:val="00ED3258"/>
    <w:rsid w:val="00ED3491"/>
    <w:rsid w:val="00ED6446"/>
    <w:rsid w:val="00ED688E"/>
    <w:rsid w:val="00ED6E73"/>
    <w:rsid w:val="00EE17DC"/>
    <w:rsid w:val="00EE18B8"/>
    <w:rsid w:val="00EE2870"/>
    <w:rsid w:val="00EE48CC"/>
    <w:rsid w:val="00EE617F"/>
    <w:rsid w:val="00EF008E"/>
    <w:rsid w:val="00EF1834"/>
    <w:rsid w:val="00EF1A73"/>
    <w:rsid w:val="00EF589B"/>
    <w:rsid w:val="00EF66C8"/>
    <w:rsid w:val="00EF6CF6"/>
    <w:rsid w:val="00EF7D2D"/>
    <w:rsid w:val="00F02B3A"/>
    <w:rsid w:val="00F03302"/>
    <w:rsid w:val="00F03716"/>
    <w:rsid w:val="00F048C4"/>
    <w:rsid w:val="00F04BC9"/>
    <w:rsid w:val="00F11B2B"/>
    <w:rsid w:val="00F14BBD"/>
    <w:rsid w:val="00F205E9"/>
    <w:rsid w:val="00F20F1B"/>
    <w:rsid w:val="00F24605"/>
    <w:rsid w:val="00F253B2"/>
    <w:rsid w:val="00F25470"/>
    <w:rsid w:val="00F27237"/>
    <w:rsid w:val="00F277D7"/>
    <w:rsid w:val="00F2792C"/>
    <w:rsid w:val="00F27E28"/>
    <w:rsid w:val="00F307A2"/>
    <w:rsid w:val="00F3140C"/>
    <w:rsid w:val="00F3248D"/>
    <w:rsid w:val="00F32C8E"/>
    <w:rsid w:val="00F333DD"/>
    <w:rsid w:val="00F33792"/>
    <w:rsid w:val="00F34226"/>
    <w:rsid w:val="00F3628D"/>
    <w:rsid w:val="00F363E0"/>
    <w:rsid w:val="00F36E82"/>
    <w:rsid w:val="00F404DF"/>
    <w:rsid w:val="00F417FC"/>
    <w:rsid w:val="00F424B0"/>
    <w:rsid w:val="00F43399"/>
    <w:rsid w:val="00F43F3B"/>
    <w:rsid w:val="00F44A8F"/>
    <w:rsid w:val="00F454BB"/>
    <w:rsid w:val="00F51007"/>
    <w:rsid w:val="00F546BC"/>
    <w:rsid w:val="00F60507"/>
    <w:rsid w:val="00F60736"/>
    <w:rsid w:val="00F61C69"/>
    <w:rsid w:val="00F63839"/>
    <w:rsid w:val="00F6459B"/>
    <w:rsid w:val="00F66FF2"/>
    <w:rsid w:val="00F67FB8"/>
    <w:rsid w:val="00F70A8F"/>
    <w:rsid w:val="00F7139A"/>
    <w:rsid w:val="00F71D53"/>
    <w:rsid w:val="00F72052"/>
    <w:rsid w:val="00F74174"/>
    <w:rsid w:val="00F747A5"/>
    <w:rsid w:val="00F75079"/>
    <w:rsid w:val="00F76A99"/>
    <w:rsid w:val="00F77FAF"/>
    <w:rsid w:val="00F80395"/>
    <w:rsid w:val="00F81F49"/>
    <w:rsid w:val="00F8456D"/>
    <w:rsid w:val="00F8763E"/>
    <w:rsid w:val="00F90D02"/>
    <w:rsid w:val="00F92FD1"/>
    <w:rsid w:val="00F93467"/>
    <w:rsid w:val="00F94484"/>
    <w:rsid w:val="00F96716"/>
    <w:rsid w:val="00F97AF0"/>
    <w:rsid w:val="00F97E01"/>
    <w:rsid w:val="00FA1D86"/>
    <w:rsid w:val="00FA283E"/>
    <w:rsid w:val="00FA71AC"/>
    <w:rsid w:val="00FB02AC"/>
    <w:rsid w:val="00FB0F9F"/>
    <w:rsid w:val="00FB4C93"/>
    <w:rsid w:val="00FB73B6"/>
    <w:rsid w:val="00FB7EF9"/>
    <w:rsid w:val="00FC013E"/>
    <w:rsid w:val="00FC2844"/>
    <w:rsid w:val="00FC293A"/>
    <w:rsid w:val="00FC3BE2"/>
    <w:rsid w:val="00FC4EEE"/>
    <w:rsid w:val="00FD0160"/>
    <w:rsid w:val="00FD23DE"/>
    <w:rsid w:val="00FD2C77"/>
    <w:rsid w:val="00FD35EB"/>
    <w:rsid w:val="00FD3700"/>
    <w:rsid w:val="00FD4516"/>
    <w:rsid w:val="00FD4C3E"/>
    <w:rsid w:val="00FD6E1A"/>
    <w:rsid w:val="00FE064D"/>
    <w:rsid w:val="00FE0A5A"/>
    <w:rsid w:val="00FE184D"/>
    <w:rsid w:val="00FE3845"/>
    <w:rsid w:val="00FE4D42"/>
    <w:rsid w:val="00FE5113"/>
    <w:rsid w:val="00FE5B60"/>
    <w:rsid w:val="00FE67AA"/>
    <w:rsid w:val="00FE6A5D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9D5EEE"/>
  <w15:docId w15:val="{84CB119D-E443-4BDB-8B83-9CC2562C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1C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D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9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511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511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5261C1"/>
    <w:rPr>
      <w:rFonts w:asciiTheme="majorHAnsi" w:eastAsiaTheme="majorEastAsia" w:hAnsiTheme="majorHAnsi" w:cstheme="majorBidi"/>
      <w:color w:val="008FD5"/>
      <w:sz w:val="36"/>
      <w:szCs w:val="32"/>
    </w:rPr>
  </w:style>
  <w:style w:type="paragraph" w:styleId="ListParagraph">
    <w:name w:val="List Paragraph"/>
    <w:basedOn w:val="Normal"/>
    <w:uiPriority w:val="34"/>
    <w:qFormat/>
    <w:rsid w:val="00005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8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7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8E"/>
    <w:rPr>
      <w:sz w:val="24"/>
    </w:rPr>
  </w:style>
  <w:style w:type="character" w:styleId="IntenseEmphasis">
    <w:name w:val="Intense Emphasis"/>
    <w:basedOn w:val="DefaultParagraphFont"/>
    <w:uiPriority w:val="21"/>
    <w:qFormat/>
    <w:rsid w:val="00460436"/>
    <w:rPr>
      <w:i/>
      <w:iCs/>
      <w:color w:val="008FD5"/>
    </w:rPr>
  </w:style>
  <w:style w:type="character" w:styleId="Hyperlink">
    <w:name w:val="Hyperlink"/>
    <w:basedOn w:val="DefaultParagraphFont"/>
    <w:uiPriority w:val="99"/>
    <w:unhideWhenUsed/>
    <w:rsid w:val="00230D2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E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02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0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9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3B5B"/>
    <w:pPr>
      <w:spacing w:after="0" w:line="240" w:lineRule="auto"/>
    </w:pPr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62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62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621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E6CB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D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C0F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1">
    <w:name w:val="Grid Table 3 Accent 1"/>
    <w:basedOn w:val="TableNormal"/>
    <w:uiPriority w:val="48"/>
    <w:rsid w:val="00617E5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119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tagnifi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Designed for business valuation professionals, TagniFi’s Quarterly Economic Update provides timely economic data to satisfy Revenue Ruling 59-60.  </Abstract>
  <CompanyAddress/>
  <CompanyPhone/>
  <CompanyFax/>
  <CompanyEmail>www.tagnifi.com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B5D0FE-261B-0D4D-90C2-18A6E4BF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12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M&amp;A Update</vt:lpstr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M&amp;A Update</dc:title>
  <dc:subject>For the 1st Quarter of 2020</dc:subject>
  <dc:creator>Office 365</dc:creator>
  <cp:keywords/>
  <dc:description/>
  <cp:lastModifiedBy>Chad Sandstedt</cp:lastModifiedBy>
  <cp:revision>29</cp:revision>
  <cp:lastPrinted>2022-04-10T01:43:00Z</cp:lastPrinted>
  <dcterms:created xsi:type="dcterms:W3CDTF">2022-07-04T12:09:00Z</dcterms:created>
  <dcterms:modified xsi:type="dcterms:W3CDTF">2022-07-07T16:31:00Z</dcterms:modified>
</cp:coreProperties>
</file>