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373C61BB" w:rsidR="006663D0" w:rsidRDefault="006663D0" w:rsidP="002E6FDE">
          <w:pPr>
            <w:jc w:val="right"/>
            <w:rPr>
              <w:sz w:val="36"/>
              <w:szCs w:val="36"/>
            </w:rPr>
          </w:pPr>
          <w:r w:rsidRPr="006663D0">
            <w:rPr>
              <w:sz w:val="36"/>
              <w:szCs w:val="36"/>
            </w:rPr>
            <w:t xml:space="preserve">For the </w:t>
          </w:r>
          <w:r w:rsidR="00B73CC4">
            <w:rPr>
              <w:sz w:val="36"/>
              <w:szCs w:val="36"/>
            </w:rPr>
            <w:t>2</w:t>
          </w:r>
          <w:r w:rsidR="00B73CC4" w:rsidRPr="00B73CC4">
            <w:rPr>
              <w:sz w:val="36"/>
              <w:szCs w:val="36"/>
              <w:vertAlign w:val="superscript"/>
            </w:rPr>
            <w:t>nd</w:t>
          </w:r>
          <w:r w:rsidR="00B73CC4">
            <w:rPr>
              <w:sz w:val="36"/>
              <w:szCs w:val="36"/>
            </w:rPr>
            <w:t xml:space="preserve"> </w:t>
          </w:r>
          <w:r w:rsidR="00795ECE">
            <w:rPr>
              <w:sz w:val="36"/>
              <w:szCs w:val="36"/>
            </w:rPr>
            <w:t>Quarter of 202</w:t>
          </w:r>
          <w:r w:rsidR="00121A39">
            <w:rPr>
              <w:sz w:val="36"/>
              <w:szCs w:val="36"/>
            </w:rPr>
            <w:t>2</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1E8B4F1C" w14:textId="07ED6309" w:rsidR="00B73CC4" w:rsidRDefault="00B73CC4" w:rsidP="00B73CC4">
      <w:r>
        <w:t>In the</w:t>
      </w:r>
      <w:r w:rsidRPr="00116D55">
        <w:t xml:space="preserve"> </w:t>
      </w:r>
      <w:r>
        <w:t>2</w:t>
      </w:r>
      <w:r w:rsidRPr="00B73CC4">
        <w:rPr>
          <w:vertAlign w:val="superscript"/>
        </w:rPr>
        <w:t>nd</w:t>
      </w:r>
      <w:r>
        <w:t xml:space="preserve"> </w:t>
      </w:r>
      <w:r w:rsidRPr="00116D55">
        <w:t>quarter of 202</w:t>
      </w:r>
      <w:r>
        <w:t xml:space="preserve">2, inflation was the focal point of </w:t>
      </w:r>
      <w:r w:rsidRPr="007740D3">
        <w:t>the U.S. econom</w:t>
      </w:r>
      <w:r>
        <w:t>ic picture. Contrary to officials’ hopes that price pressures would be transitory, inflation proved to be persistent</w:t>
      </w:r>
      <w:r w:rsidRPr="007740D3">
        <w:t>.</w:t>
      </w:r>
      <w:r>
        <w:t xml:space="preserve"> Meanwhile, lowered private investment and government spending pulled real GDP into its second consecutive quarterly decline—a common informal recession hallmark.</w:t>
      </w:r>
    </w:p>
    <w:p w14:paraId="6166A2C3" w14:textId="1EFCE25D" w:rsidR="00B73CC4" w:rsidRDefault="00B73CC4" w:rsidP="00B73CC4">
      <w:r>
        <w:t>Counteracting the stubborn</w:t>
      </w:r>
      <w:r w:rsidRPr="00BE3701">
        <w:t xml:space="preserve"> inflationary pressures</w:t>
      </w:r>
      <w:r>
        <w:t xml:space="preserve"> without tipping the economy into recession </w:t>
      </w:r>
      <w:r w:rsidRPr="00BE3701">
        <w:t>continue</w:t>
      </w:r>
      <w:r>
        <w:t>d</w:t>
      </w:r>
      <w:r w:rsidRPr="00BE3701">
        <w:t xml:space="preserve"> to be </w:t>
      </w:r>
      <w:r>
        <w:t xml:space="preserve">the central concern for the U.S. </w:t>
      </w:r>
      <w:r w:rsidR="00817CD9">
        <w:t>S</w:t>
      </w:r>
      <w:r w:rsidR="00817CD9" w:rsidRPr="00134929">
        <w:t>upply chains</w:t>
      </w:r>
      <w:r w:rsidR="00817CD9">
        <w:t xml:space="preserve"> were not yet operating smoothly, especially at shipping ports, and the Russian war on Ukraine continued to constrain oil supply as gasoline prices shattered former record highs in the U.S</w:t>
      </w:r>
      <w:r>
        <w:t xml:space="preserve">. The Federal Reserve has undertaken efforts to curb inflation with tightening monetary policy including a series of target interest rate increases and an end to a two-year quantitative easing campaign. The Fed established plans to tighten its nearly $9 trillion asset holdings by halting acquisitions and letting </w:t>
      </w:r>
      <w:proofErr w:type="gramStart"/>
      <w:r>
        <w:t>currently-held</w:t>
      </w:r>
      <w:proofErr w:type="gramEnd"/>
      <w:r>
        <w:t xml:space="preserve"> bonds mature.</w:t>
      </w:r>
    </w:p>
    <w:p w14:paraId="397EF885" w14:textId="37705EC0" w:rsidR="00B73CC4" w:rsidRPr="008D1615" w:rsidRDefault="00B73CC4" w:rsidP="00B73CC4">
      <w:r>
        <w:t xml:space="preserve">The labor market brought </w:t>
      </w:r>
      <w:proofErr w:type="gramStart"/>
      <w:r>
        <w:t>rare good</w:t>
      </w:r>
      <w:proofErr w:type="gramEnd"/>
      <w:r>
        <w:t xml:space="preserve"> news in the 2</w:t>
      </w:r>
      <w:r w:rsidRPr="00B73CC4">
        <w:rPr>
          <w:vertAlign w:val="superscript"/>
        </w:rPr>
        <w:t>nd</w:t>
      </w:r>
      <w:r>
        <w:t xml:space="preserve"> quarter of 2022, with the unemployment rate holding steady and the broader U-6 rate that includes discouraged and involuntary part-time workers reaching a record low. </w:t>
      </w:r>
    </w:p>
    <w:p w14:paraId="2D59E529" w14:textId="6BC96350" w:rsidR="002D17D6" w:rsidRPr="00497298" w:rsidRDefault="00224BBF" w:rsidP="002D17D6">
      <w:r w:rsidRPr="00224BBF">
        <w:t xml:space="preserve">Amidst these challenges to economic recovery, Omicron subvariants spread, generating a sixth wave of COVID-19 cases in the U.S. The wave had not yet reached an apex as the </w:t>
      </w:r>
      <w:r>
        <w:t>2</w:t>
      </w:r>
      <w:r w:rsidRPr="00224BBF">
        <w:rPr>
          <w:vertAlign w:val="superscript"/>
        </w:rPr>
        <w:t>nd</w:t>
      </w:r>
      <w:r>
        <w:t xml:space="preserve"> </w:t>
      </w:r>
      <w:r w:rsidRPr="00224BBF">
        <w:t xml:space="preserve">quarter ended with a daily case count (as measured by the 7-day moving average) of 112,442, 86% below the prior quarter’s peak. Deaths per day, which lag cases by 2-3 weeks, largely declined throughout the </w:t>
      </w:r>
      <w:r w:rsidR="00B73CC4">
        <w:t>2</w:t>
      </w:r>
      <w:r w:rsidR="00B73CC4" w:rsidRPr="00B73CC4">
        <w:rPr>
          <w:vertAlign w:val="superscript"/>
        </w:rPr>
        <w:t>nd</w:t>
      </w:r>
      <w:r w:rsidR="00B73CC4">
        <w:t xml:space="preserve"> </w:t>
      </w:r>
      <w:r w:rsidRPr="00224BBF">
        <w:t xml:space="preserve">quarter, trending up again in June to end the quarter at 367, much lower than any prior wave and 87% below the </w:t>
      </w:r>
      <w:r w:rsidR="00817CD9">
        <w:t>previous</w:t>
      </w:r>
      <w:r w:rsidRPr="00224BBF">
        <w:t xml:space="preserve"> quarter’s peak.</w:t>
      </w:r>
    </w:p>
    <w:p w14:paraId="6963DC15" w14:textId="2C3BA3C0" w:rsidR="006F58B0" w:rsidRPr="00E26E3C" w:rsidRDefault="006F58B0" w:rsidP="00D93A8B">
      <w:r w:rsidRPr="00E26E3C">
        <w:t xml:space="preserve">Below is a summary timeline of key COVID-19 events in the U.S. during the </w:t>
      </w:r>
      <w:r w:rsidR="00224BBF">
        <w:t>2</w:t>
      </w:r>
      <w:r w:rsidR="00224BBF" w:rsidRPr="00224BBF">
        <w:rPr>
          <w:vertAlign w:val="superscript"/>
        </w:rPr>
        <w:t>nd</w:t>
      </w:r>
      <w:r w:rsidR="00224BBF">
        <w:t xml:space="preserve"> </w:t>
      </w:r>
      <w:r w:rsidRPr="00E26E3C">
        <w:t>quarter of 202</w:t>
      </w:r>
      <w:r w:rsidR="00E70CF0">
        <w:t>2</w:t>
      </w:r>
      <w:r w:rsidRPr="00E26E3C">
        <w:t>:</w:t>
      </w:r>
    </w:p>
    <w:tbl>
      <w:tblPr>
        <w:tblStyle w:val="GridTable3-Accent1"/>
        <w:tblW w:w="0" w:type="auto"/>
        <w:tblLook w:val="0400" w:firstRow="0" w:lastRow="0" w:firstColumn="0" w:lastColumn="0" w:noHBand="0" w:noVBand="1"/>
      </w:tblPr>
      <w:tblGrid>
        <w:gridCol w:w="2245"/>
        <w:gridCol w:w="7105"/>
      </w:tblGrid>
      <w:tr w:rsidR="006F58B0" w:rsidRPr="00E26E3C" w14:paraId="03717F31"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2A4C4CDC" w14:textId="2279CE4C" w:rsidR="006F58B0" w:rsidRPr="00E26E3C" w:rsidRDefault="00224BBF" w:rsidP="003A2900">
            <w:r>
              <w:t>April</w:t>
            </w:r>
            <w:r w:rsidR="007E321E">
              <w:t xml:space="preserve"> 1</w:t>
            </w:r>
            <w:r w:rsidR="006F58B0" w:rsidRPr="00E26E3C">
              <w:t>, 202</w:t>
            </w:r>
            <w:r w:rsidR="00905C9B">
              <w:t>2</w:t>
            </w:r>
          </w:p>
        </w:tc>
        <w:tc>
          <w:tcPr>
            <w:tcW w:w="7105" w:type="dxa"/>
          </w:tcPr>
          <w:p w14:paraId="4C2D5DBA" w14:textId="05345055" w:rsidR="006F58B0" w:rsidRPr="00C042DD" w:rsidRDefault="00BD4FA3" w:rsidP="003A2900">
            <w:r w:rsidRPr="00C042DD">
              <w:t>U.S.</w:t>
            </w:r>
            <w:r w:rsidR="006F58B0" w:rsidRPr="00C042DD">
              <w:t xml:space="preserve"> begins the quarter at </w:t>
            </w:r>
            <w:r w:rsidR="00224BBF">
              <w:t>25,546</w:t>
            </w:r>
            <w:r w:rsidR="006F58B0" w:rsidRPr="00C042DD">
              <w:t xml:space="preserve"> daily cases, </w:t>
            </w:r>
            <w:r w:rsidR="00B860AC">
              <w:t>596</w:t>
            </w:r>
            <w:r w:rsidR="006F58B0" w:rsidRPr="00C042DD">
              <w:t xml:space="preserve"> daily deaths</w:t>
            </w:r>
            <w:r w:rsidR="00E26E3C" w:rsidRPr="00C042DD">
              <w:t xml:space="preserve"> (7-day moving average)</w:t>
            </w:r>
            <w:r w:rsidR="006F58B0" w:rsidRPr="00C042DD">
              <w:t xml:space="preserve">. </w:t>
            </w:r>
            <w:r w:rsidR="005F344C" w:rsidRPr="00C042DD">
              <w:t>6</w:t>
            </w:r>
            <w:r w:rsidR="00B860AC">
              <w:t>6</w:t>
            </w:r>
            <w:r w:rsidR="006F58B0" w:rsidRPr="00C042DD">
              <w:t>% of Americans are fully vaccinated.</w:t>
            </w:r>
          </w:p>
        </w:tc>
      </w:tr>
      <w:tr w:rsidR="00691FBD" w:rsidRPr="00E26E3C" w14:paraId="005AA34A" w14:textId="77777777" w:rsidTr="007E321E">
        <w:tc>
          <w:tcPr>
            <w:tcW w:w="2245" w:type="dxa"/>
          </w:tcPr>
          <w:p w14:paraId="4BE4C0F2" w14:textId="71A47842" w:rsidR="00691FBD" w:rsidRDefault="00691FBD" w:rsidP="003A2900">
            <w:r>
              <w:t>April 18, 2022</w:t>
            </w:r>
          </w:p>
        </w:tc>
        <w:tc>
          <w:tcPr>
            <w:tcW w:w="7105" w:type="dxa"/>
          </w:tcPr>
          <w:p w14:paraId="21CAE908" w14:textId="76F1A170" w:rsidR="00691FBD" w:rsidRPr="00C042DD" w:rsidRDefault="00691FBD" w:rsidP="003A2900">
            <w:r>
              <w:t>Federal mandate requiring masks on public transportation voided by U.S. District Court of Florida</w:t>
            </w:r>
          </w:p>
        </w:tc>
      </w:tr>
      <w:tr w:rsidR="00691FBD" w:rsidRPr="00E26E3C" w14:paraId="3474002E"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63327EA4" w14:textId="1EFD2978" w:rsidR="00691FBD" w:rsidRDefault="00691FBD" w:rsidP="003A2900">
            <w:r>
              <w:t>May 3, 2022</w:t>
            </w:r>
          </w:p>
        </w:tc>
        <w:tc>
          <w:tcPr>
            <w:tcW w:w="7105" w:type="dxa"/>
          </w:tcPr>
          <w:p w14:paraId="233146C0" w14:textId="082EACED" w:rsidR="00691FBD" w:rsidRDefault="00691FBD" w:rsidP="003A2900">
            <w:r>
              <w:t>CDC recommends mask wearing for all persons over the age of 2 on public transportation</w:t>
            </w:r>
          </w:p>
        </w:tc>
      </w:tr>
      <w:tr w:rsidR="00467365" w:rsidRPr="00E26E3C" w14:paraId="6922B589" w14:textId="77777777" w:rsidTr="007E321E">
        <w:tc>
          <w:tcPr>
            <w:tcW w:w="2245" w:type="dxa"/>
          </w:tcPr>
          <w:p w14:paraId="5BF92D7D" w14:textId="1EB5C690" w:rsidR="00467365" w:rsidRDefault="00691FBD" w:rsidP="003A2900">
            <w:r>
              <w:t>May 20</w:t>
            </w:r>
            <w:r w:rsidR="00467365">
              <w:t>, 202</w:t>
            </w:r>
            <w:r w:rsidR="00905C9B">
              <w:t>2</w:t>
            </w:r>
          </w:p>
        </w:tc>
        <w:tc>
          <w:tcPr>
            <w:tcW w:w="7105" w:type="dxa"/>
          </w:tcPr>
          <w:p w14:paraId="0153063B" w14:textId="427AEB14" w:rsidR="00467365" w:rsidRDefault="00905C9B" w:rsidP="003A2900">
            <w:r>
              <w:t xml:space="preserve">U.S. </w:t>
            </w:r>
            <w:r w:rsidR="00691FBD">
              <w:t>reaches</w:t>
            </w:r>
            <w:r w:rsidRPr="00905C9B">
              <w:t xml:space="preserve"> 1 </w:t>
            </w:r>
            <w:r>
              <w:t>m</w:t>
            </w:r>
            <w:r w:rsidRPr="00905C9B">
              <w:t xml:space="preserve">illion </w:t>
            </w:r>
            <w:r w:rsidR="00691FBD">
              <w:t>total deaths from</w:t>
            </w:r>
            <w:r>
              <w:t xml:space="preserve"> </w:t>
            </w:r>
            <w:r w:rsidRPr="00905C9B">
              <w:t>COVID-19</w:t>
            </w:r>
            <w:r w:rsidR="005D022C">
              <w:t>.</w:t>
            </w:r>
          </w:p>
        </w:tc>
      </w:tr>
      <w:tr w:rsidR="003A4B97" w:rsidRPr="00E26E3C" w14:paraId="189BB975"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745FB2DB" w14:textId="27D6CEB1" w:rsidR="003A4B97" w:rsidRDefault="00224BBF" w:rsidP="003A2900">
            <w:r>
              <w:t>June 18</w:t>
            </w:r>
            <w:r w:rsidR="003A4B97">
              <w:t>, 202</w:t>
            </w:r>
            <w:r>
              <w:t>2</w:t>
            </w:r>
          </w:p>
        </w:tc>
        <w:tc>
          <w:tcPr>
            <w:tcW w:w="7105" w:type="dxa"/>
          </w:tcPr>
          <w:p w14:paraId="165D6942" w14:textId="508D2412" w:rsidR="003A4B97" w:rsidRPr="007E321E" w:rsidRDefault="00224BBF" w:rsidP="003A2900">
            <w:r w:rsidRPr="00224BBF">
              <w:t xml:space="preserve">CDC </w:t>
            </w:r>
            <w:r>
              <w:t>r</w:t>
            </w:r>
            <w:r w:rsidRPr="00224BBF">
              <w:t xml:space="preserve">ecommends </w:t>
            </w:r>
            <w:r>
              <w:t xml:space="preserve">Pfizer-BioNTech and Moderna </w:t>
            </w:r>
            <w:r w:rsidRPr="00224BBF">
              <w:t xml:space="preserve">COVID-19 </w:t>
            </w:r>
            <w:r>
              <w:t>v</w:t>
            </w:r>
            <w:r w:rsidRPr="00224BBF">
              <w:t xml:space="preserve">accines for </w:t>
            </w:r>
            <w:r>
              <w:t>c</w:t>
            </w:r>
            <w:r w:rsidRPr="00224BBF">
              <w:t>hildren</w:t>
            </w:r>
            <w:r>
              <w:t xml:space="preserve"> </w:t>
            </w:r>
            <w:r w:rsidRPr="00224BBF">
              <w:t>6 months through 5 years of age</w:t>
            </w:r>
            <w:r w:rsidR="005D022C">
              <w:t>.</w:t>
            </w:r>
          </w:p>
        </w:tc>
      </w:tr>
      <w:tr w:rsidR="009E2682" w:rsidRPr="00E26E3C" w14:paraId="7BEECDDB" w14:textId="77777777" w:rsidTr="007E321E">
        <w:tc>
          <w:tcPr>
            <w:tcW w:w="2245" w:type="dxa"/>
          </w:tcPr>
          <w:p w14:paraId="5813D88D" w14:textId="4B180CC2" w:rsidR="006F58B0" w:rsidRPr="00E26E3C" w:rsidRDefault="00B860AC" w:rsidP="003A2900">
            <w:r>
              <w:t>June 30</w:t>
            </w:r>
            <w:r w:rsidR="00467365">
              <w:t>, 202</w:t>
            </w:r>
            <w:r w:rsidR="00224BBF">
              <w:t>2</w:t>
            </w:r>
          </w:p>
        </w:tc>
        <w:tc>
          <w:tcPr>
            <w:tcW w:w="7105" w:type="dxa"/>
          </w:tcPr>
          <w:p w14:paraId="0C678F3D" w14:textId="7EBEBB48" w:rsidR="006F58B0" w:rsidRPr="00E26E3C" w:rsidRDefault="00BD4FA3" w:rsidP="003A2900">
            <w:r>
              <w:t>U.S.</w:t>
            </w:r>
            <w:r w:rsidR="00467365">
              <w:t xml:space="preserve"> ends the quarter at </w:t>
            </w:r>
            <w:r w:rsidR="00B860AC">
              <w:t>112,442</w:t>
            </w:r>
            <w:r w:rsidR="00467365">
              <w:t xml:space="preserve"> daily cases, </w:t>
            </w:r>
            <w:r w:rsidR="00B860AC">
              <w:t>367</w:t>
            </w:r>
            <w:r w:rsidR="00467365">
              <w:t xml:space="preserve"> daily deaths (7-day moving average)</w:t>
            </w:r>
            <w:r w:rsidR="005D022C">
              <w:t>.</w:t>
            </w:r>
            <w:r w:rsidR="007E4E9D">
              <w:t xml:space="preserve"> </w:t>
            </w:r>
            <w:r w:rsidR="0058330E">
              <w:t>6</w:t>
            </w:r>
            <w:r w:rsidR="00B860AC">
              <w:t>7</w:t>
            </w:r>
            <w:r w:rsidR="007E4E9D">
              <w:t>% of Americans are fully vaccinated.</w:t>
            </w:r>
          </w:p>
        </w:tc>
      </w:tr>
    </w:tbl>
    <w:p w14:paraId="0C65A06D" w14:textId="77777777" w:rsidR="00E50A6B" w:rsidRDefault="00E50A6B" w:rsidP="008F1FD4"/>
    <w:p w14:paraId="045703EE" w14:textId="6563F3F3" w:rsidR="00224BBF" w:rsidRDefault="00224BBF" w:rsidP="00224BBF">
      <w:r>
        <w:t>Despite the significantly mutated Omicron variant family causing frequent “breakthrough infections” among vaccinated people, vaccines continued to prove highly effective at preventing serious illness and death. In June</w:t>
      </w:r>
      <w:r w:rsidR="00817CD9">
        <w:t>,</w:t>
      </w:r>
      <w:r>
        <w:t xml:space="preserve"> the U.S. joined the list of countries offering </w:t>
      </w:r>
      <w:r>
        <w:lastRenderedPageBreak/>
        <w:t xml:space="preserve">COVID-19 vaccines to children under 5, </w:t>
      </w:r>
      <w:r w:rsidR="00D6213A">
        <w:t>making vaccines available for Americans 6 months and up, although many remain unwilling to utilize them</w:t>
      </w:r>
      <w:r>
        <w:t xml:space="preserve">. Global vaccination efforts continue to push closer to the WHO’s 70% goal. </w:t>
      </w:r>
      <w:r w:rsidRPr="00BD4FA3">
        <w:t xml:space="preserve">Through vaccination and the </w:t>
      </w:r>
      <w:r>
        <w:t>huge numbers of people previously infected—including around 60 percent of the U.S. population—</w:t>
      </w:r>
      <w:r w:rsidRPr="00BD4FA3">
        <w:t xml:space="preserve">the pandemic </w:t>
      </w:r>
      <w:r>
        <w:t>is moving into a more controlled phase. Still, experts agree that the ever-mutating COVID-19 virus is not yet l</w:t>
      </w:r>
      <w:r w:rsidRPr="00BD4FA3">
        <w:t xml:space="preserve">imited </w:t>
      </w:r>
      <w:r>
        <w:t xml:space="preserve">enough in </w:t>
      </w:r>
      <w:r w:rsidRPr="00BD4FA3">
        <w:t xml:space="preserve">deadliness and reach </w:t>
      </w:r>
      <w:r>
        <w:t>to be considered endemic, leaving governments still striving to balance virus control with opportunity for economic growth</w:t>
      </w:r>
      <w:r w:rsidRPr="00BD4FA3">
        <w:t>.</w:t>
      </w:r>
    </w:p>
    <w:p w14:paraId="380DE2B2" w14:textId="7A4635F9" w:rsidR="00F03302" w:rsidRPr="00BD7409" w:rsidRDefault="00B36811" w:rsidP="001E26E8">
      <w:pPr>
        <w:spacing w:before="160"/>
        <w:rPr>
          <w:strike/>
        </w:rPr>
      </w:pPr>
      <w:r>
        <w:t>A multifactor indicator of economic strength, the</w:t>
      </w:r>
      <w:r w:rsidR="00A615E8" w:rsidRPr="00BD7409">
        <w:t xml:space="preserve"> Philadelphia Fed’s coincident index</w:t>
      </w:r>
      <w:r w:rsidR="00EC7CB1" w:rsidRPr="00BD7409">
        <w:rPr>
          <w:rStyle w:val="FootnoteReference"/>
        </w:rPr>
        <w:footnoteReference w:id="1"/>
      </w:r>
      <w:r w:rsidR="00A615E8" w:rsidRPr="00BD7409">
        <w:t xml:space="preserve"> of economic activity in the U.S. </w:t>
      </w:r>
      <w:r w:rsidR="003A390C" w:rsidRPr="00BD7409">
        <w:t xml:space="preserve">rose </w:t>
      </w:r>
      <w:r w:rsidR="00795ECE" w:rsidRPr="00BD7409">
        <w:t>0.</w:t>
      </w:r>
      <w:r w:rsidR="00B73CC4">
        <w:t>3</w:t>
      </w:r>
      <w:r w:rsidR="003A390C" w:rsidRPr="00BD7409">
        <w:t xml:space="preserve">% in </w:t>
      </w:r>
      <w:r w:rsidR="00B73CC4">
        <w:t>June</w:t>
      </w:r>
      <w:r w:rsidR="00795ECE" w:rsidRPr="00BD7409">
        <w:t xml:space="preserve"> 202</w:t>
      </w:r>
      <w:r w:rsidR="00121A39">
        <w:t>2</w:t>
      </w:r>
      <w:r w:rsidR="00795ECE" w:rsidRPr="00BD7409">
        <w:t xml:space="preserve"> </w:t>
      </w:r>
      <w:r w:rsidR="00C10F0A" w:rsidRPr="00BD7409">
        <w:t xml:space="preserve">and </w:t>
      </w:r>
      <w:r w:rsidR="00B73CC4">
        <w:t>0.9</w:t>
      </w:r>
      <w:r w:rsidR="00C10F0A" w:rsidRPr="00BD7409">
        <w:t xml:space="preserve">% </w:t>
      </w:r>
      <w:r w:rsidR="00EC7CB1" w:rsidRPr="00BD7409">
        <w:t>during</w:t>
      </w:r>
      <w:r w:rsidR="00A615E8" w:rsidRPr="00BD7409">
        <w:t xml:space="preserve"> the </w:t>
      </w:r>
      <w:r w:rsidR="00B73CC4">
        <w:t>2</w:t>
      </w:r>
      <w:r w:rsidR="00B73CC4" w:rsidRPr="00B73CC4">
        <w:rPr>
          <w:vertAlign w:val="superscript"/>
        </w:rPr>
        <w:t>nd</w:t>
      </w:r>
      <w:r w:rsidR="00B73CC4">
        <w:t xml:space="preserve"> </w:t>
      </w:r>
      <w:r w:rsidR="00A615E8" w:rsidRPr="00BD7409">
        <w:t>quarter</w:t>
      </w:r>
      <w:r w:rsidR="00AF420E" w:rsidRPr="00BD7409">
        <w:t xml:space="preserve">. </w:t>
      </w:r>
      <w:r w:rsidR="00EC7CB1" w:rsidRPr="00BD7409">
        <w:t>For the quarter</w:t>
      </w:r>
      <w:r w:rsidR="00A615E8" w:rsidRPr="00BD7409">
        <w:t xml:space="preserve">, coincident indexes </w:t>
      </w:r>
      <w:r w:rsidR="00C10F0A" w:rsidRPr="00BD7409">
        <w:t>increased</w:t>
      </w:r>
      <w:r w:rsidR="003A390C" w:rsidRPr="00BD7409">
        <w:t xml:space="preserve"> in </w:t>
      </w:r>
      <w:r w:rsidR="00B73CC4">
        <w:t>4</w:t>
      </w:r>
      <w:r w:rsidR="002A72F6">
        <w:t>7</w:t>
      </w:r>
      <w:r w:rsidR="00BD7409">
        <w:t xml:space="preserve"> </w:t>
      </w:r>
      <w:r w:rsidR="003A390C" w:rsidRPr="00BD7409">
        <w:t>state</w:t>
      </w:r>
      <w:r w:rsidR="005B7A7E">
        <w:t>s</w:t>
      </w:r>
      <w:r w:rsidR="00B73CC4">
        <w:t xml:space="preserve"> and</w:t>
      </w:r>
      <w:r w:rsidR="00C70EAC">
        <w:t xml:space="preserve"> </w:t>
      </w:r>
      <w:r w:rsidR="00B73CC4">
        <w:t>decreased</w:t>
      </w:r>
      <w:r w:rsidR="00F22E71">
        <w:t xml:space="preserve"> in </w:t>
      </w:r>
      <w:r w:rsidR="002A72F6">
        <w:t>3</w:t>
      </w:r>
      <w:r w:rsidR="00F22E71">
        <w:t xml:space="preserve"> states</w:t>
      </w:r>
      <w:r w:rsidR="00A615E8" w:rsidRPr="00BD7409">
        <w:t xml:space="preserve">. Coincident indexes reflect </w:t>
      </w:r>
      <w:r w:rsidR="00714B74" w:rsidRPr="00BD7409">
        <w:t>unemployment, payroll employment, manufacturing hours, and wages and salaries</w:t>
      </w:r>
      <w:r w:rsidR="00A14CD4" w:rsidRPr="00BD7409">
        <w:t>.</w:t>
      </w:r>
      <w:r w:rsidR="00714B74" w:rsidRPr="00BD7409">
        <w:t xml:space="preserve"> </w:t>
      </w:r>
    </w:p>
    <w:p w14:paraId="7739DC43" w14:textId="4B3B810B" w:rsidR="00A96A6A" w:rsidRDefault="0027585A" w:rsidP="006D4E8F">
      <w:pPr>
        <w:jc w:val="center"/>
      </w:pPr>
      <w:r w:rsidRPr="00F04A88">
        <w:rPr>
          <w:noProof/>
          <w:highlight w:val="yellow"/>
        </w:rPr>
        <w:t xml:space="preserve"> </w:t>
      </w:r>
      <w:r w:rsidR="002A72F6" w:rsidRPr="002A72F6">
        <w:rPr>
          <w:noProof/>
        </w:rPr>
        <w:drawing>
          <wp:inline distT="0" distB="0" distL="0" distR="0" wp14:anchorId="6B21C96C" wp14:editId="136CBF32">
            <wp:extent cx="5943600" cy="3261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1995"/>
                    </a:xfrm>
                    <a:prstGeom prst="rect">
                      <a:avLst/>
                    </a:prstGeom>
                    <a:noFill/>
                    <a:ln>
                      <a:noFill/>
                    </a:ln>
                  </pic:spPr>
                </pic:pic>
              </a:graphicData>
            </a:graphic>
          </wp:inline>
        </w:drawing>
      </w:r>
    </w:p>
    <w:p w14:paraId="022CFF26" w14:textId="355CAB3C"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2"/>
      </w:r>
      <w:r w:rsidR="009E4D8D" w:rsidRPr="00CA74AC">
        <w:t xml:space="preserve"> </w:t>
      </w:r>
      <w:r w:rsidR="004903C9">
        <w:t>rose 4.</w:t>
      </w:r>
      <w:r w:rsidR="00297653">
        <w:t>09</w:t>
      </w:r>
      <w:r w:rsidR="004903C9">
        <w:t>%</w:t>
      </w:r>
      <w:r w:rsidR="00442565">
        <w:t xml:space="preserve"> during</w:t>
      </w:r>
      <w:r w:rsidR="00DA3959">
        <w:t xml:space="preserve"> the </w:t>
      </w:r>
      <w:r w:rsidR="004903C9">
        <w:t>2</w:t>
      </w:r>
      <w:r w:rsidR="004903C9" w:rsidRPr="004903C9">
        <w:rPr>
          <w:vertAlign w:val="superscript"/>
        </w:rPr>
        <w:t>nd</w:t>
      </w:r>
      <w:r w:rsidR="001E483E">
        <w:t xml:space="preserve"> </w:t>
      </w:r>
      <w:r w:rsidR="00D5040E">
        <w:t>quarter of 202</w:t>
      </w:r>
      <w:r w:rsidR="003D52B8">
        <w:t>2</w:t>
      </w:r>
      <w:r w:rsidR="004903C9">
        <w:t xml:space="preserve"> and</w:t>
      </w:r>
      <w:r w:rsidR="000A6B19">
        <w:t xml:space="preserve"> </w:t>
      </w:r>
      <w:r w:rsidR="00297653">
        <w:t>8</w:t>
      </w:r>
      <w:r w:rsidR="004903C9">
        <w:t>.50</w:t>
      </w:r>
      <w:r w:rsidR="007939CA">
        <w:t xml:space="preserve">% </w:t>
      </w:r>
      <w:r w:rsidR="004903C9">
        <w:t>since</w:t>
      </w:r>
      <w:r w:rsidR="007939CA">
        <w:t xml:space="preserve"> </w:t>
      </w:r>
      <w:r w:rsidR="004903C9">
        <w:t>June</w:t>
      </w:r>
      <w:r w:rsidR="003D52B8">
        <w:t xml:space="preserve"> 2021</w:t>
      </w:r>
      <w:r w:rsidR="009E4D8D" w:rsidRPr="00CA74AC">
        <w:t>.</w:t>
      </w:r>
      <w:r w:rsidR="002857FD">
        <w:t xml:space="preserve"> </w:t>
      </w:r>
      <w:r w:rsidR="000B43C0">
        <w:t>The dollar</w:t>
      </w:r>
      <w:r w:rsidR="00E46B99">
        <w:t>, a common safe-haven investment when the world economy shows signs of weakness, benefited from rampant inflation in the EU even as domestic inflation soared to a 40-year high</w:t>
      </w:r>
      <w:r w:rsidR="004B2DF4">
        <w:t>.</w:t>
      </w:r>
      <w:r w:rsidR="0079151F">
        <w:t xml:space="preserve"> </w:t>
      </w:r>
      <w:r w:rsidR="00285D03">
        <w:t xml:space="preserve">Meanwhile, </w:t>
      </w:r>
      <w:r w:rsidR="006C534C">
        <w:t>the Fed</w:t>
      </w:r>
      <w:r w:rsidR="003531E6">
        <w:t>eral Reserve</w:t>
      </w:r>
      <w:r w:rsidR="006C534C">
        <w:t xml:space="preserve"> </w:t>
      </w:r>
      <w:r w:rsidR="00E46B99">
        <w:t>followed its 1</w:t>
      </w:r>
      <w:r w:rsidR="00E46B99" w:rsidRPr="00E46B99">
        <w:rPr>
          <w:vertAlign w:val="superscript"/>
        </w:rPr>
        <w:t>st</w:t>
      </w:r>
      <w:r w:rsidR="00E46B99">
        <w:t>-quarter</w:t>
      </w:r>
      <w:r w:rsidR="006C534C">
        <w:t xml:space="preserve"> target interest rate hike </w:t>
      </w:r>
      <w:r w:rsidR="00E46B99">
        <w:t>with 2 more during the 2</w:t>
      </w:r>
      <w:r w:rsidR="00E46B99" w:rsidRPr="00E46B99">
        <w:rPr>
          <w:vertAlign w:val="superscript"/>
        </w:rPr>
        <w:t>nd</w:t>
      </w:r>
      <w:r w:rsidR="00E46B99">
        <w:t xml:space="preserve"> quarter</w:t>
      </w:r>
      <w:r w:rsidR="0079151F">
        <w:t>.</w:t>
      </w:r>
      <w:r w:rsidR="006C534C">
        <w:t xml:space="preserve"> </w:t>
      </w:r>
      <w:r w:rsidR="00E46B99">
        <w:t>Investors anticipated the Fed would remain hawkish, at least in the short term, despite mounting fears of a U.S. recession.</w:t>
      </w:r>
    </w:p>
    <w:p w14:paraId="5FD9C9E3" w14:textId="2D7D3D3E" w:rsidR="004D1C9D" w:rsidRDefault="002A72F6" w:rsidP="006D4E8F">
      <w:pPr>
        <w:jc w:val="center"/>
      </w:pPr>
      <w:r>
        <w:rPr>
          <w:noProof/>
        </w:rPr>
        <w:lastRenderedPageBreak/>
        <w:drawing>
          <wp:inline distT="0" distB="0" distL="0" distR="0" wp14:anchorId="29440BFF" wp14:editId="4949C0FB">
            <wp:extent cx="4097020" cy="2658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EF9" w14:textId="75A1960E" w:rsidR="002731EF" w:rsidRPr="00F051F3" w:rsidRDefault="001058D4" w:rsidP="001475FF">
      <w:pPr>
        <w:pStyle w:val="Heading1"/>
      </w:pPr>
      <w:r>
        <w:t>Q</w:t>
      </w:r>
      <w:r w:rsidR="00FF1401">
        <w:t>1</w:t>
      </w:r>
      <w:r>
        <w:t xml:space="preserve"> </w:t>
      </w:r>
      <w:r w:rsidR="002731EF" w:rsidRPr="00BC13CC">
        <w:t>Ec</w:t>
      </w:r>
      <w:r w:rsidR="002731EF" w:rsidRPr="00F051F3">
        <w:t>onomic Highlights</w:t>
      </w:r>
    </w:p>
    <w:p w14:paraId="7FCBE057" w14:textId="204E5FBE" w:rsidR="00540D2B" w:rsidRPr="00F051F3" w:rsidRDefault="00540D2B" w:rsidP="00E528F7">
      <w:pPr>
        <w:pStyle w:val="ListParagraph"/>
        <w:numPr>
          <w:ilvl w:val="0"/>
          <w:numId w:val="3"/>
        </w:numPr>
      </w:pPr>
      <w:r w:rsidRPr="00F051F3">
        <w:t xml:space="preserve">The Philadelphia Fed’s coincident index of economic activity in the U.S. </w:t>
      </w:r>
      <w:r w:rsidR="007618D6" w:rsidRPr="00F051F3">
        <w:t>rose 0.3% in June 2022 and 0.9% during the 2</w:t>
      </w:r>
      <w:r w:rsidR="007618D6" w:rsidRPr="00F051F3">
        <w:rPr>
          <w:vertAlign w:val="superscript"/>
        </w:rPr>
        <w:t>nd</w:t>
      </w:r>
      <w:r w:rsidR="007618D6" w:rsidRPr="00F051F3">
        <w:t xml:space="preserve"> quarter</w:t>
      </w:r>
      <w:r w:rsidRPr="00F051F3">
        <w:t>.</w:t>
      </w:r>
    </w:p>
    <w:p w14:paraId="149D5EFA" w14:textId="21271A10" w:rsidR="002608F3" w:rsidRPr="00F051F3" w:rsidRDefault="006C2DAB" w:rsidP="00E528F7">
      <w:pPr>
        <w:pStyle w:val="ListParagraph"/>
        <w:numPr>
          <w:ilvl w:val="0"/>
          <w:numId w:val="3"/>
        </w:numPr>
      </w:pPr>
      <w:r w:rsidRPr="00F051F3">
        <w:t xml:space="preserve">Real GDP </w:t>
      </w:r>
      <w:r w:rsidR="007618D6" w:rsidRPr="00F051F3">
        <w:t>for the 2</w:t>
      </w:r>
      <w:r w:rsidR="007618D6" w:rsidRPr="00F051F3">
        <w:rPr>
          <w:vertAlign w:val="superscript"/>
        </w:rPr>
        <w:t>nd</w:t>
      </w:r>
      <w:r w:rsidR="007618D6" w:rsidRPr="00F051F3">
        <w:t xml:space="preserve"> quarter of 2022 fell at an annualized rate of 0.9%, following a 1.6% decrease in the 1</w:t>
      </w:r>
      <w:r w:rsidR="007618D6" w:rsidRPr="00F051F3">
        <w:rPr>
          <w:vertAlign w:val="superscript"/>
        </w:rPr>
        <w:t>st</w:t>
      </w:r>
      <w:r w:rsidR="007618D6" w:rsidRPr="00F051F3">
        <w:t xml:space="preserve"> quarter of 2022</w:t>
      </w:r>
      <w:r w:rsidR="00D93A8B" w:rsidRPr="00F051F3">
        <w:t>.</w:t>
      </w:r>
    </w:p>
    <w:p w14:paraId="149D5EFC" w14:textId="578383B8" w:rsidR="00E24F81" w:rsidRPr="00F051F3" w:rsidRDefault="00E24F81" w:rsidP="00E528F7">
      <w:pPr>
        <w:pStyle w:val="ListParagraph"/>
        <w:numPr>
          <w:ilvl w:val="0"/>
          <w:numId w:val="3"/>
        </w:numPr>
      </w:pPr>
      <w:r w:rsidRPr="00F051F3">
        <w:t xml:space="preserve">The U.S. dollar index </w:t>
      </w:r>
      <w:r w:rsidR="007618D6" w:rsidRPr="00F051F3">
        <w:t>rose 4.</w:t>
      </w:r>
      <w:r w:rsidR="00297653">
        <w:t>09</w:t>
      </w:r>
      <w:r w:rsidR="007618D6" w:rsidRPr="00F051F3">
        <w:t>% during the 2</w:t>
      </w:r>
      <w:r w:rsidR="007618D6" w:rsidRPr="00F051F3">
        <w:rPr>
          <w:vertAlign w:val="superscript"/>
        </w:rPr>
        <w:t>nd</w:t>
      </w:r>
      <w:r w:rsidR="007618D6" w:rsidRPr="00F051F3">
        <w:t xml:space="preserve"> quarter of 2022 and </w:t>
      </w:r>
      <w:r w:rsidR="00297653">
        <w:t>8</w:t>
      </w:r>
      <w:r w:rsidR="007618D6" w:rsidRPr="00F051F3">
        <w:t>.50% since June of 2021</w:t>
      </w:r>
      <w:r w:rsidRPr="00F051F3">
        <w:t>.</w:t>
      </w:r>
    </w:p>
    <w:p w14:paraId="149D5EFD" w14:textId="01ECFC05" w:rsidR="0076717F" w:rsidRPr="00F051F3" w:rsidRDefault="00591A62" w:rsidP="00E528F7">
      <w:pPr>
        <w:pStyle w:val="ListParagraph"/>
        <w:numPr>
          <w:ilvl w:val="0"/>
          <w:numId w:val="3"/>
        </w:numPr>
      </w:pPr>
      <w:r w:rsidRPr="00F051F3">
        <w:t xml:space="preserve">The effective federal funds rate </w:t>
      </w:r>
      <w:r w:rsidR="00D03C98" w:rsidRPr="00F051F3">
        <w:t>rose 1.01 percentage point to 1.21% during the 2</w:t>
      </w:r>
      <w:r w:rsidR="00D03C98" w:rsidRPr="00F051F3">
        <w:rPr>
          <w:vertAlign w:val="superscript"/>
        </w:rPr>
        <w:t>nd</w:t>
      </w:r>
      <w:r w:rsidR="00D03C98" w:rsidRPr="00F051F3">
        <w:t xml:space="preserve"> quarter after beginning the climb from near-zero levels in March</w:t>
      </w:r>
      <w:r w:rsidR="00D93A8B" w:rsidRPr="00F051F3">
        <w:t xml:space="preserve">. </w:t>
      </w:r>
    </w:p>
    <w:p w14:paraId="6AA929FC" w14:textId="68DBC046" w:rsidR="00591A62" w:rsidRPr="00F051F3" w:rsidRDefault="00D03C98" w:rsidP="0069122E">
      <w:pPr>
        <w:pStyle w:val="ListParagraph"/>
        <w:numPr>
          <w:ilvl w:val="0"/>
          <w:numId w:val="3"/>
        </w:numPr>
      </w:pPr>
      <w:r w:rsidRPr="00F051F3">
        <w:t>The 1-year and 2-year annual treasury yields ended the 2</w:t>
      </w:r>
      <w:r w:rsidRPr="00F051F3">
        <w:rPr>
          <w:vertAlign w:val="superscript"/>
        </w:rPr>
        <w:t>nd</w:t>
      </w:r>
      <w:r w:rsidRPr="00F051F3">
        <w:t xml:space="preserve"> quarter at 2.80% and 2.92%, respectively. The benchmark 10-year treasury yielded 2.98% at the end of the quarter, while the 30-year treasury yielded 3.14%</w:t>
      </w:r>
      <w:r w:rsidRPr="00F051F3">
        <w:rPr>
          <w:color w:val="000000" w:themeColor="text1"/>
        </w:rPr>
        <w:t>.</w:t>
      </w:r>
      <w:r w:rsidR="00591A62" w:rsidRPr="00F051F3">
        <w:rPr>
          <w:color w:val="000000" w:themeColor="text1"/>
        </w:rPr>
        <w:t xml:space="preserve"> </w:t>
      </w:r>
    </w:p>
    <w:p w14:paraId="2A4826B3" w14:textId="68BED75F" w:rsidR="0069122E" w:rsidRPr="00F051F3" w:rsidRDefault="0069122E" w:rsidP="0069122E">
      <w:pPr>
        <w:pStyle w:val="ListParagraph"/>
        <w:numPr>
          <w:ilvl w:val="0"/>
          <w:numId w:val="3"/>
        </w:numPr>
      </w:pPr>
      <w:r w:rsidRPr="00F051F3">
        <w:t xml:space="preserve">Unemployment </w:t>
      </w:r>
      <w:r w:rsidR="00746558" w:rsidRPr="00F051F3">
        <w:t xml:space="preserve">remained steady at 3.6% throughout the </w:t>
      </w:r>
      <w:r w:rsidR="00251456">
        <w:t>2</w:t>
      </w:r>
      <w:r w:rsidR="00251456" w:rsidRPr="00251456">
        <w:rPr>
          <w:vertAlign w:val="superscript"/>
        </w:rPr>
        <w:t>nd</w:t>
      </w:r>
      <w:r w:rsidR="00251456">
        <w:t xml:space="preserve"> </w:t>
      </w:r>
      <w:r w:rsidR="00746558" w:rsidRPr="00F051F3">
        <w:t>quarter of 2022, near its pre-pandemic level of 3.5%.</w:t>
      </w:r>
      <w:r w:rsidR="00F051F3" w:rsidRPr="00F051F3">
        <w:t xml:space="preserve"> Nonfarm payrolls grew by </w:t>
      </w:r>
      <w:r w:rsidR="000360A6">
        <w:t>1.3</w:t>
      </w:r>
      <w:r w:rsidR="00F051F3" w:rsidRPr="00F051F3">
        <w:t xml:space="preserve"> million jobs in the 2</w:t>
      </w:r>
      <w:r w:rsidR="00F051F3" w:rsidRPr="00F051F3">
        <w:rPr>
          <w:vertAlign w:val="superscript"/>
        </w:rPr>
        <w:t>nd</w:t>
      </w:r>
      <w:r w:rsidR="00F051F3" w:rsidRPr="00F051F3">
        <w:t xml:space="preserve"> quarter</w:t>
      </w:r>
      <w:r w:rsidR="00CF666C" w:rsidRPr="00F051F3">
        <w:rPr>
          <w:color w:val="000000" w:themeColor="text1"/>
        </w:rPr>
        <w:t>.</w:t>
      </w:r>
      <w:r w:rsidR="00C328EF" w:rsidRPr="00F051F3">
        <w:t xml:space="preserve"> </w:t>
      </w:r>
    </w:p>
    <w:p w14:paraId="149D5EFF" w14:textId="2A87E51E" w:rsidR="003E4ACB" w:rsidRPr="00F051F3" w:rsidRDefault="007A4896" w:rsidP="00E528F7">
      <w:pPr>
        <w:pStyle w:val="ListParagraph"/>
        <w:numPr>
          <w:ilvl w:val="0"/>
          <w:numId w:val="3"/>
        </w:numPr>
      </w:pPr>
      <w:r w:rsidRPr="00F051F3">
        <w:t>The Consumer Price Index</w:t>
      </w:r>
      <w:r w:rsidR="006E4B4F" w:rsidRPr="00F051F3">
        <w:t xml:space="preserve"> </w:t>
      </w:r>
      <w:r w:rsidR="00F051F3" w:rsidRPr="00F051F3">
        <w:t>rose 9.0% year-over-year in June, its fastest growth since November of 1981</w:t>
      </w:r>
      <w:r w:rsidR="00880496" w:rsidRPr="00F051F3">
        <w:t xml:space="preserve">. Excluding volatile energy prices, the index </w:t>
      </w:r>
      <w:r w:rsidR="00F051F3" w:rsidRPr="00F051F3">
        <w:t>rose 6.6%.</w:t>
      </w:r>
    </w:p>
    <w:p w14:paraId="02DFF80C" w14:textId="1A7E6FC7" w:rsidR="0069122E" w:rsidRPr="00F051F3" w:rsidRDefault="00D04F3A" w:rsidP="0069122E">
      <w:pPr>
        <w:pStyle w:val="ListParagraph"/>
        <w:numPr>
          <w:ilvl w:val="0"/>
          <w:numId w:val="3"/>
        </w:numPr>
      </w:pPr>
      <w:r w:rsidRPr="00F051F3">
        <w:t xml:space="preserve">Crude </w:t>
      </w:r>
      <w:r w:rsidR="0024113D" w:rsidRPr="00F051F3">
        <w:t xml:space="preserve">oil </w:t>
      </w:r>
      <w:r w:rsidRPr="00F051F3">
        <w:t xml:space="preserve">prices </w:t>
      </w:r>
      <w:r w:rsidR="00F051F3" w:rsidRPr="00F051F3">
        <w:t>ended the quarter at $107.76 per barrel, 7.2% higher than one quarter earlier</w:t>
      </w:r>
      <w:r w:rsidR="0069122E" w:rsidRPr="00F051F3">
        <w:t>.</w:t>
      </w:r>
    </w:p>
    <w:p w14:paraId="149D5F00" w14:textId="5222E2F5" w:rsidR="003E4ACB" w:rsidRPr="00F051F3" w:rsidRDefault="00D04F3A" w:rsidP="00E528F7">
      <w:pPr>
        <w:pStyle w:val="ListParagraph"/>
        <w:numPr>
          <w:ilvl w:val="0"/>
          <w:numId w:val="3"/>
        </w:numPr>
      </w:pPr>
      <w:r w:rsidRPr="00F051F3">
        <w:t xml:space="preserve">New home starts </w:t>
      </w:r>
      <w:r w:rsidR="00F051F3" w:rsidRPr="00F051F3">
        <w:t>fell to 1.56 million in June, down 9.</w:t>
      </w:r>
      <w:r w:rsidR="00297653">
        <w:t>8</w:t>
      </w:r>
      <w:r w:rsidR="00F051F3" w:rsidRPr="00F051F3">
        <w:t>% for the quarter and 6.3% for the year</w:t>
      </w:r>
      <w:r w:rsidR="0035542E" w:rsidRPr="00F051F3">
        <w:t>.</w:t>
      </w:r>
      <w:r w:rsidR="00BC13CC" w:rsidRPr="00F051F3">
        <w:t xml:space="preserve"> </w:t>
      </w:r>
    </w:p>
    <w:p w14:paraId="149D5F03" w14:textId="05750FA1" w:rsidR="00867D68" w:rsidRPr="00F051F3" w:rsidRDefault="004C1749" w:rsidP="00F94484">
      <w:pPr>
        <w:pStyle w:val="ListParagraph"/>
        <w:numPr>
          <w:ilvl w:val="0"/>
          <w:numId w:val="3"/>
        </w:numPr>
      </w:pPr>
      <w:r w:rsidRPr="00F051F3">
        <w:rPr>
          <w:noProof/>
        </w:rPr>
        <w:t xml:space="preserve">The </w:t>
      </w:r>
      <w:r w:rsidR="00F051F3" w:rsidRPr="00F051F3">
        <w:rPr>
          <w:noProof/>
        </w:rPr>
        <w:t>NASDAQ Composite dropped 22.4% d</w:t>
      </w:r>
      <w:r w:rsidR="00251456">
        <w:rPr>
          <w:noProof/>
        </w:rPr>
        <w:t>ur</w:t>
      </w:r>
      <w:r w:rsidR="00F051F3" w:rsidRPr="00F051F3">
        <w:rPr>
          <w:noProof/>
        </w:rPr>
        <w:t>ing the 2</w:t>
      </w:r>
      <w:r w:rsidR="00F051F3" w:rsidRPr="00F051F3">
        <w:rPr>
          <w:noProof/>
          <w:vertAlign w:val="superscript"/>
        </w:rPr>
        <w:t>nd</w:t>
      </w:r>
      <w:r w:rsidR="00F051F3" w:rsidRPr="00F051F3">
        <w:rPr>
          <w:noProof/>
        </w:rPr>
        <w:t xml:space="preserve"> quarter of 2022 and the Dow Jones Transportation Average fell 19.2%. The Wilshire 5000 was down 17.</w:t>
      </w:r>
      <w:r w:rsidR="00297653">
        <w:rPr>
          <w:noProof/>
        </w:rPr>
        <w:t>6</w:t>
      </w:r>
      <w:r w:rsidR="00F051F3" w:rsidRPr="00F051F3">
        <w:rPr>
          <w:noProof/>
        </w:rPr>
        <w:t>% during the quarter and the S&amp;P 500 was down 16.4%.</w:t>
      </w:r>
    </w:p>
    <w:p w14:paraId="149D5F04" w14:textId="77777777" w:rsidR="00057711" w:rsidRDefault="00057711" w:rsidP="00057711">
      <w:pPr>
        <w:pStyle w:val="Heading1"/>
      </w:pPr>
      <w:r>
        <w:lastRenderedPageBreak/>
        <w:t>Business Activity</w:t>
      </w:r>
    </w:p>
    <w:p w14:paraId="25413EE4" w14:textId="790D2706" w:rsidR="00A96A6A" w:rsidRPr="00B36811" w:rsidRDefault="00142F71" w:rsidP="00057711">
      <w:r>
        <w:t>R</w:t>
      </w:r>
      <w:r w:rsidR="0080028D" w:rsidRPr="00B36811">
        <w:t>eal gross domestic product (GDP)</w:t>
      </w:r>
      <w:r w:rsidR="00A8559D" w:rsidRPr="00B36811">
        <w:rPr>
          <w:rStyle w:val="FootnoteReference"/>
        </w:rPr>
        <w:footnoteReference w:id="3"/>
      </w:r>
      <w:r w:rsidR="0080028D" w:rsidRPr="00B36811">
        <w:t xml:space="preserve"> </w:t>
      </w:r>
      <w:r w:rsidR="002F57B6" w:rsidRPr="00B36811">
        <w:t xml:space="preserve">for the </w:t>
      </w:r>
      <w:r w:rsidR="002F57B6">
        <w:t>2</w:t>
      </w:r>
      <w:r w:rsidR="002F57B6" w:rsidRPr="002F57B6">
        <w:rPr>
          <w:vertAlign w:val="superscript"/>
        </w:rPr>
        <w:t>nd</w:t>
      </w:r>
      <w:r w:rsidR="002F57B6">
        <w:t xml:space="preserve"> </w:t>
      </w:r>
      <w:r w:rsidR="002F57B6" w:rsidRPr="00B36811">
        <w:t>quarter of 202</w:t>
      </w:r>
      <w:r w:rsidR="002F57B6">
        <w:t>2</w:t>
      </w:r>
      <w:r w:rsidR="002F57B6" w:rsidRPr="00B36811">
        <w:t xml:space="preserve"> </w:t>
      </w:r>
      <w:r w:rsidR="002F57B6">
        <w:t>fell</w:t>
      </w:r>
      <w:r w:rsidR="002F57B6" w:rsidRPr="00B36811">
        <w:t xml:space="preserve"> at an annualized rate of </w:t>
      </w:r>
      <w:r w:rsidR="002F57B6">
        <w:t>0.9</w:t>
      </w:r>
      <w:r w:rsidR="002F57B6" w:rsidRPr="00B36811">
        <w:t xml:space="preserve">%, </w:t>
      </w:r>
      <w:r w:rsidR="002F57B6">
        <w:t>following a 1.6% decrease in the 1</w:t>
      </w:r>
      <w:r w:rsidR="002F57B6" w:rsidRPr="002F57B6">
        <w:rPr>
          <w:vertAlign w:val="superscript"/>
        </w:rPr>
        <w:t>st</w:t>
      </w:r>
      <w:r w:rsidR="002F57B6">
        <w:t xml:space="preserve"> quarter of 2022</w:t>
      </w:r>
      <w:r w:rsidR="00B36811" w:rsidRPr="00134929">
        <w:t>.</w:t>
      </w:r>
      <w:r w:rsidR="00413F0F">
        <w:t xml:space="preserve"> </w:t>
      </w:r>
      <w:r w:rsidR="00447F8B">
        <w:t xml:space="preserve">During the </w:t>
      </w:r>
      <w:r w:rsidR="002F57B6">
        <w:t>2</w:t>
      </w:r>
      <w:r w:rsidR="002F57B6" w:rsidRPr="002F57B6">
        <w:rPr>
          <w:vertAlign w:val="superscript"/>
        </w:rPr>
        <w:t>nd</w:t>
      </w:r>
      <w:r w:rsidR="002F57B6">
        <w:t xml:space="preserve"> </w:t>
      </w:r>
      <w:r w:rsidR="00447F8B">
        <w:t xml:space="preserve">quarter, </w:t>
      </w:r>
      <w:r w:rsidR="000C371B">
        <w:t xml:space="preserve">production battled with </w:t>
      </w:r>
      <w:r w:rsidR="000C371B" w:rsidRPr="000C371B">
        <w:t>surging</w:t>
      </w:r>
      <w:r w:rsidR="00E6698E">
        <w:t xml:space="preserve"> inflation</w:t>
      </w:r>
      <w:r w:rsidR="000C371B">
        <w:t xml:space="preserve"> and the resultant tightening of monetary policy by the Federal reserve</w:t>
      </w:r>
      <w:r w:rsidR="003E62D6">
        <w:t>.</w:t>
      </w:r>
      <w:r w:rsidR="000C371B">
        <w:t xml:space="preserve"> Inflation bit into business investment and government spending, while </w:t>
      </w:r>
      <w:r w:rsidR="00294A8D">
        <w:t>moderating</w:t>
      </w:r>
      <w:r w:rsidR="005A5F06">
        <w:t xml:space="preserve"> the 8</w:t>
      </w:r>
      <w:r w:rsidR="005A5F06" w:rsidRPr="005A5F06">
        <w:rPr>
          <w:vertAlign w:val="superscript"/>
        </w:rPr>
        <w:t>th</w:t>
      </w:r>
      <w:r w:rsidR="005A5F06">
        <w:t xml:space="preserve"> straight quarter of gains in consumer spending.</w:t>
      </w:r>
    </w:p>
    <w:p w14:paraId="7810A9C6" w14:textId="06747714" w:rsidR="00A96A6A" w:rsidRPr="006B166E" w:rsidRDefault="00632A78" w:rsidP="005117CA">
      <w:pPr>
        <w:jc w:val="center"/>
        <w:rPr>
          <w:highlight w:val="yellow"/>
        </w:rPr>
      </w:pPr>
      <w:r w:rsidRPr="00303DA5">
        <w:rPr>
          <w:noProof/>
        </w:rPr>
        <w:drawing>
          <wp:inline distT="0" distB="0" distL="0" distR="0" wp14:anchorId="353B55D7" wp14:editId="05CC375C">
            <wp:extent cx="4097020" cy="2651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51760"/>
                    </a:xfrm>
                    <a:prstGeom prst="rect">
                      <a:avLst/>
                    </a:prstGeom>
                    <a:noFill/>
                  </pic:spPr>
                </pic:pic>
              </a:graphicData>
            </a:graphic>
          </wp:inline>
        </w:drawing>
      </w:r>
    </w:p>
    <w:p w14:paraId="7FACD88C" w14:textId="0D40EC2F" w:rsidR="00294A8D" w:rsidRDefault="00294A8D" w:rsidP="00294A8D">
      <w:r>
        <w:t>Gross domestic private investment</w:t>
      </w:r>
      <w:r>
        <w:rPr>
          <w:rStyle w:val="FootnoteReference"/>
        </w:rPr>
        <w:footnoteReference w:id="4"/>
      </w:r>
      <w:r>
        <w:t xml:space="preserve">, particularly in private inventories and residential fixed investment, was the leading contributor to the </w:t>
      </w:r>
      <w:r w:rsidR="00251456">
        <w:t>2</w:t>
      </w:r>
      <w:r w:rsidR="00251456" w:rsidRPr="00251456">
        <w:rPr>
          <w:vertAlign w:val="superscript"/>
        </w:rPr>
        <w:t>nd</w:t>
      </w:r>
      <w:r w:rsidR="00251456">
        <w:t xml:space="preserve"> </w:t>
      </w:r>
      <w:r>
        <w:t>quarter’s decline, with a negative 2.7% effect. Lowered inventory investment reflected a slowdown in the retail sector.</w:t>
      </w:r>
      <w:r w:rsidRPr="00294A8D">
        <w:t xml:space="preserve"> </w:t>
      </w:r>
      <w:r>
        <w:t>Falling government expenditures</w:t>
      </w:r>
      <w:r>
        <w:rPr>
          <w:rStyle w:val="FootnoteReference"/>
        </w:rPr>
        <w:footnoteReference w:id="5"/>
      </w:r>
      <w:r>
        <w:t xml:space="preserve"> at both the federal level and the state and local level contributed an additional negative 0.3% to the </w:t>
      </w:r>
      <w:r w:rsidR="00251456">
        <w:t>2</w:t>
      </w:r>
      <w:r w:rsidR="00251456" w:rsidRPr="00251456">
        <w:rPr>
          <w:vertAlign w:val="superscript"/>
        </w:rPr>
        <w:t>nd</w:t>
      </w:r>
      <w:r>
        <w:t>-quarter GDP decline</w:t>
      </w:r>
      <w:r w:rsidRPr="00134929">
        <w:t>.</w:t>
      </w:r>
      <w:r>
        <w:t xml:space="preserve"> The contraction in federal spending resulted from the sale of petroleum from the </w:t>
      </w:r>
      <w:r w:rsidR="00D70A1E">
        <w:t>n</w:t>
      </w:r>
      <w:r>
        <w:t>ational Strategic</w:t>
      </w:r>
      <w:r w:rsidR="00D70A1E">
        <w:t xml:space="preserve"> Petroleum</w:t>
      </w:r>
      <w:r>
        <w:t xml:space="preserve"> Reserve, which has a negative effect on consumption totals</w:t>
      </w:r>
      <w:r w:rsidRPr="00413F0F">
        <w:t>.</w:t>
      </w:r>
      <w:r>
        <w:t xml:space="preserve"> Reduced state and local government spending primarily reflected lower investment in structures.</w:t>
      </w:r>
    </w:p>
    <w:p w14:paraId="15E9B737" w14:textId="77777777" w:rsidR="00294A8D" w:rsidRDefault="00294A8D" w:rsidP="00294A8D">
      <w:r>
        <w:t>Net exports</w:t>
      </w:r>
      <w:r>
        <w:rPr>
          <w:rStyle w:val="FootnoteReference"/>
        </w:rPr>
        <w:footnoteReference w:id="6"/>
      </w:r>
      <w:r>
        <w:t xml:space="preserve"> moderated the decline in GDP with a positive 1.4% effect as exports rose more swiftly than imports</w:t>
      </w:r>
      <w:r w:rsidRPr="00134929">
        <w:t xml:space="preserve">. </w:t>
      </w:r>
      <w:r>
        <w:t xml:space="preserve">While exports have been inconsistent, imports have risen every quarter during the 2 years since the COVID-19 pandemic’s initial economic blow. </w:t>
      </w:r>
    </w:p>
    <w:p w14:paraId="59E2FBC9" w14:textId="35881BA2" w:rsidR="00E24CD9" w:rsidRDefault="00294A8D" w:rsidP="006B1EB1">
      <w:r>
        <w:lastRenderedPageBreak/>
        <w:t>Personal consumption expenditures</w:t>
      </w:r>
      <w:r>
        <w:rPr>
          <w:rStyle w:val="FootnoteReference"/>
        </w:rPr>
        <w:footnoteReference w:id="7"/>
      </w:r>
      <w:r>
        <w:t xml:space="preserve"> (PCE) had a positive 0.7% effect on real GDP. Growth in personal spending was led by broad increases in household services consumption, especially food services and accommodations and health care services.</w:t>
      </w:r>
    </w:p>
    <w:p w14:paraId="3014DE71" w14:textId="4F4C19D7" w:rsidR="00B66CB7" w:rsidRPr="006B166E" w:rsidRDefault="00632A78" w:rsidP="005117CA">
      <w:pPr>
        <w:jc w:val="center"/>
        <w:rPr>
          <w:highlight w:val="yellow"/>
        </w:rPr>
      </w:pPr>
      <w:r w:rsidRPr="00632A78">
        <w:rPr>
          <w:noProof/>
        </w:rPr>
        <w:drawing>
          <wp:inline distT="0" distB="0" distL="0" distR="0" wp14:anchorId="6A69D0DC" wp14:editId="15E6B8CC">
            <wp:extent cx="4231005" cy="33712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371215"/>
                    </a:xfrm>
                    <a:prstGeom prst="rect">
                      <a:avLst/>
                    </a:prstGeom>
                    <a:noFill/>
                  </pic:spPr>
                </pic:pic>
              </a:graphicData>
            </a:graphic>
          </wp:inline>
        </w:drawing>
      </w:r>
    </w:p>
    <w:p w14:paraId="31033888" w14:textId="0777CAF5" w:rsidR="004D1C9D" w:rsidRPr="006B1EB1" w:rsidRDefault="00D03164" w:rsidP="00174BCD">
      <w:pPr>
        <w:rPr>
          <w:strike/>
        </w:rPr>
      </w:pPr>
      <w:r w:rsidRPr="006B1EB1">
        <w:t>The Industrial Production Index</w:t>
      </w:r>
      <w:r w:rsidRPr="006B1EB1">
        <w:rPr>
          <w:rStyle w:val="FootnoteReference"/>
        </w:rPr>
        <w:footnoteReference w:id="8"/>
      </w:r>
      <w:r w:rsidRPr="006B1EB1">
        <w:t xml:space="preserve"> is an economic indicator that measures real output for all facilities located in the United States manufacturing, mining, and electric, and gas utilities. The index stood at 10</w:t>
      </w:r>
      <w:r w:rsidR="00EF14EE">
        <w:t>4.</w:t>
      </w:r>
      <w:r w:rsidR="00C21192">
        <w:t>4</w:t>
      </w:r>
      <w:r w:rsidRPr="006B1EB1">
        <w:t xml:space="preserve"> at the end of </w:t>
      </w:r>
      <w:r w:rsidR="006B1EB1" w:rsidRPr="006B1EB1">
        <w:t xml:space="preserve">the </w:t>
      </w:r>
      <w:r w:rsidR="00C21192">
        <w:t>2</w:t>
      </w:r>
      <w:r w:rsidR="00C21192" w:rsidRPr="00C21192">
        <w:rPr>
          <w:vertAlign w:val="superscript"/>
        </w:rPr>
        <w:t>nd</w:t>
      </w:r>
      <w:r w:rsidR="00EF14EE">
        <w:t xml:space="preserve"> </w:t>
      </w:r>
      <w:r w:rsidR="006B1EB1" w:rsidRPr="006B1EB1">
        <w:t>quarter</w:t>
      </w:r>
      <w:r w:rsidRPr="006B1EB1">
        <w:t xml:space="preserve">, </w:t>
      </w:r>
      <w:r w:rsidR="000360A6">
        <w:t>down</w:t>
      </w:r>
      <w:r w:rsidR="00967B10">
        <w:t xml:space="preserve"> </w:t>
      </w:r>
      <w:r w:rsidR="00C21192">
        <w:t>0.</w:t>
      </w:r>
      <w:r w:rsidR="000360A6">
        <w:t>2</w:t>
      </w:r>
      <w:r w:rsidRPr="006B1EB1">
        <w:t xml:space="preserve">% </w:t>
      </w:r>
      <w:r w:rsidR="00EF14EE">
        <w:t>from</w:t>
      </w:r>
      <w:r w:rsidR="006B1EB1" w:rsidRPr="006B1EB1">
        <w:t xml:space="preserve"> the previous quarter</w:t>
      </w:r>
      <w:r w:rsidRPr="006B1EB1">
        <w:t>.</w:t>
      </w:r>
    </w:p>
    <w:p w14:paraId="149D5F1F" w14:textId="73AC3043" w:rsidR="00172307" w:rsidRPr="006B166E" w:rsidRDefault="00632A78" w:rsidP="00BA7A2C">
      <w:pPr>
        <w:jc w:val="center"/>
        <w:rPr>
          <w:highlight w:val="yellow"/>
        </w:rPr>
      </w:pPr>
      <w:r w:rsidRPr="00303DA5">
        <w:rPr>
          <w:noProof/>
        </w:rPr>
        <w:lastRenderedPageBreak/>
        <w:drawing>
          <wp:inline distT="0" distB="0" distL="0" distR="0" wp14:anchorId="3FB5BFB6" wp14:editId="0EC9ED95">
            <wp:extent cx="3816350" cy="2646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646045"/>
                    </a:xfrm>
                    <a:prstGeom prst="rect">
                      <a:avLst/>
                    </a:prstGeom>
                    <a:noFill/>
                  </pic:spPr>
                </pic:pic>
              </a:graphicData>
            </a:graphic>
          </wp:inline>
        </w:drawing>
      </w:r>
    </w:p>
    <w:p w14:paraId="5A38C44B" w14:textId="7DD1E273" w:rsidR="007A05AD" w:rsidRPr="006B1EB1" w:rsidRDefault="007A05AD" w:rsidP="007A05AD">
      <w:r w:rsidRPr="006B1EB1">
        <w:t>The Capacity Utilization Index</w:t>
      </w:r>
      <w:r w:rsidRPr="006B1EB1">
        <w:rPr>
          <w:rStyle w:val="FootnoteReference"/>
        </w:rPr>
        <w:footnoteReference w:id="9"/>
      </w:r>
      <w:r w:rsidRPr="006B1EB1">
        <w:t xml:space="preserve">, which attempts to capture industrial output as a percentage of the economy’s maximum production capacity, </w:t>
      </w:r>
      <w:r w:rsidR="00C21192">
        <w:t>declined</w:t>
      </w:r>
      <w:r w:rsidRPr="006B1EB1">
        <w:t xml:space="preserve"> to 7</w:t>
      </w:r>
      <w:r w:rsidR="00953DF2">
        <w:t>9.</w:t>
      </w:r>
      <w:r w:rsidR="00C21192">
        <w:t>3</w:t>
      </w:r>
      <w:r w:rsidRPr="006B1EB1">
        <w:t>%</w:t>
      </w:r>
      <w:r w:rsidR="00137248">
        <w:t xml:space="preserve"> during the </w:t>
      </w:r>
      <w:r w:rsidR="00C21192">
        <w:t>2</w:t>
      </w:r>
      <w:r w:rsidR="00C21192" w:rsidRPr="00C21192">
        <w:rPr>
          <w:vertAlign w:val="superscript"/>
        </w:rPr>
        <w:t>nd</w:t>
      </w:r>
      <w:r w:rsidR="00137248">
        <w:t xml:space="preserve"> quarter</w:t>
      </w:r>
      <w:r w:rsidR="00953DF2">
        <w:t xml:space="preserve"> of 2022</w:t>
      </w:r>
      <w:r w:rsidRPr="006B1EB1">
        <w:t xml:space="preserve">. </w:t>
      </w:r>
      <w:r w:rsidR="00C21192">
        <w:t>June</w:t>
      </w:r>
      <w:r w:rsidR="00273DCA">
        <w:t xml:space="preserve"> 2022’s level was above the</w:t>
      </w:r>
      <w:r w:rsidRPr="006B1EB1">
        <w:t xml:space="preserve"> </w:t>
      </w:r>
      <w:r w:rsidR="00953DF2">
        <w:t>30-year average</w:t>
      </w:r>
      <w:r w:rsidR="00273DCA" w:rsidRPr="00273DCA">
        <w:t xml:space="preserve"> </w:t>
      </w:r>
      <w:r w:rsidR="00273DCA">
        <w:t>of</w:t>
      </w:r>
      <w:r w:rsidR="00273DCA" w:rsidRPr="006B1EB1">
        <w:t xml:space="preserve"> 7</w:t>
      </w:r>
      <w:r w:rsidR="00273DCA">
        <w:t>6</w:t>
      </w:r>
      <w:r w:rsidR="00273DCA" w:rsidRPr="006B1EB1">
        <w:t>.</w:t>
      </w:r>
      <w:r w:rsidR="003058BA">
        <w:t>7</w:t>
      </w:r>
      <w:r w:rsidR="00273DCA" w:rsidRPr="006B1EB1">
        <w:t>%</w:t>
      </w:r>
      <w:r w:rsidRPr="006B1EB1">
        <w:t xml:space="preserve"> for th</w:t>
      </w:r>
      <w:r w:rsidR="00273DCA">
        <w:t>is</w:t>
      </w:r>
      <w:r w:rsidRPr="006B1EB1">
        <w:t xml:space="preserve"> metric</w:t>
      </w:r>
      <w:r w:rsidR="00B66C70">
        <w:t xml:space="preserve"> and </w:t>
      </w:r>
      <w:r w:rsidR="003058BA">
        <w:t>0</w:t>
      </w:r>
      <w:r w:rsidR="00B66C70">
        <w:t>.</w:t>
      </w:r>
      <w:r w:rsidR="003058BA">
        <w:t>4</w:t>
      </w:r>
      <w:r w:rsidR="00B66C70">
        <w:t xml:space="preserve">% higher than </w:t>
      </w:r>
      <w:r w:rsidR="003058BA">
        <w:t>the previous quarter</w:t>
      </w:r>
      <w:r w:rsidRPr="006B1EB1">
        <w:t>.</w:t>
      </w:r>
    </w:p>
    <w:p w14:paraId="2B52197D" w14:textId="211295DB" w:rsidR="007A05AD" w:rsidRDefault="00632A78" w:rsidP="00BA7A2C">
      <w:pPr>
        <w:jc w:val="center"/>
      </w:pPr>
      <w:r>
        <w:rPr>
          <w:noProof/>
        </w:rPr>
        <w:drawing>
          <wp:inline distT="0" distB="0" distL="0" distR="0" wp14:anchorId="589B637B" wp14:editId="6B727580">
            <wp:extent cx="3816350" cy="2646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646045"/>
                    </a:xfrm>
                    <a:prstGeom prst="rect">
                      <a:avLst/>
                    </a:prstGeom>
                    <a:noFill/>
                  </pic:spPr>
                </pic:pic>
              </a:graphicData>
            </a:graphic>
          </wp:inline>
        </w:drawing>
      </w:r>
    </w:p>
    <w:p w14:paraId="149D5F20" w14:textId="72147876" w:rsidR="00005111" w:rsidRPr="005261C1" w:rsidRDefault="00005111" w:rsidP="005261C1">
      <w:pPr>
        <w:pStyle w:val="Heading1"/>
      </w:pPr>
      <w:r w:rsidRPr="005261C1">
        <w:t>Interest Rates</w:t>
      </w:r>
    </w:p>
    <w:p w14:paraId="472CBB47" w14:textId="69AFBA00" w:rsidR="00A96A6A" w:rsidRPr="003F4CDB" w:rsidRDefault="004005A4" w:rsidP="00952E0A">
      <w:pPr>
        <w:rPr>
          <w:color w:val="000000" w:themeColor="text1"/>
        </w:rPr>
      </w:pPr>
      <w:r>
        <w:t>T</w:t>
      </w:r>
      <w:r w:rsidR="00231BB2" w:rsidRPr="003F4CDB">
        <w:t xml:space="preserve">he effective </w:t>
      </w:r>
      <w:r w:rsidR="00814E45" w:rsidRPr="003F4CDB">
        <w:t>federal f</w:t>
      </w:r>
      <w:r w:rsidR="00231BB2" w:rsidRPr="003F4CDB">
        <w:t>unds rate</w:t>
      </w:r>
      <w:r w:rsidR="00814E45" w:rsidRPr="003F4CDB">
        <w:rPr>
          <w:rStyle w:val="FootnoteReference"/>
        </w:rPr>
        <w:footnoteReference w:id="10"/>
      </w:r>
      <w:r w:rsidR="00231BB2" w:rsidRPr="003F4CDB">
        <w:t xml:space="preserve"> </w:t>
      </w:r>
      <w:r w:rsidR="00D03C98">
        <w:t>rose 1.01 percentage point to 1.21% during the 2</w:t>
      </w:r>
      <w:r w:rsidR="00D03C98" w:rsidRPr="00D63AB3">
        <w:rPr>
          <w:vertAlign w:val="superscript"/>
        </w:rPr>
        <w:t>nd</w:t>
      </w:r>
      <w:r w:rsidR="00D03C98">
        <w:t xml:space="preserve"> quarter after beginning the climb from near-zero levels in March</w:t>
      </w:r>
      <w:r w:rsidR="00814E45" w:rsidRPr="003F4CDB">
        <w:t xml:space="preserve">. </w:t>
      </w:r>
      <w:r w:rsidR="00A14458">
        <w:t>S</w:t>
      </w:r>
      <w:r w:rsidR="00231BB2" w:rsidRPr="003F4CDB">
        <w:t>hort-term</w:t>
      </w:r>
      <w:r w:rsidR="00A14458">
        <w:t xml:space="preserve"> </w:t>
      </w:r>
      <w:r w:rsidR="00231BB2" w:rsidRPr="003F4CDB">
        <w:t xml:space="preserve">treasury </w:t>
      </w:r>
      <w:r w:rsidR="003F4CDB">
        <w:t>bond yields</w:t>
      </w:r>
      <w:r w:rsidR="005A0EC4">
        <w:rPr>
          <w:rStyle w:val="FootnoteReference"/>
        </w:rPr>
        <w:footnoteReference w:id="11"/>
      </w:r>
      <w:r w:rsidR="00A73A66" w:rsidRPr="003F4CDB">
        <w:t xml:space="preserve"> </w:t>
      </w:r>
      <w:r w:rsidR="00A14458">
        <w:lastRenderedPageBreak/>
        <w:t xml:space="preserve">rose accordingly during the </w:t>
      </w:r>
      <w:r w:rsidR="00783BA9">
        <w:t>2</w:t>
      </w:r>
      <w:r w:rsidR="00783BA9" w:rsidRPr="00783BA9">
        <w:rPr>
          <w:vertAlign w:val="superscript"/>
        </w:rPr>
        <w:t>nd</w:t>
      </w:r>
      <w:r w:rsidR="00783BA9">
        <w:t xml:space="preserve"> </w:t>
      </w:r>
      <w:r w:rsidR="00A14458">
        <w:t xml:space="preserve">quarter. Long-term treasury yields </w:t>
      </w:r>
      <w:r w:rsidR="00376778">
        <w:t xml:space="preserve">rose </w:t>
      </w:r>
      <w:r w:rsidR="00783BA9">
        <w:t>as well, although the yield curve remained</w:t>
      </w:r>
      <w:r w:rsidR="00376778">
        <w:t xml:space="preserve"> flatter</w:t>
      </w:r>
      <w:r w:rsidR="00783BA9">
        <w:t xml:space="preserve"> </w:t>
      </w:r>
      <w:r w:rsidR="00376778">
        <w:t>than</w:t>
      </w:r>
      <w:r w:rsidR="00783BA9">
        <w:t xml:space="preserve"> </w:t>
      </w:r>
      <w:r w:rsidR="00376778">
        <w:t>usual</w:t>
      </w:r>
      <w:r w:rsidR="00231BB2" w:rsidRPr="003F4CDB">
        <w:t>.</w:t>
      </w:r>
      <w:r w:rsidR="0092287E" w:rsidRPr="003F4CDB">
        <w:t xml:space="preserve"> </w:t>
      </w:r>
      <w:r w:rsidR="00376778">
        <w:t xml:space="preserve">The </w:t>
      </w:r>
      <w:r w:rsidR="00635C43">
        <w:t xml:space="preserve">spread between the </w:t>
      </w:r>
      <w:r w:rsidR="00376778">
        <w:t xml:space="preserve">two- and ten-year rates </w:t>
      </w:r>
      <w:r w:rsidR="00635C43">
        <w:t>became very narrow during June</w:t>
      </w:r>
      <w:r w:rsidR="005E1BD2">
        <w:t xml:space="preserve">. </w:t>
      </w:r>
      <w:r w:rsidR="003F4CDB" w:rsidRPr="003F4CDB">
        <w:t>The</w:t>
      </w:r>
      <w:r w:rsidR="008844A2" w:rsidRPr="003F4CDB">
        <w:t xml:space="preserve"> 1</w:t>
      </w:r>
      <w:r w:rsidR="005E7A94" w:rsidRPr="003F4CDB">
        <w:t xml:space="preserve">-year and 2-year annual treasury yields </w:t>
      </w:r>
      <w:r w:rsidR="00B65667" w:rsidRPr="003F4CDB">
        <w:t xml:space="preserve">ended the </w:t>
      </w:r>
      <w:r w:rsidR="00635C43">
        <w:t>2</w:t>
      </w:r>
      <w:r w:rsidR="00635C43" w:rsidRPr="00635C43">
        <w:rPr>
          <w:vertAlign w:val="superscript"/>
        </w:rPr>
        <w:t>nd</w:t>
      </w:r>
      <w:r w:rsidR="00635C43">
        <w:t xml:space="preserve"> </w:t>
      </w:r>
      <w:r w:rsidR="00B65667" w:rsidRPr="003F4CDB">
        <w:t>quarter</w:t>
      </w:r>
      <w:r w:rsidR="005E7A94" w:rsidRPr="003F4CDB">
        <w:t xml:space="preserve"> at </w:t>
      </w:r>
      <w:r w:rsidR="00635C43">
        <w:t>2.80</w:t>
      </w:r>
      <w:r w:rsidR="005E7A94" w:rsidRPr="003F4CDB">
        <w:t>%</w:t>
      </w:r>
      <w:r w:rsidR="008844A2" w:rsidRPr="003F4CDB">
        <w:t xml:space="preserve"> and </w:t>
      </w:r>
      <w:r w:rsidR="00A14458">
        <w:t>2.</w:t>
      </w:r>
      <w:r w:rsidR="00635C43">
        <w:t>92</w:t>
      </w:r>
      <w:r w:rsidR="006E6EAA" w:rsidRPr="003F4CDB">
        <w:t>%, respectively</w:t>
      </w:r>
      <w:r w:rsidR="005E7A94" w:rsidRPr="003F4CDB">
        <w:t>.</w:t>
      </w:r>
      <w:r w:rsidR="00231BB2" w:rsidRPr="003F4CDB">
        <w:t xml:space="preserve"> The </w:t>
      </w:r>
      <w:r w:rsidR="005E7A94" w:rsidRPr="003F4CDB">
        <w:t xml:space="preserve">benchmark </w:t>
      </w:r>
      <w:r w:rsidR="00022BB4" w:rsidRPr="003F4CDB">
        <w:t>1</w:t>
      </w:r>
      <w:r w:rsidR="0061080D" w:rsidRPr="003F4CDB">
        <w:t xml:space="preserve">0-year treasury </w:t>
      </w:r>
      <w:r w:rsidR="005E7A94" w:rsidRPr="003F4CDB">
        <w:t>yielded</w:t>
      </w:r>
      <w:r w:rsidR="0061080D" w:rsidRPr="003F4CDB">
        <w:t xml:space="preserve"> </w:t>
      </w:r>
      <w:r w:rsidR="00A14458">
        <w:t>2.</w:t>
      </w:r>
      <w:r w:rsidR="00635C43">
        <w:t>98</w:t>
      </w:r>
      <w:r w:rsidR="0061080D" w:rsidRPr="003F4CDB">
        <w:t>%</w:t>
      </w:r>
      <w:r w:rsidR="005E7A94" w:rsidRPr="003F4CDB">
        <w:t xml:space="preserve"> at the</w:t>
      </w:r>
      <w:r w:rsidR="00B65667" w:rsidRPr="003F4CDB">
        <w:t xml:space="preserve"> end of </w:t>
      </w:r>
      <w:r w:rsidR="008844A2" w:rsidRPr="003F4CDB">
        <w:t>the quarter</w:t>
      </w:r>
      <w:r w:rsidR="005E7A94" w:rsidRPr="003F4CDB">
        <w:t xml:space="preserve">, while </w:t>
      </w:r>
      <w:r w:rsidR="00D851AB" w:rsidRPr="003F4CDB">
        <w:t xml:space="preserve">the </w:t>
      </w:r>
      <w:r w:rsidR="00022BB4" w:rsidRPr="003F4CDB">
        <w:t>3</w:t>
      </w:r>
      <w:r w:rsidR="00D851AB" w:rsidRPr="003F4CDB">
        <w:t xml:space="preserve">0-year treasury </w:t>
      </w:r>
      <w:r w:rsidR="00B65667" w:rsidRPr="003F4CDB">
        <w:t>yielded</w:t>
      </w:r>
      <w:r w:rsidR="00D851AB" w:rsidRPr="003F4CDB">
        <w:t xml:space="preserve"> </w:t>
      </w:r>
      <w:r w:rsidR="00635C43">
        <w:t>3.14</w:t>
      </w:r>
      <w:r w:rsidR="00D851AB" w:rsidRPr="003F4CDB">
        <w:t>%</w:t>
      </w:r>
      <w:r w:rsidR="00AE64EF" w:rsidRPr="003F4CDB">
        <w:rPr>
          <w:color w:val="000000" w:themeColor="text1"/>
        </w:rPr>
        <w:t>.</w:t>
      </w:r>
      <w:r w:rsidR="002301AB" w:rsidRPr="003F4CDB">
        <w:rPr>
          <w:color w:val="000000" w:themeColor="text1"/>
        </w:rPr>
        <w:t xml:space="preserve"> See </w:t>
      </w:r>
      <w:r w:rsidR="002301AB" w:rsidRPr="003F4CDB">
        <w:rPr>
          <w:i/>
          <w:iCs/>
          <w:color w:val="000000" w:themeColor="text1"/>
        </w:rPr>
        <w:t>Appendix – Selected Interest Rates</w:t>
      </w:r>
      <w:r w:rsidR="002301AB" w:rsidRPr="003F4CDB">
        <w:rPr>
          <w:color w:val="000000" w:themeColor="text1"/>
        </w:rPr>
        <w:t xml:space="preserve"> for detailed interest rate data. </w:t>
      </w:r>
    </w:p>
    <w:p w14:paraId="0614E8BB" w14:textId="3D972EAB" w:rsidR="004D1C9D" w:rsidRPr="004B5284" w:rsidRDefault="00632A78" w:rsidP="005117CA">
      <w:pPr>
        <w:jc w:val="center"/>
      </w:pPr>
      <w:r>
        <w:rPr>
          <w:noProof/>
        </w:rPr>
        <w:drawing>
          <wp:inline distT="0" distB="0" distL="0" distR="0" wp14:anchorId="671450E0" wp14:editId="4C5A41B2">
            <wp:extent cx="3493135" cy="2664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664460"/>
                    </a:xfrm>
                    <a:prstGeom prst="rect">
                      <a:avLst/>
                    </a:prstGeom>
                    <a:noFill/>
                  </pic:spPr>
                </pic:pic>
              </a:graphicData>
            </a:graphic>
          </wp:inline>
        </w:drawing>
      </w:r>
    </w:p>
    <w:p w14:paraId="031CA932" w14:textId="1A8B6679" w:rsidR="00B00681" w:rsidRPr="004B5284" w:rsidRDefault="00171C8E" w:rsidP="00005111">
      <w:r w:rsidRPr="004B5284">
        <w:t xml:space="preserve">In </w:t>
      </w:r>
      <w:r w:rsidR="00B34926" w:rsidRPr="004B5284">
        <w:t xml:space="preserve">the </w:t>
      </w:r>
      <w:r w:rsidR="00783BA9">
        <w:t>2</w:t>
      </w:r>
      <w:r w:rsidR="00783BA9" w:rsidRPr="00783BA9">
        <w:rPr>
          <w:vertAlign w:val="superscript"/>
        </w:rPr>
        <w:t>nd</w:t>
      </w:r>
      <w:r w:rsidR="00783BA9">
        <w:t xml:space="preserve"> </w:t>
      </w:r>
      <w:r w:rsidR="00B34926" w:rsidRPr="004B5284">
        <w:t>quarter of 202</w:t>
      </w:r>
      <w:r w:rsidR="005E1BD2">
        <w:t>2</w:t>
      </w:r>
      <w:r w:rsidR="00FE4D42" w:rsidRPr="004B5284">
        <w:t>,</w:t>
      </w:r>
      <w:r w:rsidRPr="004B5284">
        <w:t xml:space="preserve"> the Federal Reserve </w:t>
      </w:r>
      <w:r w:rsidR="00635C43">
        <w:t>continued the series of</w:t>
      </w:r>
      <w:r w:rsidR="00D851AB" w:rsidRPr="004B5284">
        <w:t xml:space="preserve"> federal funds target rate</w:t>
      </w:r>
      <w:r w:rsidR="003A4C56" w:rsidRPr="00A54ACF">
        <w:rPr>
          <w:rStyle w:val="FootnoteReference"/>
        </w:rPr>
        <w:footnoteReference w:id="12"/>
      </w:r>
      <w:r w:rsidR="00740863" w:rsidRPr="004B5284">
        <w:t xml:space="preserve"> </w:t>
      </w:r>
      <w:r w:rsidR="005E1BD2">
        <w:t>hike</w:t>
      </w:r>
      <w:r w:rsidR="00635C43">
        <w:t>s</w:t>
      </w:r>
      <w:r w:rsidR="005E1BD2">
        <w:t xml:space="preserve"> </w:t>
      </w:r>
      <w:r w:rsidR="00635C43">
        <w:t xml:space="preserve">that it began in March. </w:t>
      </w:r>
      <w:r w:rsidR="007618D6">
        <w:t>Two increases</w:t>
      </w:r>
      <w:r w:rsidR="00635C43">
        <w:t xml:space="preserve"> in May and June </w:t>
      </w:r>
      <w:r w:rsidR="007618D6">
        <w:t xml:space="preserve">totaling 125 basis points </w:t>
      </w:r>
      <w:r w:rsidR="00635C43">
        <w:t>brought the target rate</w:t>
      </w:r>
      <w:r w:rsidR="00B34926" w:rsidRPr="004B5284">
        <w:t xml:space="preserve"> </w:t>
      </w:r>
      <w:r w:rsidR="005E1BD2">
        <w:t>to</w:t>
      </w:r>
      <w:r w:rsidR="004709B0" w:rsidRPr="004B5284">
        <w:t xml:space="preserve"> </w:t>
      </w:r>
      <w:r w:rsidR="00624AEF" w:rsidRPr="004B5284">
        <w:t xml:space="preserve">a range of </w:t>
      </w:r>
      <w:r w:rsidR="00635C43">
        <w:t>1</w:t>
      </w:r>
      <w:r w:rsidR="00B65667" w:rsidRPr="004B5284">
        <w:t>.</w:t>
      </w:r>
      <w:r w:rsidR="005E1BD2">
        <w:t>5</w:t>
      </w:r>
      <w:r w:rsidR="00635C43">
        <w:t>0</w:t>
      </w:r>
      <w:r w:rsidR="00455D78">
        <w:t>%</w:t>
      </w:r>
      <w:r w:rsidR="00624AEF" w:rsidRPr="004B5284">
        <w:t xml:space="preserve"> to </w:t>
      </w:r>
      <w:r w:rsidR="00635C43">
        <w:t>1</w:t>
      </w:r>
      <w:r w:rsidR="00B65667" w:rsidRPr="004B5284">
        <w:t>.</w:t>
      </w:r>
      <w:r w:rsidR="00635C43">
        <w:t>75</w:t>
      </w:r>
      <w:r w:rsidR="00455D78">
        <w:t>%</w:t>
      </w:r>
      <w:r w:rsidR="00635C43">
        <w:t xml:space="preserve"> to end the 2</w:t>
      </w:r>
      <w:r w:rsidR="00635C43" w:rsidRPr="00635C43">
        <w:rPr>
          <w:vertAlign w:val="superscript"/>
        </w:rPr>
        <w:t>nd</w:t>
      </w:r>
      <w:r w:rsidR="00635C43">
        <w:t xml:space="preserve"> quarter</w:t>
      </w:r>
      <w:r w:rsidR="00455D78">
        <w:t>.</w:t>
      </w:r>
      <w:r w:rsidR="000B0583" w:rsidRPr="004B5284">
        <w:t xml:space="preserve"> </w:t>
      </w:r>
      <w:r w:rsidR="00C5430F">
        <w:t xml:space="preserve">The committee </w:t>
      </w:r>
      <w:r w:rsidR="00175A46">
        <w:t>indicated that inflation is its primary concern, even more so than recession</w:t>
      </w:r>
      <w:r w:rsidR="00C5430F">
        <w:t xml:space="preserve">. </w:t>
      </w:r>
      <w:r w:rsidR="003F5061" w:rsidRPr="00A54ACF">
        <w:t>The effective federal funds rate</w:t>
      </w:r>
      <w:r w:rsidR="003A4C56">
        <w:rPr>
          <w:rStyle w:val="FootnoteReference"/>
        </w:rPr>
        <w:footnoteReference w:id="13"/>
      </w:r>
      <w:r w:rsidR="003F5061" w:rsidRPr="00A54ACF">
        <w:t xml:space="preserve"> </w:t>
      </w:r>
      <w:r w:rsidR="005E1BD2" w:rsidRPr="00A54ACF">
        <w:t xml:space="preserve">rose to </w:t>
      </w:r>
      <w:r w:rsidR="003A4C56">
        <w:t>1.21</w:t>
      </w:r>
      <w:r w:rsidR="00455D78" w:rsidRPr="00A54ACF">
        <w:t>%</w:t>
      </w:r>
      <w:r w:rsidR="005E1BD2" w:rsidRPr="00A54ACF">
        <w:t xml:space="preserve"> in </w:t>
      </w:r>
      <w:r w:rsidR="003A4C56">
        <w:t>June</w:t>
      </w:r>
      <w:r w:rsidR="00A73A66" w:rsidRPr="00A54ACF">
        <w:t>.</w:t>
      </w:r>
      <w:r w:rsidR="00A73A66" w:rsidRPr="004B5284">
        <w:t xml:space="preserve"> </w:t>
      </w:r>
    </w:p>
    <w:p w14:paraId="515AD2F7" w14:textId="67160D82" w:rsidR="004D1C9D" w:rsidRDefault="00B7512F" w:rsidP="00166C08">
      <w:pPr>
        <w:jc w:val="center"/>
        <w:rPr>
          <w:highlight w:val="yellow"/>
        </w:rPr>
      </w:pPr>
      <w:r w:rsidRPr="00B7512F">
        <w:rPr>
          <w:noProof/>
        </w:rPr>
        <w:lastRenderedPageBreak/>
        <w:drawing>
          <wp:inline distT="0" distB="0" distL="0" distR="0" wp14:anchorId="7853823C" wp14:editId="2CC44518">
            <wp:extent cx="3493135" cy="2651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54113481" w14:textId="77777777" w:rsidR="00B7512F" w:rsidRPr="00D62169" w:rsidRDefault="00B7512F" w:rsidP="00166C08">
      <w:pPr>
        <w:jc w:val="center"/>
        <w:rPr>
          <w:highlight w:val="yellow"/>
        </w:rPr>
      </w:pPr>
    </w:p>
    <w:p w14:paraId="7D026DBE" w14:textId="1FA31939" w:rsidR="004D1C9D" w:rsidRPr="004B5284" w:rsidRDefault="005117CA" w:rsidP="005261C1">
      <w:r w:rsidRPr="004B5284">
        <w:t>T</w:t>
      </w:r>
      <w:r w:rsidR="002978F9" w:rsidRPr="004B5284">
        <w:t xml:space="preserve">he yield on the </w:t>
      </w:r>
      <w:r w:rsidR="0039196F" w:rsidRPr="004B5284">
        <w:t xml:space="preserve">benchmark </w:t>
      </w:r>
      <w:r w:rsidR="002978F9" w:rsidRPr="004B5284">
        <w:t>10-year U.S. treasury</w:t>
      </w:r>
      <w:r w:rsidR="004759DB" w:rsidRPr="004B5284">
        <w:rPr>
          <w:rStyle w:val="FootnoteReference"/>
        </w:rPr>
        <w:footnoteReference w:id="14"/>
      </w:r>
      <w:r w:rsidR="002978F9" w:rsidRPr="004B5284">
        <w:t xml:space="preserve"> </w:t>
      </w:r>
      <w:r w:rsidR="00455D78">
        <w:t xml:space="preserve">ended the </w:t>
      </w:r>
      <w:r w:rsidR="00B7512F">
        <w:t>2</w:t>
      </w:r>
      <w:r w:rsidR="00B7512F" w:rsidRPr="00B7512F">
        <w:rPr>
          <w:vertAlign w:val="superscript"/>
        </w:rPr>
        <w:t>nd</w:t>
      </w:r>
      <w:r w:rsidR="00B7512F">
        <w:t xml:space="preserve"> </w:t>
      </w:r>
      <w:r w:rsidRPr="004B5284">
        <w:t>quarter</w:t>
      </w:r>
      <w:r w:rsidR="00A73A66" w:rsidRPr="004B5284">
        <w:t xml:space="preserve"> </w:t>
      </w:r>
      <w:r w:rsidR="00455D78">
        <w:t>at</w:t>
      </w:r>
      <w:r w:rsidR="00A73A66" w:rsidRPr="004B5284">
        <w:t xml:space="preserve"> </w:t>
      </w:r>
      <w:r w:rsidR="00B7512F">
        <w:t>3.14</w:t>
      </w:r>
      <w:r w:rsidR="00A73A66" w:rsidRPr="004B5284">
        <w:t xml:space="preserve">%, </w:t>
      </w:r>
      <w:r w:rsidR="00C5430F">
        <w:t xml:space="preserve">up </w:t>
      </w:r>
      <w:r w:rsidR="00B7512F">
        <w:t>1.01</w:t>
      </w:r>
      <w:r w:rsidR="00C5430F">
        <w:t xml:space="preserve"> percentage points</w:t>
      </w:r>
      <w:r w:rsidR="00455D78">
        <w:t xml:space="preserve"> from the previous quarter, but </w:t>
      </w:r>
      <w:r w:rsidR="004B3D9F">
        <w:t xml:space="preserve">still </w:t>
      </w:r>
      <w:r w:rsidR="00071875" w:rsidRPr="004B5284">
        <w:t xml:space="preserve">below the average yield of </w:t>
      </w:r>
      <w:r w:rsidR="003A4C56">
        <w:t>3.</w:t>
      </w:r>
      <w:r w:rsidR="00B7512F">
        <w:t>97</w:t>
      </w:r>
      <w:r w:rsidR="004965CE" w:rsidRPr="004B5284">
        <w:t>% over the last 30 years</w:t>
      </w:r>
      <w:r w:rsidR="00CB629F" w:rsidRPr="004B5284">
        <w:t>.</w:t>
      </w:r>
      <w:r w:rsidR="00A73A66" w:rsidRPr="004B5284">
        <w:t xml:space="preserve"> </w:t>
      </w:r>
    </w:p>
    <w:p w14:paraId="67433862" w14:textId="159B2FD0" w:rsidR="004D1C9D" w:rsidRPr="004B5284" w:rsidRDefault="00B7512F" w:rsidP="005117CA">
      <w:pPr>
        <w:jc w:val="center"/>
      </w:pPr>
      <w:r>
        <w:rPr>
          <w:noProof/>
        </w:rPr>
        <w:drawing>
          <wp:inline distT="0" distB="0" distL="0" distR="0" wp14:anchorId="3BCCE4D0" wp14:editId="6CF8888B">
            <wp:extent cx="3499485" cy="265176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51760"/>
                    </a:xfrm>
                    <a:prstGeom prst="rect">
                      <a:avLst/>
                    </a:prstGeom>
                    <a:noFill/>
                  </pic:spPr>
                </pic:pic>
              </a:graphicData>
            </a:graphic>
          </wp:inline>
        </w:drawing>
      </w:r>
    </w:p>
    <w:p w14:paraId="75A11124" w14:textId="17435F50" w:rsidR="001945EC" w:rsidRDefault="00F02B3A" w:rsidP="00460436">
      <w:r w:rsidRPr="001945EC">
        <w:t>Moody’s Baa Corpor</w:t>
      </w:r>
      <w:r w:rsidR="00102080" w:rsidRPr="001945EC">
        <w:t xml:space="preserve">ate Bond Yield </w:t>
      </w:r>
      <w:r w:rsidR="004E3393" w:rsidRPr="001945EC">
        <w:t>Index</w:t>
      </w:r>
      <w:r w:rsidR="004E5EC0" w:rsidRPr="001945EC">
        <w:rPr>
          <w:rStyle w:val="FootnoteReference"/>
        </w:rPr>
        <w:footnoteReference w:id="15"/>
      </w:r>
      <w:r w:rsidR="004E3393" w:rsidRPr="001945EC">
        <w:t xml:space="preserve"> </w:t>
      </w:r>
      <w:r w:rsidR="009D42AA" w:rsidRPr="001945EC">
        <w:t xml:space="preserve">ended the </w:t>
      </w:r>
      <w:r w:rsidR="00EA79E3">
        <w:t>2</w:t>
      </w:r>
      <w:r w:rsidR="00EA79E3" w:rsidRPr="00EA79E3">
        <w:rPr>
          <w:vertAlign w:val="superscript"/>
        </w:rPr>
        <w:t>nd</w:t>
      </w:r>
      <w:r w:rsidR="00EA79E3">
        <w:t xml:space="preserve"> </w:t>
      </w:r>
      <w:r w:rsidR="009D42AA" w:rsidRPr="001945EC">
        <w:t xml:space="preserve">quarter </w:t>
      </w:r>
      <w:r w:rsidR="00551CFE">
        <w:t xml:space="preserve">of 2022 </w:t>
      </w:r>
      <w:r w:rsidR="009D42AA" w:rsidRPr="001945EC">
        <w:t xml:space="preserve">at </w:t>
      </w:r>
      <w:r w:rsidR="00EA79E3">
        <w:t>5.29</w:t>
      </w:r>
      <w:r w:rsidR="009D42AA" w:rsidRPr="00E73654">
        <w:t>%</w:t>
      </w:r>
      <w:r w:rsidR="00F72263" w:rsidRPr="00E73654">
        <w:t>,</w:t>
      </w:r>
      <w:r w:rsidR="009D42AA" w:rsidRPr="001945EC">
        <w:t xml:space="preserve"> </w:t>
      </w:r>
      <w:r w:rsidR="00412C1A">
        <w:t xml:space="preserve">up </w:t>
      </w:r>
      <w:r w:rsidR="00EA79E3">
        <w:t>1</w:t>
      </w:r>
      <w:r w:rsidR="00ED4F2C">
        <w:t>.</w:t>
      </w:r>
      <w:r w:rsidR="00EA79E3">
        <w:t>04</w:t>
      </w:r>
      <w:r w:rsidR="00412C1A">
        <w:t xml:space="preserve">% since the previous </w:t>
      </w:r>
      <w:r w:rsidR="009D42AA" w:rsidRPr="001945EC">
        <w:t>quarter</w:t>
      </w:r>
      <w:r w:rsidR="00823E2B" w:rsidRPr="001945EC">
        <w:t xml:space="preserve">. </w:t>
      </w:r>
      <w:r w:rsidR="00261A6E" w:rsidRPr="001945EC">
        <w:t xml:space="preserve">Moody’s </w:t>
      </w:r>
      <w:r w:rsidR="00536AD4">
        <w:t xml:space="preserve">less-risky </w:t>
      </w:r>
      <w:proofErr w:type="spellStart"/>
      <w:r w:rsidR="00261A6E" w:rsidRPr="001945EC">
        <w:t>Aaa</w:t>
      </w:r>
      <w:proofErr w:type="spellEnd"/>
      <w:r w:rsidR="009D42AA" w:rsidRPr="001945EC">
        <w:rPr>
          <w:rStyle w:val="FootnoteReference"/>
        </w:rPr>
        <w:footnoteReference w:id="16"/>
      </w:r>
      <w:r w:rsidR="00261A6E" w:rsidRPr="001945EC">
        <w:t xml:space="preserve"> Index </w:t>
      </w:r>
      <w:r w:rsidR="00551CFE">
        <w:t xml:space="preserve">rose </w:t>
      </w:r>
      <w:r w:rsidR="00ED4F2C">
        <w:t>0.</w:t>
      </w:r>
      <w:r w:rsidR="00EA79E3">
        <w:t>81</w:t>
      </w:r>
      <w:r w:rsidR="00551CFE">
        <w:t xml:space="preserve">% during the quarter to a level of </w:t>
      </w:r>
      <w:r w:rsidR="00EA79E3">
        <w:t>4.19</w:t>
      </w:r>
      <w:r w:rsidR="00261A6E" w:rsidRPr="001945EC">
        <w:t>%.</w:t>
      </w:r>
    </w:p>
    <w:p w14:paraId="62B8B6AA" w14:textId="1462AF41" w:rsidR="00A96A6A" w:rsidRDefault="00EA79E3" w:rsidP="00460436">
      <w:r>
        <w:lastRenderedPageBreak/>
        <w:t>The upward pressure on corporate bond yields came as the Federal Reserve took available policy moves to cool searing inflation, raising interest rate t</w:t>
      </w:r>
      <w:r w:rsidRPr="00F95FA0">
        <w:t>argets stepwise and ending the multi-billion-dollar bond purchases that had effectively backstopped the corporate bond market since March of 2020. Investor expectations have inspired widespread moves from riskier equities into the bond market preceding the recent Fed rate hikes.</w:t>
      </w:r>
    </w:p>
    <w:p w14:paraId="7CE57D35" w14:textId="5A50B89D" w:rsidR="005117CA" w:rsidRDefault="006C2AC0" w:rsidP="005117CA">
      <w:pPr>
        <w:jc w:val="center"/>
      </w:pPr>
      <w:r>
        <w:rPr>
          <w:noProof/>
        </w:rPr>
        <w:drawing>
          <wp:inline distT="0" distB="0" distL="0" distR="0" wp14:anchorId="09C540FC" wp14:editId="7F64D51D">
            <wp:extent cx="3493135" cy="2926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926080"/>
                    </a:xfrm>
                    <a:prstGeom prst="rect">
                      <a:avLst/>
                    </a:prstGeom>
                    <a:noFill/>
                  </pic:spPr>
                </pic:pic>
              </a:graphicData>
            </a:graphic>
          </wp:inline>
        </w:drawing>
      </w:r>
    </w:p>
    <w:p w14:paraId="149D5F2F" w14:textId="479C442E" w:rsidR="00005111" w:rsidRDefault="00005111" w:rsidP="005261C1">
      <w:pPr>
        <w:pStyle w:val="Heading1"/>
      </w:pPr>
      <w:r>
        <w:t>Employment</w:t>
      </w:r>
    </w:p>
    <w:p w14:paraId="6A12E6BF" w14:textId="3AB0AB01" w:rsidR="003412DA" w:rsidRDefault="003412DA" w:rsidP="003412DA">
      <w:r w:rsidRPr="003412DA">
        <w:t>The official unemployment rate</w:t>
      </w:r>
      <w:r w:rsidR="009D7CB0">
        <w:rPr>
          <w:rStyle w:val="FootnoteReference"/>
        </w:rPr>
        <w:footnoteReference w:id="17"/>
      </w:r>
      <w:r w:rsidRPr="003412DA">
        <w:t xml:space="preserve"> </w:t>
      </w:r>
      <w:r w:rsidR="004D3A04">
        <w:t>remained steady at 3.6</w:t>
      </w:r>
      <w:r w:rsidR="004D3A04" w:rsidRPr="003412DA">
        <w:t>%</w:t>
      </w:r>
      <w:r w:rsidR="004D3A04">
        <w:t xml:space="preserve"> throughout the </w:t>
      </w:r>
      <w:r w:rsidR="00D70A1E">
        <w:t>2</w:t>
      </w:r>
      <w:r w:rsidR="00D70A1E" w:rsidRPr="00D70A1E">
        <w:rPr>
          <w:vertAlign w:val="superscript"/>
        </w:rPr>
        <w:t>nd</w:t>
      </w:r>
      <w:r w:rsidR="004D3A04">
        <w:t xml:space="preserve"> quarter of 2022, </w:t>
      </w:r>
      <w:r w:rsidR="00746558">
        <w:t>near</w:t>
      </w:r>
      <w:r w:rsidR="004D3A04">
        <w:t xml:space="preserve"> its pre-pandemic level of 3.5%. The unemployment rate in June was well below the 30-year historical average of 5.8%. However</w:t>
      </w:r>
      <w:r w:rsidR="0004341A">
        <w:t>, the labor force</w:t>
      </w:r>
      <w:r w:rsidR="007B4191">
        <w:rPr>
          <w:rStyle w:val="FootnoteReference"/>
        </w:rPr>
        <w:footnoteReference w:id="18"/>
      </w:r>
      <w:r w:rsidR="0004341A">
        <w:t xml:space="preserve"> </w:t>
      </w:r>
      <w:r w:rsidR="004D3A04">
        <w:t xml:space="preserve">declined by 0.4 million workers during the quarter, and the </w:t>
      </w:r>
      <w:r w:rsidR="006859BA">
        <w:t>labor force participation rate</w:t>
      </w:r>
      <w:r w:rsidR="006859BA">
        <w:rPr>
          <w:rStyle w:val="FootnoteReference"/>
        </w:rPr>
        <w:footnoteReference w:id="19"/>
      </w:r>
      <w:r w:rsidR="006859BA">
        <w:t xml:space="preserve"> </w:t>
      </w:r>
      <w:r w:rsidR="004D3A04">
        <w:t>slid to 62.2%</w:t>
      </w:r>
      <w:r w:rsidR="006859BA">
        <w:t xml:space="preserve">. </w:t>
      </w:r>
      <w:r w:rsidR="00D62169">
        <w:t>E</w:t>
      </w:r>
      <w:r w:rsidRPr="003412DA">
        <w:t xml:space="preserve">conomists </w:t>
      </w:r>
      <w:r w:rsidR="006859BA">
        <w:t>polled by</w:t>
      </w:r>
      <w:r w:rsidR="00D62169">
        <w:t xml:space="preserve"> </w:t>
      </w:r>
      <w:r w:rsidRPr="003412DA">
        <w:t>the Livingston Survey</w:t>
      </w:r>
      <w:r w:rsidR="00C7535D">
        <w:rPr>
          <w:rStyle w:val="FootnoteReference"/>
        </w:rPr>
        <w:footnoteReference w:id="20"/>
      </w:r>
      <w:r w:rsidRPr="003412DA">
        <w:t xml:space="preserve"> </w:t>
      </w:r>
      <w:r w:rsidR="004D3A04">
        <w:t>in June of 2022 projected</w:t>
      </w:r>
      <w:r w:rsidR="004D3A04" w:rsidRPr="003412DA">
        <w:t xml:space="preserve"> </w:t>
      </w:r>
      <w:r w:rsidR="004D3A04">
        <w:t>an unemployment rate of</w:t>
      </w:r>
      <w:r w:rsidR="004D3A04" w:rsidRPr="003412DA">
        <w:t xml:space="preserve"> </w:t>
      </w:r>
      <w:r w:rsidR="004D3A04">
        <w:t>3.4</w:t>
      </w:r>
      <w:r w:rsidR="004D3A04" w:rsidRPr="003412DA">
        <w:t>%</w:t>
      </w:r>
      <w:r w:rsidR="004D3A04">
        <w:t xml:space="preserve"> in December 2022, inching up to 3.5</w:t>
      </w:r>
      <w:r w:rsidR="004D3A04" w:rsidRPr="003412DA">
        <w:t xml:space="preserve">% in </w:t>
      </w:r>
      <w:r w:rsidR="004D3A04">
        <w:t>June</w:t>
      </w:r>
      <w:r w:rsidR="004D3A04" w:rsidRPr="003412DA">
        <w:t xml:space="preserve"> of 202</w:t>
      </w:r>
      <w:r w:rsidR="004D3A04">
        <w:t>3</w:t>
      </w:r>
      <w:r w:rsidRPr="003412DA">
        <w:t xml:space="preserve">. </w:t>
      </w:r>
    </w:p>
    <w:p w14:paraId="4B4FCC94" w14:textId="4A5757F5" w:rsidR="00D029B3" w:rsidRDefault="009E7A0A" w:rsidP="003412DA">
      <w:r>
        <w:t xml:space="preserve">In </w:t>
      </w:r>
      <w:r w:rsidR="004D3A04">
        <w:t>May</w:t>
      </w:r>
      <w:r>
        <w:t xml:space="preserve"> 2022, n</w:t>
      </w:r>
      <w:r w:rsidR="00D029B3">
        <w:t>onfarm worker quits</w:t>
      </w:r>
      <w:r w:rsidR="00D029B3">
        <w:rPr>
          <w:rStyle w:val="FootnoteReference"/>
        </w:rPr>
        <w:footnoteReference w:id="21"/>
      </w:r>
      <w:r w:rsidR="00D029B3">
        <w:t xml:space="preserve"> </w:t>
      </w:r>
      <w:r w:rsidR="005505E0">
        <w:t>stood at 4.</w:t>
      </w:r>
      <w:r w:rsidR="004D3A04">
        <w:t>3</w:t>
      </w:r>
      <w:r w:rsidR="005505E0">
        <w:t xml:space="preserve"> million,</w:t>
      </w:r>
      <w:r>
        <w:t xml:space="preserve"> 0.2 million </w:t>
      </w:r>
      <w:r w:rsidR="005505E0">
        <w:t>lower than</w:t>
      </w:r>
      <w:r>
        <w:t xml:space="preserve"> their</w:t>
      </w:r>
      <w:r w:rsidR="00D029B3">
        <w:t xml:space="preserve"> </w:t>
      </w:r>
      <w:r w:rsidR="007A4A4B">
        <w:t xml:space="preserve">record high in </w:t>
      </w:r>
      <w:r w:rsidR="00D029B3">
        <w:t>November 2021</w:t>
      </w:r>
      <w:r>
        <w:t>, yet 0.</w:t>
      </w:r>
      <w:r w:rsidR="004D3A04">
        <w:t>7</w:t>
      </w:r>
      <w:r>
        <w:t xml:space="preserve"> million higher than their pre-pandemic level</w:t>
      </w:r>
      <w:r w:rsidR="00D029B3">
        <w:t xml:space="preserve">. The number of quits </w:t>
      </w:r>
      <w:r w:rsidR="004D3A04">
        <w:t>fell 1.3</w:t>
      </w:r>
      <w:r w:rsidR="00D029B3">
        <w:t xml:space="preserve">% </w:t>
      </w:r>
      <w:r w:rsidR="005505E0">
        <w:t>over the month</w:t>
      </w:r>
      <w:r w:rsidR="00D029B3">
        <w:t xml:space="preserve"> </w:t>
      </w:r>
      <w:r w:rsidR="004D3A04">
        <w:t>yet remained 11.3</w:t>
      </w:r>
      <w:r w:rsidR="00F361C0">
        <w:t xml:space="preserve">% </w:t>
      </w:r>
      <w:r w:rsidR="004D3A04">
        <w:t>higher than in May</w:t>
      </w:r>
      <w:r w:rsidR="00F361C0">
        <w:t xml:space="preserve"> 202</w:t>
      </w:r>
      <w:r w:rsidR="005505E0">
        <w:t>1</w:t>
      </w:r>
      <w:r w:rsidR="00F361C0">
        <w:t xml:space="preserve">. The </w:t>
      </w:r>
      <w:r w:rsidR="005505E0">
        <w:t>elevated</w:t>
      </w:r>
      <w:r w:rsidR="00F361C0">
        <w:t xml:space="preserve"> level of </w:t>
      </w:r>
      <w:r w:rsidR="005505E0">
        <w:t>quits, sometimes referred to as The Great Resignation</w:t>
      </w:r>
      <w:r w:rsidR="002B5FDA">
        <w:t xml:space="preserve">, may be waning, but will leave in its </w:t>
      </w:r>
      <w:r w:rsidR="002B5FDA">
        <w:lastRenderedPageBreak/>
        <w:t>wake potentially permanent changes to American work culture, including increased flexibility and a focus on employee wellness</w:t>
      </w:r>
      <w:r w:rsidR="00F361C0">
        <w:t>.</w:t>
      </w:r>
      <w:r w:rsidR="007A4A4B">
        <w:t xml:space="preserve"> Job openings</w:t>
      </w:r>
      <w:r w:rsidR="007A4A4B">
        <w:rPr>
          <w:rStyle w:val="FootnoteReference"/>
        </w:rPr>
        <w:footnoteReference w:id="22"/>
      </w:r>
      <w:r w:rsidR="007A4A4B">
        <w:t xml:space="preserve"> totaled 11.3 million in </w:t>
      </w:r>
      <w:r w:rsidR="002B5FDA">
        <w:t>May</w:t>
      </w:r>
      <w:r w:rsidR="007A4A4B">
        <w:t xml:space="preserve"> 2022, 0.</w:t>
      </w:r>
      <w:r w:rsidR="009A3EEC">
        <w:t>6</w:t>
      </w:r>
      <w:r w:rsidR="007A4A4B">
        <w:t xml:space="preserve"> million below their record high in </w:t>
      </w:r>
      <w:r w:rsidR="009A3EEC">
        <w:t>March 2022</w:t>
      </w:r>
      <w:r w:rsidR="007A4A4B">
        <w:t xml:space="preserve"> and 2.6 times the number of resignations.</w:t>
      </w:r>
      <w:r w:rsidR="007A4A4B">
        <w:rPr>
          <w:rStyle w:val="CommentReference"/>
        </w:rPr>
        <w:t xml:space="preserve"> </w:t>
      </w:r>
    </w:p>
    <w:p w14:paraId="799A9D83" w14:textId="58E41A3B" w:rsidR="009526E8" w:rsidRDefault="00B7512F" w:rsidP="009526E8">
      <w:pPr>
        <w:jc w:val="center"/>
      </w:pPr>
      <w:r>
        <w:rPr>
          <w:noProof/>
        </w:rPr>
        <w:drawing>
          <wp:inline distT="0" distB="0" distL="0" distR="0" wp14:anchorId="13289A98" wp14:editId="29B9D318">
            <wp:extent cx="3493135" cy="2651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51205F54" w14:textId="2D3809FD" w:rsidR="007A4896" w:rsidRDefault="007A4896" w:rsidP="007A4896">
      <w:r w:rsidRPr="003412DA">
        <w:t xml:space="preserve">The U-6 </w:t>
      </w:r>
      <w:r w:rsidR="00895002">
        <w:t xml:space="preserve">unemployment </w:t>
      </w:r>
      <w:r w:rsidRPr="003412DA">
        <w:t>rate</w:t>
      </w:r>
      <w:r w:rsidR="009D7CB0">
        <w:rPr>
          <w:rStyle w:val="FootnoteReference"/>
        </w:rPr>
        <w:footnoteReference w:id="23"/>
      </w:r>
      <w:r w:rsidRPr="003412DA">
        <w:t xml:space="preserve"> is an alternative measure of unemployment with a broader definition, </w:t>
      </w:r>
      <w:r w:rsidR="001F297B">
        <w:t>including such groups</w:t>
      </w:r>
      <w:r w:rsidRPr="003412DA">
        <w:t xml:space="preserve"> as discouraged workers who are not actively searching for jobs but want full-time work and part-time workers who want full-time work. The U</w:t>
      </w:r>
      <w:r w:rsidRPr="003412DA">
        <w:noBreakHyphen/>
        <w:t xml:space="preserve">6 </w:t>
      </w:r>
      <w:r w:rsidR="00895002">
        <w:t xml:space="preserve">unemployment </w:t>
      </w:r>
      <w:r w:rsidRPr="003412DA">
        <w:t xml:space="preserve">rate </w:t>
      </w:r>
      <w:r w:rsidR="009A3EEC">
        <w:t>has generally followed the same pattern as the official rate before falling to record-low 6.7% in June 2022</w:t>
      </w:r>
      <w:r w:rsidRPr="003412DA">
        <w:t>.</w:t>
      </w:r>
    </w:p>
    <w:p w14:paraId="6B09010C" w14:textId="7BA72B08" w:rsidR="007A4896" w:rsidRDefault="00B7512F" w:rsidP="004846E4">
      <w:pPr>
        <w:jc w:val="center"/>
      </w:pPr>
      <w:r>
        <w:rPr>
          <w:noProof/>
        </w:rPr>
        <w:drawing>
          <wp:inline distT="0" distB="0" distL="0" distR="0" wp14:anchorId="15DD47C5" wp14:editId="648273F3">
            <wp:extent cx="3493135" cy="2651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2A158EAA" w14:textId="79987962" w:rsidR="003412DA" w:rsidRPr="003412DA" w:rsidRDefault="009D7CB0" w:rsidP="003412DA">
      <w:r>
        <w:lastRenderedPageBreak/>
        <w:t>Nonfarm p</w:t>
      </w:r>
      <w:r w:rsidR="003412DA">
        <w:t>ayrolls</w:t>
      </w:r>
      <w:r>
        <w:rPr>
          <w:rStyle w:val="FootnoteReference"/>
        </w:rPr>
        <w:footnoteReference w:id="24"/>
      </w:r>
      <w:r w:rsidR="003412DA">
        <w:t xml:space="preserve"> grew by </w:t>
      </w:r>
      <w:r w:rsidR="006C2AC0">
        <w:t>1.3</w:t>
      </w:r>
      <w:r w:rsidR="003412DA">
        <w:t xml:space="preserve"> million jobs in </w:t>
      </w:r>
      <w:r w:rsidR="008A7107">
        <w:t xml:space="preserve">the </w:t>
      </w:r>
      <w:r w:rsidR="00746558">
        <w:t>2</w:t>
      </w:r>
      <w:r w:rsidR="00746558" w:rsidRPr="00746558">
        <w:rPr>
          <w:vertAlign w:val="superscript"/>
        </w:rPr>
        <w:t>nd</w:t>
      </w:r>
      <w:r w:rsidR="00746558">
        <w:t xml:space="preserve"> </w:t>
      </w:r>
      <w:r w:rsidR="008A7107">
        <w:t xml:space="preserve">quarter. </w:t>
      </w:r>
      <w:r w:rsidR="00BD4FA3">
        <w:t>U.S.</w:t>
      </w:r>
      <w:r w:rsidR="008A7107">
        <w:t xml:space="preserve"> nonfarm payrolls </w:t>
      </w:r>
      <w:r w:rsidR="00F72263">
        <w:t xml:space="preserve">in </w:t>
      </w:r>
      <w:r w:rsidR="00746558">
        <w:t>June</w:t>
      </w:r>
      <w:r w:rsidR="0022416D">
        <w:t xml:space="preserve"> 2022</w:t>
      </w:r>
      <w:r w:rsidR="00F72263">
        <w:t xml:space="preserve"> totaled</w:t>
      </w:r>
      <w:r w:rsidR="008A7107">
        <w:t xml:space="preserve"> </w:t>
      </w:r>
      <w:r w:rsidR="0022416D">
        <w:t>15</w:t>
      </w:r>
      <w:r w:rsidR="00746558">
        <w:t>2.0</w:t>
      </w:r>
      <w:r w:rsidR="00175A46">
        <w:t xml:space="preserve"> jobs</w:t>
      </w:r>
      <w:r w:rsidR="008A7107">
        <w:t>, up</w:t>
      </w:r>
      <w:r w:rsidR="00A14C86">
        <w:t xml:space="preserve"> </w:t>
      </w:r>
      <w:r w:rsidR="006528B7">
        <w:t>6.</w:t>
      </w:r>
      <w:r w:rsidR="00746558">
        <w:t>3</w:t>
      </w:r>
      <w:r w:rsidR="00A14C86">
        <w:t xml:space="preserve"> million compared to the same period last year</w:t>
      </w:r>
      <w:r w:rsidR="003412DA">
        <w:t>,</w:t>
      </w:r>
      <w:r w:rsidR="008A7107">
        <w:t xml:space="preserve"> yet still </w:t>
      </w:r>
      <w:r w:rsidR="00746558">
        <w:t>0.5</w:t>
      </w:r>
      <w:r w:rsidR="00F72263">
        <w:t xml:space="preserve"> </w:t>
      </w:r>
      <w:r w:rsidR="008A7107">
        <w:t>million jobs below</w:t>
      </w:r>
      <w:r w:rsidR="003412DA">
        <w:t xml:space="preserve"> </w:t>
      </w:r>
      <w:r w:rsidR="008A7107">
        <w:t>their pre-pandemic (</w:t>
      </w:r>
      <w:r w:rsidR="00F72263">
        <w:t>Feb</w:t>
      </w:r>
      <w:r w:rsidR="008A7107">
        <w:t>r</w:t>
      </w:r>
      <w:r w:rsidR="00F72263">
        <w:t>uary</w:t>
      </w:r>
      <w:r w:rsidR="008A7107">
        <w:t xml:space="preserve"> 2020) levels</w:t>
      </w:r>
      <w:r w:rsidR="003412DA">
        <w:t xml:space="preserve">. </w:t>
      </w:r>
      <w:r w:rsidR="00E16DF8">
        <w:t xml:space="preserve">The largest gains were recorded in the </w:t>
      </w:r>
      <w:r w:rsidR="00746558">
        <w:t xml:space="preserve">professional and business services, </w:t>
      </w:r>
      <w:r w:rsidR="00E16DF8">
        <w:t>leisure and hospitality</w:t>
      </w:r>
      <w:r w:rsidR="00F051F3">
        <w:t>, and health care</w:t>
      </w:r>
      <w:r w:rsidR="00E16DF8">
        <w:t xml:space="preserve"> industr</w:t>
      </w:r>
      <w:r w:rsidR="00F051F3">
        <w:t>ies</w:t>
      </w:r>
      <w:r w:rsidR="00E16DF8">
        <w:t>.</w:t>
      </w:r>
    </w:p>
    <w:p w14:paraId="1926EEEC" w14:textId="6908E9DE" w:rsidR="0017576B" w:rsidRDefault="006364F6" w:rsidP="009526E8">
      <w:pPr>
        <w:jc w:val="center"/>
      </w:pPr>
      <w:r>
        <w:rPr>
          <w:noProof/>
        </w:rPr>
        <w:drawing>
          <wp:inline distT="0" distB="0" distL="0" distR="0" wp14:anchorId="0E55AE9A" wp14:editId="2D2E6C99">
            <wp:extent cx="3853180" cy="2651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3180" cy="2651760"/>
                    </a:xfrm>
                    <a:prstGeom prst="rect">
                      <a:avLst/>
                    </a:prstGeom>
                    <a:noFill/>
                  </pic:spPr>
                </pic:pic>
              </a:graphicData>
            </a:graphic>
          </wp:inline>
        </w:drawing>
      </w:r>
    </w:p>
    <w:p w14:paraId="149D5F38" w14:textId="77777777" w:rsidR="00005111" w:rsidRDefault="00005111" w:rsidP="001475FF">
      <w:pPr>
        <w:pStyle w:val="Heading1"/>
      </w:pPr>
      <w:r>
        <w:t>Inflation</w:t>
      </w:r>
    </w:p>
    <w:p w14:paraId="52A0C1E8" w14:textId="29663B82" w:rsidR="00176F91" w:rsidRDefault="00F151F3" w:rsidP="00005111">
      <w:r>
        <w:t>A</w:t>
      </w:r>
      <w:r w:rsidR="00EA63F2">
        <w:t>t</w:t>
      </w:r>
      <w:r w:rsidR="006528B7">
        <w:t xml:space="preserve"> the forefront of the economic conversation</w:t>
      </w:r>
      <w:r w:rsidR="00EA63F2">
        <w:t xml:space="preserve">, </w:t>
      </w:r>
      <w:r>
        <w:t xml:space="preserve">inflation </w:t>
      </w:r>
      <w:r w:rsidR="00EA63F2">
        <w:t>is proving to be more stubborn than officials hoped</w:t>
      </w:r>
      <w:r w:rsidR="00776A56">
        <w:t xml:space="preserve"> and has not yet reached </w:t>
      </w:r>
      <w:r>
        <w:t>a clear peak</w:t>
      </w:r>
      <w:r w:rsidR="000D4AF1">
        <w:t xml:space="preserve">. </w:t>
      </w:r>
      <w:r w:rsidR="00661AA7">
        <w:t>The Consumer Price Index</w:t>
      </w:r>
      <w:r w:rsidR="009B52AF">
        <w:rPr>
          <w:rStyle w:val="FootnoteReference"/>
        </w:rPr>
        <w:footnoteReference w:id="25"/>
      </w:r>
      <w:r w:rsidR="00661AA7">
        <w:t xml:space="preserve"> </w:t>
      </w:r>
      <w:r w:rsidR="004E1574">
        <w:t>rose</w:t>
      </w:r>
      <w:r w:rsidR="000D4AF1">
        <w:t xml:space="preserve"> </w:t>
      </w:r>
      <w:r w:rsidR="00EA63F2">
        <w:t>9.0</w:t>
      </w:r>
      <w:r w:rsidR="000D4AF1">
        <w:t xml:space="preserve">% year-over-year in </w:t>
      </w:r>
      <w:r w:rsidR="00EA63F2">
        <w:t>June</w:t>
      </w:r>
      <w:r w:rsidR="00B36811">
        <w:t xml:space="preserve">, its fastest growth </w:t>
      </w:r>
      <w:r w:rsidR="006528B7">
        <w:t xml:space="preserve">since </w:t>
      </w:r>
      <w:r w:rsidR="00EA63F2">
        <w:t>November</w:t>
      </w:r>
      <w:r w:rsidR="006528B7">
        <w:t xml:space="preserve"> of 198</w:t>
      </w:r>
      <w:r w:rsidR="005C6F0D">
        <w:t>1</w:t>
      </w:r>
      <w:r w:rsidR="002E0F29">
        <w:t>. Excluding volatile energy prices</w:t>
      </w:r>
      <w:r w:rsidR="00EF1F20">
        <w:rPr>
          <w:rStyle w:val="FootnoteReference"/>
        </w:rPr>
        <w:footnoteReference w:id="26"/>
      </w:r>
      <w:r w:rsidR="002E0F29">
        <w:t>, the index rose</w:t>
      </w:r>
      <w:r w:rsidR="003A2900">
        <w:t xml:space="preserve"> </w:t>
      </w:r>
      <w:r w:rsidR="005C6F0D">
        <w:t>6.</w:t>
      </w:r>
      <w:r>
        <w:t>6</w:t>
      </w:r>
      <w:r w:rsidR="000D4AF1">
        <w:t>%. Notably, the price</w:t>
      </w:r>
      <w:r w:rsidR="005C22CA">
        <w:t xml:space="preserve"> of a gallon of gas</w:t>
      </w:r>
      <w:r w:rsidR="003A2900">
        <w:rPr>
          <w:rStyle w:val="FootnoteReference"/>
        </w:rPr>
        <w:footnoteReference w:id="27"/>
      </w:r>
      <w:r w:rsidR="005C22CA">
        <w:t xml:space="preserve"> </w:t>
      </w:r>
      <w:r w:rsidR="00A83C79">
        <w:t>jumped</w:t>
      </w:r>
      <w:r w:rsidR="000D4AF1">
        <w:t xml:space="preserve"> </w:t>
      </w:r>
      <w:r>
        <w:t>60.4</w:t>
      </w:r>
      <w:r w:rsidR="000D4AF1">
        <w:t>%</w:t>
      </w:r>
      <w:r w:rsidR="003A2900">
        <w:t xml:space="preserve"> from a national average of $</w:t>
      </w:r>
      <w:r>
        <w:t>3.15</w:t>
      </w:r>
      <w:r w:rsidR="003A2900">
        <w:t xml:space="preserve"> in </w:t>
      </w:r>
      <w:r>
        <w:t>June</w:t>
      </w:r>
      <w:r w:rsidR="005C6F0D">
        <w:t xml:space="preserve"> 2021</w:t>
      </w:r>
      <w:r w:rsidR="003A2900">
        <w:t xml:space="preserve"> to </w:t>
      </w:r>
      <w:r w:rsidR="004F4F4F">
        <w:t xml:space="preserve">a record-high </w:t>
      </w:r>
      <w:r w:rsidR="003A2900">
        <w:t>$</w:t>
      </w:r>
      <w:r>
        <w:t xml:space="preserve">5.06 </w:t>
      </w:r>
      <w:r w:rsidR="003A2900">
        <w:t xml:space="preserve">in </w:t>
      </w:r>
      <w:r>
        <w:t>June</w:t>
      </w:r>
      <w:r w:rsidR="003A2900">
        <w:t xml:space="preserve"> 202</w:t>
      </w:r>
      <w:r w:rsidR="005C6F0D">
        <w:t>2</w:t>
      </w:r>
      <w:r w:rsidR="008B3356">
        <w:t xml:space="preserve">. </w:t>
      </w:r>
      <w:r w:rsidR="00156E24">
        <w:t xml:space="preserve">In addition to gasoline, shelter and food prices were among the largest contributors to </w:t>
      </w:r>
      <w:r w:rsidR="00350673">
        <w:t xml:space="preserve">the </w:t>
      </w:r>
      <w:r w:rsidR="00156E24">
        <w:t xml:space="preserve">severe inflation. </w:t>
      </w:r>
      <w:r w:rsidR="000D4AF1">
        <w:t>The Federal Reserve</w:t>
      </w:r>
      <w:r w:rsidR="00350673">
        <w:t xml:space="preserve"> has begun taking action to curb inflatio</w:t>
      </w:r>
      <w:r>
        <w:t>n with a series of target interest rate hikes</w:t>
      </w:r>
      <w:r w:rsidR="00350673">
        <w:t xml:space="preserve"> </w:t>
      </w:r>
      <w:r>
        <w:t>totaling 1.5% from March to June</w:t>
      </w:r>
      <w:r w:rsidR="00A94F52">
        <w:t>.</w:t>
      </w:r>
    </w:p>
    <w:p w14:paraId="3ED812A9" w14:textId="2C789FA0" w:rsidR="00176F91" w:rsidRDefault="006364F6" w:rsidP="009526E8">
      <w:pPr>
        <w:jc w:val="center"/>
      </w:pPr>
      <w:r>
        <w:rPr>
          <w:noProof/>
        </w:rPr>
        <w:lastRenderedPageBreak/>
        <w:drawing>
          <wp:inline distT="0" distB="0" distL="0" distR="0" wp14:anchorId="6B63D790" wp14:editId="4BB2FBF4">
            <wp:extent cx="3499485" cy="265176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2651760"/>
                    </a:xfrm>
                    <a:prstGeom prst="rect">
                      <a:avLst/>
                    </a:prstGeom>
                    <a:noFill/>
                  </pic:spPr>
                </pic:pic>
              </a:graphicData>
            </a:graphic>
          </wp:inline>
        </w:drawing>
      </w:r>
    </w:p>
    <w:p w14:paraId="149D5F3E" w14:textId="25E27FB1" w:rsidR="00A11CAC" w:rsidRDefault="00A17C3A" w:rsidP="006F7FB2">
      <w:r w:rsidRPr="00507B5A">
        <w:t>The Producer Price Index</w:t>
      </w:r>
      <w:r w:rsidR="009B52AF" w:rsidRPr="00507B5A">
        <w:rPr>
          <w:rStyle w:val="FootnoteReference"/>
        </w:rPr>
        <w:footnoteReference w:id="28"/>
      </w:r>
      <w:r w:rsidRPr="00507B5A">
        <w:t xml:space="preserve"> </w:t>
      </w:r>
      <w:r w:rsidR="004940F1">
        <w:t xml:space="preserve">rose </w:t>
      </w:r>
      <w:r w:rsidR="00F151F3">
        <w:t>3</w:t>
      </w:r>
      <w:r w:rsidR="004940F1">
        <w:t>.3</w:t>
      </w:r>
      <w:r w:rsidR="00A94F52">
        <w:t xml:space="preserve">% in </w:t>
      </w:r>
      <w:r w:rsidR="00F151F3">
        <w:t>June</w:t>
      </w:r>
      <w:r w:rsidR="004940F1">
        <w:t xml:space="preserve"> to a level</w:t>
      </w:r>
      <w:r w:rsidR="00235B28" w:rsidRPr="00507B5A">
        <w:t xml:space="preserve"> 2</w:t>
      </w:r>
      <w:r w:rsidR="00F151F3">
        <w:t>3</w:t>
      </w:r>
      <w:r w:rsidR="00235B28" w:rsidRPr="00507B5A">
        <w:t>.</w:t>
      </w:r>
      <w:r w:rsidR="00F151F3">
        <w:t>4</w:t>
      </w:r>
      <w:r w:rsidR="00235B28" w:rsidRPr="00507B5A">
        <w:t xml:space="preserve">% higher than </w:t>
      </w:r>
      <w:r w:rsidR="00F151F3">
        <w:t>June</w:t>
      </w:r>
      <w:r w:rsidR="004940F1">
        <w:t xml:space="preserve"> 2021</w:t>
      </w:r>
      <w:r w:rsidR="00235B28" w:rsidRPr="00507B5A">
        <w:t xml:space="preserve">, </w:t>
      </w:r>
      <w:r w:rsidR="004940F1">
        <w:t xml:space="preserve">far outpacing </w:t>
      </w:r>
      <w:r w:rsidR="00235B28" w:rsidRPr="00507B5A">
        <w:t xml:space="preserve">the </w:t>
      </w:r>
      <w:r w:rsidR="00507B5A" w:rsidRPr="00507B5A">
        <w:t>2.</w:t>
      </w:r>
      <w:r w:rsidR="00B92E54">
        <w:t>8</w:t>
      </w:r>
      <w:r w:rsidR="00507B5A" w:rsidRPr="00507B5A">
        <w:t xml:space="preserve">% </w:t>
      </w:r>
      <w:r w:rsidR="00235B28" w:rsidRPr="00507B5A">
        <w:t>average annual increase over the last 30 years.</w:t>
      </w:r>
    </w:p>
    <w:p w14:paraId="149D5F40" w14:textId="529C0B1F" w:rsidR="00B94E68" w:rsidRPr="005232D6" w:rsidRDefault="006364F6" w:rsidP="00166C08">
      <w:pPr>
        <w:jc w:val="center"/>
      </w:pPr>
      <w:r>
        <w:rPr>
          <w:noProof/>
        </w:rPr>
        <w:drawing>
          <wp:inline distT="0" distB="0" distL="0" distR="0" wp14:anchorId="3F4303A1" wp14:editId="447B8B4E">
            <wp:extent cx="3493135" cy="2651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49137979" w14:textId="7DA91495" w:rsidR="00661AA7" w:rsidRPr="005232D6" w:rsidRDefault="00661AA7" w:rsidP="00661AA7">
      <w:pPr>
        <w:rPr>
          <w:color w:val="000000" w:themeColor="text1"/>
        </w:rPr>
      </w:pPr>
      <w:r w:rsidRPr="005232D6">
        <w:rPr>
          <w:color w:val="000000" w:themeColor="text1"/>
        </w:rPr>
        <w:t xml:space="preserve">Treasury Inflation-Protected Securities (TIPS) are a longer-term Treasury debt instrument which pays a fixed interest rate but adjusts the principal value according to inflation, effectively indexing interest payments to inflation. TIPS have </w:t>
      </w:r>
      <w:r w:rsidR="00622313">
        <w:rPr>
          <w:color w:val="000000" w:themeColor="text1"/>
        </w:rPr>
        <w:t>sold</w:t>
      </w:r>
      <w:r w:rsidRPr="005232D6">
        <w:rPr>
          <w:color w:val="000000" w:themeColor="text1"/>
        </w:rPr>
        <w:t xml:space="preserve"> at a premium, reflecting higher inflation expectations</w:t>
      </w:r>
      <w:r w:rsidR="005232D6" w:rsidRPr="005232D6">
        <w:rPr>
          <w:color w:val="000000" w:themeColor="text1"/>
        </w:rPr>
        <w:t>; however, the Fed</w:t>
      </w:r>
      <w:r w:rsidR="00622313">
        <w:rPr>
          <w:color w:val="000000" w:themeColor="text1"/>
        </w:rPr>
        <w:t>’s</w:t>
      </w:r>
      <w:r w:rsidR="005232D6" w:rsidRPr="005232D6">
        <w:rPr>
          <w:color w:val="000000" w:themeColor="text1"/>
        </w:rPr>
        <w:t xml:space="preserve"> </w:t>
      </w:r>
      <w:r w:rsidR="00D8327E">
        <w:rPr>
          <w:color w:val="000000" w:themeColor="text1"/>
        </w:rPr>
        <w:t>asset-reduction program</w:t>
      </w:r>
      <w:r w:rsidR="00622313">
        <w:rPr>
          <w:color w:val="000000" w:themeColor="text1"/>
        </w:rPr>
        <w:t xml:space="preserve"> </w:t>
      </w:r>
      <w:r w:rsidR="00D8327E">
        <w:rPr>
          <w:color w:val="000000" w:themeColor="text1"/>
        </w:rPr>
        <w:t>is</w:t>
      </w:r>
      <w:r w:rsidR="00622313">
        <w:rPr>
          <w:color w:val="000000" w:themeColor="text1"/>
        </w:rPr>
        <w:t xml:space="preserve"> expected to dilute the market</w:t>
      </w:r>
      <w:r w:rsidRPr="005232D6">
        <w:rPr>
          <w:color w:val="000000" w:themeColor="text1"/>
        </w:rPr>
        <w:t xml:space="preserve">. The 5-year </w:t>
      </w:r>
      <w:r w:rsidR="00031DA4" w:rsidRPr="005232D6">
        <w:rPr>
          <w:color w:val="000000" w:themeColor="text1"/>
        </w:rPr>
        <w:t>breakeven</w:t>
      </w:r>
      <w:r w:rsidRPr="005232D6">
        <w:rPr>
          <w:color w:val="000000" w:themeColor="text1"/>
        </w:rPr>
        <w:t xml:space="preserve"> inflation rate</w:t>
      </w:r>
      <w:r w:rsidRPr="005232D6">
        <w:rPr>
          <w:rStyle w:val="FootnoteReference"/>
          <w:color w:val="000000" w:themeColor="text1"/>
        </w:rPr>
        <w:footnoteReference w:id="29"/>
      </w:r>
      <w:r w:rsidRPr="005232D6">
        <w:rPr>
          <w:color w:val="000000" w:themeColor="text1"/>
        </w:rPr>
        <w:t xml:space="preserve">, an indicator for the market’s inflation expectations for the period, </w:t>
      </w:r>
      <w:r w:rsidR="00B92E54">
        <w:rPr>
          <w:color w:val="000000" w:themeColor="text1"/>
        </w:rPr>
        <w:t xml:space="preserve">fell </w:t>
      </w:r>
      <w:r w:rsidR="00D8327E">
        <w:rPr>
          <w:color w:val="000000" w:themeColor="text1"/>
        </w:rPr>
        <w:t>from 3.34</w:t>
      </w:r>
      <w:r w:rsidR="005232D6">
        <w:rPr>
          <w:color w:val="000000" w:themeColor="text1"/>
        </w:rPr>
        <w:t xml:space="preserve">% </w:t>
      </w:r>
      <w:r w:rsidR="00D8327E">
        <w:rPr>
          <w:color w:val="000000" w:themeColor="text1"/>
        </w:rPr>
        <w:t>at the end of the 1</w:t>
      </w:r>
      <w:r w:rsidR="00D8327E" w:rsidRPr="00D8327E">
        <w:rPr>
          <w:color w:val="000000" w:themeColor="text1"/>
          <w:vertAlign w:val="superscript"/>
        </w:rPr>
        <w:t>st</w:t>
      </w:r>
      <w:r w:rsidR="00D8327E">
        <w:rPr>
          <w:color w:val="000000" w:themeColor="text1"/>
        </w:rPr>
        <w:t xml:space="preserve"> </w:t>
      </w:r>
      <w:r w:rsidR="00981BE4">
        <w:rPr>
          <w:color w:val="000000" w:themeColor="text1"/>
        </w:rPr>
        <w:t>quarter</w:t>
      </w:r>
      <w:r w:rsidR="00D8327E">
        <w:rPr>
          <w:color w:val="000000" w:themeColor="text1"/>
        </w:rPr>
        <w:t xml:space="preserve"> to 2.58</w:t>
      </w:r>
      <w:r w:rsidR="00D8327E" w:rsidRPr="005232D6">
        <w:rPr>
          <w:color w:val="000000" w:themeColor="text1"/>
        </w:rPr>
        <w:t>%</w:t>
      </w:r>
      <w:r w:rsidR="00D8327E">
        <w:rPr>
          <w:color w:val="000000" w:themeColor="text1"/>
        </w:rPr>
        <w:t xml:space="preserve"> to end the 2</w:t>
      </w:r>
      <w:r w:rsidR="00D8327E" w:rsidRPr="00D8327E">
        <w:rPr>
          <w:color w:val="000000" w:themeColor="text1"/>
          <w:vertAlign w:val="superscript"/>
        </w:rPr>
        <w:t>nd</w:t>
      </w:r>
      <w:r w:rsidR="00D8327E">
        <w:rPr>
          <w:color w:val="000000" w:themeColor="text1"/>
        </w:rPr>
        <w:t xml:space="preserve"> quarter</w:t>
      </w:r>
      <w:r w:rsidRPr="005232D6">
        <w:rPr>
          <w:color w:val="000000" w:themeColor="text1"/>
        </w:rPr>
        <w:t>.</w:t>
      </w:r>
    </w:p>
    <w:p w14:paraId="2FA7F119" w14:textId="59F61330" w:rsidR="00A83597" w:rsidRPr="005469DE" w:rsidRDefault="006364F6" w:rsidP="00A83597">
      <w:pPr>
        <w:jc w:val="center"/>
        <w:rPr>
          <w:highlight w:val="yellow"/>
        </w:rPr>
      </w:pPr>
      <w:r w:rsidRPr="006364F6">
        <w:rPr>
          <w:noProof/>
        </w:rPr>
        <w:lastRenderedPageBreak/>
        <w:drawing>
          <wp:inline distT="0" distB="0" distL="0" distR="0" wp14:anchorId="5C3BB6C0" wp14:editId="54CD1045">
            <wp:extent cx="3499485" cy="265176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9485" cy="2651760"/>
                    </a:xfrm>
                    <a:prstGeom prst="rect">
                      <a:avLst/>
                    </a:prstGeom>
                    <a:noFill/>
                  </pic:spPr>
                </pic:pic>
              </a:graphicData>
            </a:graphic>
          </wp:inline>
        </w:drawing>
      </w:r>
    </w:p>
    <w:p w14:paraId="491A6E5E" w14:textId="0051A781" w:rsidR="00F03302" w:rsidRPr="007E1BB9" w:rsidRDefault="0074137C" w:rsidP="00A83597">
      <w:r w:rsidRPr="007E1BB9">
        <w:t>U.S. crude oil</w:t>
      </w:r>
      <w:r w:rsidRPr="007E1BB9">
        <w:rPr>
          <w:rStyle w:val="FootnoteReference"/>
        </w:rPr>
        <w:footnoteReference w:id="30"/>
      </w:r>
      <w:r w:rsidRPr="007E1BB9">
        <w:t xml:space="preserve"> </w:t>
      </w:r>
      <w:r w:rsidR="00660C7A" w:rsidRPr="007E1BB9">
        <w:t xml:space="preserve">prices </w:t>
      </w:r>
      <w:r w:rsidR="00D8327E">
        <w:t>climbed throughout</w:t>
      </w:r>
      <w:r w:rsidR="00AF4095">
        <w:t xml:space="preserve"> much of</w:t>
      </w:r>
      <w:r w:rsidR="00D8327E">
        <w:t xml:space="preserve"> the 2</w:t>
      </w:r>
      <w:r w:rsidR="00D8327E" w:rsidRPr="00D8327E">
        <w:rPr>
          <w:vertAlign w:val="superscript"/>
        </w:rPr>
        <w:t>nd</w:t>
      </w:r>
      <w:r w:rsidR="00D8327E">
        <w:t xml:space="preserve"> quarter</w:t>
      </w:r>
      <w:r w:rsidR="00AF4095">
        <w:t xml:space="preserve"> due to constrained global supply</w:t>
      </w:r>
      <w:r w:rsidR="00AF4095" w:rsidRPr="00AF4095">
        <w:t xml:space="preserve"> </w:t>
      </w:r>
      <w:r w:rsidR="00AF4095">
        <w:t>as</w:t>
      </w:r>
      <w:r w:rsidR="00AF4095" w:rsidRPr="00AF4095">
        <w:t xml:space="preserve"> OPEC </w:t>
      </w:r>
      <w:r w:rsidR="00B84DED">
        <w:t xml:space="preserve">and other major producers </w:t>
      </w:r>
      <w:r w:rsidR="00AF4095">
        <w:t xml:space="preserve">fell short of </w:t>
      </w:r>
      <w:r w:rsidR="00B84DED">
        <w:t>expected</w:t>
      </w:r>
      <w:r w:rsidR="00AF4095">
        <w:t xml:space="preserve"> output increases. Prices moderated in the second half of June</w:t>
      </w:r>
      <w:r w:rsidR="00B84DED">
        <w:t xml:space="preserve"> on fears of U.S. recession and signs of weakness in the broader global economy</w:t>
      </w:r>
      <w:r w:rsidR="00B6639B" w:rsidRPr="007E1BB9">
        <w:t xml:space="preserve">. Crude prices ended the </w:t>
      </w:r>
      <w:r w:rsidR="00A43008">
        <w:t>quarter</w:t>
      </w:r>
      <w:r w:rsidR="00F03302" w:rsidRPr="007E1BB9">
        <w:t xml:space="preserve"> at </w:t>
      </w:r>
      <w:r w:rsidRPr="007E1BB9">
        <w:t>$</w:t>
      </w:r>
      <w:r w:rsidR="00A43008">
        <w:t>10</w:t>
      </w:r>
      <w:r w:rsidR="00AF4095">
        <w:t>7</w:t>
      </w:r>
      <w:r w:rsidR="00A43008">
        <w:t>.</w:t>
      </w:r>
      <w:r w:rsidR="00AF4095">
        <w:t>76</w:t>
      </w:r>
      <w:r w:rsidRPr="007E1BB9">
        <w:t xml:space="preserve"> </w:t>
      </w:r>
      <w:r w:rsidR="00F03302" w:rsidRPr="007E1BB9">
        <w:t>per barrel</w:t>
      </w:r>
      <w:r w:rsidR="00B6639B" w:rsidRPr="007E1BB9">
        <w:t xml:space="preserve">, </w:t>
      </w:r>
      <w:r w:rsidR="00AF4095">
        <w:t>7</w:t>
      </w:r>
      <w:r w:rsidR="00A43008">
        <w:t>.</w:t>
      </w:r>
      <w:r w:rsidR="00AF4095">
        <w:t>2</w:t>
      </w:r>
      <w:r w:rsidR="00B6639B" w:rsidRPr="007E1BB9">
        <w:t>% higher than one quarter earlier</w:t>
      </w:r>
      <w:r w:rsidR="002E3E26" w:rsidRPr="007E1BB9">
        <w:t xml:space="preserve">.  </w:t>
      </w:r>
    </w:p>
    <w:p w14:paraId="51050840" w14:textId="3A612E33" w:rsidR="00F03302" w:rsidRPr="005469DE" w:rsidRDefault="0045641F" w:rsidP="00166C08">
      <w:pPr>
        <w:jc w:val="center"/>
        <w:rPr>
          <w:highlight w:val="yellow"/>
        </w:rPr>
      </w:pPr>
      <w:r>
        <w:rPr>
          <w:noProof/>
          <w:highlight w:val="yellow"/>
        </w:rPr>
        <w:drawing>
          <wp:inline distT="0" distB="0" distL="0" distR="0" wp14:anchorId="55C2EFA5" wp14:editId="70099334">
            <wp:extent cx="3609340" cy="2651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5176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6650137A" w:rsidR="00A96A6A" w:rsidRDefault="00BC2F02">
      <w:r>
        <w:t xml:space="preserve">The real estate market has reflected a strong theme of the economic recovery: demand outpacing supply. Housing demand, especially for single-family homes, swelled during the pandemic, sending prices soaring as supply remained constricted due to seller reluctance and </w:t>
      </w:r>
      <w:r>
        <w:lastRenderedPageBreak/>
        <w:t xml:space="preserve">materials shortages. While still robust, price growth has begun to decelerate as rising mortgage rates reduce affordability and limit the pool of potential buyers. </w:t>
      </w:r>
      <w:r w:rsidR="003F007D">
        <w:t>New</w:t>
      </w:r>
      <w:r w:rsidR="00B0395F" w:rsidRPr="0094654A">
        <w:t xml:space="preserve"> home starts</w:t>
      </w:r>
      <w:r w:rsidR="00C828B0">
        <w:rPr>
          <w:rStyle w:val="FootnoteReference"/>
        </w:rPr>
        <w:footnoteReference w:id="31"/>
      </w:r>
      <w:r w:rsidR="00B0395F" w:rsidRPr="0094654A">
        <w:t xml:space="preserve"> </w:t>
      </w:r>
      <w:r>
        <w:t>fell</w:t>
      </w:r>
      <w:r w:rsidR="00F13C1C">
        <w:t xml:space="preserve"> to</w:t>
      </w:r>
      <w:r w:rsidR="00BC04D5">
        <w:t xml:space="preserve"> 1.</w:t>
      </w:r>
      <w:r>
        <w:t>56</w:t>
      </w:r>
      <w:r w:rsidR="003F007D">
        <w:t xml:space="preserve"> </w:t>
      </w:r>
      <w:r w:rsidR="00B0395F" w:rsidRPr="0094654A">
        <w:t>million</w:t>
      </w:r>
      <w:r w:rsidR="00675122">
        <w:t xml:space="preserve"> in </w:t>
      </w:r>
      <w:r>
        <w:t>June</w:t>
      </w:r>
      <w:r w:rsidR="00CC1275">
        <w:t>; single-family home starts were sharply down over the quarter, while starts rose for</w:t>
      </w:r>
      <w:r w:rsidR="00F13C1C">
        <w:t xml:space="preserve"> m</w:t>
      </w:r>
      <w:r w:rsidR="00341282">
        <w:t xml:space="preserve">ultifamily </w:t>
      </w:r>
      <w:r w:rsidR="00CC1275">
        <w:t xml:space="preserve">buildings with 5 or more </w:t>
      </w:r>
      <w:r w:rsidR="00341282">
        <w:t>unit</w:t>
      </w:r>
      <w:r w:rsidR="00CC1275">
        <w:t>s</w:t>
      </w:r>
      <w:r w:rsidR="00341282">
        <w:t xml:space="preserve">. </w:t>
      </w:r>
      <w:r w:rsidR="00894434">
        <w:t xml:space="preserve">Total new home starts were </w:t>
      </w:r>
      <w:r>
        <w:t>down</w:t>
      </w:r>
      <w:r w:rsidR="00894434">
        <w:t xml:space="preserve"> </w:t>
      </w:r>
      <w:r>
        <w:t>9.</w:t>
      </w:r>
      <w:r w:rsidR="008D3255">
        <w:t>8</w:t>
      </w:r>
      <w:r w:rsidR="00894434">
        <w:t xml:space="preserve">% for the quarter and </w:t>
      </w:r>
      <w:r>
        <w:t>6.3</w:t>
      </w:r>
      <w:r w:rsidR="005D3FB8">
        <w:t xml:space="preserve">% </w:t>
      </w:r>
      <w:r w:rsidR="00894434">
        <w:t>for the</w:t>
      </w:r>
      <w:r w:rsidR="005D3FB8">
        <w:t xml:space="preserve"> year</w:t>
      </w:r>
      <w:r w:rsidR="00894434">
        <w:t xml:space="preserve">, </w:t>
      </w:r>
      <w:r w:rsidR="00835D9E">
        <w:t xml:space="preserve">but still </w:t>
      </w:r>
      <w:r w:rsidR="00894434">
        <w:t>end</w:t>
      </w:r>
      <w:r w:rsidR="00835D9E">
        <w:t>ed</w:t>
      </w:r>
      <w:r w:rsidR="00894434">
        <w:t xml:space="preserve"> the </w:t>
      </w:r>
      <w:r w:rsidR="00835D9E">
        <w:t>2</w:t>
      </w:r>
      <w:r w:rsidR="00835D9E" w:rsidRPr="00835D9E">
        <w:rPr>
          <w:vertAlign w:val="superscript"/>
        </w:rPr>
        <w:t>nd</w:t>
      </w:r>
      <w:r w:rsidR="00835D9E">
        <w:t xml:space="preserve"> </w:t>
      </w:r>
      <w:r w:rsidR="00894434">
        <w:t xml:space="preserve">quarter at a level </w:t>
      </w:r>
      <w:r w:rsidR="005D3FB8">
        <w:t>above their 30-year average of 1.3</w:t>
      </w:r>
      <w:r w:rsidR="008D3255">
        <w:t>3</w:t>
      </w:r>
      <w:r w:rsidR="005D3FB8">
        <w:t xml:space="preserve"> million</w:t>
      </w:r>
      <w:r w:rsidR="005D3FB8" w:rsidRPr="0094654A">
        <w:t>.</w:t>
      </w:r>
    </w:p>
    <w:p w14:paraId="149D5F44" w14:textId="416B130A" w:rsidR="00B5315D" w:rsidRDefault="006364F6" w:rsidP="001B4B76">
      <w:pPr>
        <w:jc w:val="center"/>
      </w:pPr>
      <w:r>
        <w:rPr>
          <w:noProof/>
        </w:rPr>
        <w:drawing>
          <wp:inline distT="0" distB="0" distL="0" distR="0" wp14:anchorId="32FD7B8E" wp14:editId="3C4BC255">
            <wp:extent cx="3816350" cy="2651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51760"/>
                    </a:xfrm>
                    <a:prstGeom prst="rect">
                      <a:avLst/>
                    </a:prstGeom>
                    <a:noFill/>
                  </pic:spPr>
                </pic:pic>
              </a:graphicData>
            </a:graphic>
          </wp:inline>
        </w:drawing>
      </w:r>
    </w:p>
    <w:p w14:paraId="149D5F46" w14:textId="15DF2CFA" w:rsidR="00A96795" w:rsidRDefault="00A223EC" w:rsidP="000A1224">
      <w:r>
        <w:t xml:space="preserve">The cost </w:t>
      </w:r>
      <w:r w:rsidR="00BC00A7">
        <w:t xml:space="preserve">of financing </w:t>
      </w:r>
      <w:r>
        <w:t xml:space="preserve">for </w:t>
      </w:r>
      <w:r w:rsidR="001B4B76">
        <w:t xml:space="preserve">would-be homebuyers </w:t>
      </w:r>
      <w:r w:rsidR="00CC1275">
        <w:t>continued to climb during the 2</w:t>
      </w:r>
      <w:r w:rsidR="00CC1275" w:rsidRPr="00CC1275">
        <w:rPr>
          <w:vertAlign w:val="superscript"/>
        </w:rPr>
        <w:t>nd</w:t>
      </w:r>
      <w:r w:rsidR="00CC1275">
        <w:t xml:space="preserve"> quarter</w:t>
      </w:r>
      <w:r w:rsidR="00B403A1">
        <w:t xml:space="preserve">, with </w:t>
      </w:r>
      <w:r w:rsidR="001B4B76">
        <w:t>the 30-year fixed-rate mortgage</w:t>
      </w:r>
      <w:r w:rsidR="00250313">
        <w:rPr>
          <w:rStyle w:val="FootnoteReference"/>
        </w:rPr>
        <w:footnoteReference w:id="32"/>
      </w:r>
      <w:r w:rsidR="0081792D">
        <w:t xml:space="preserve"> </w:t>
      </w:r>
      <w:r w:rsidR="00B403A1">
        <w:t>ending the quarter at</w:t>
      </w:r>
      <w:r w:rsidR="0055033B">
        <w:t xml:space="preserve"> </w:t>
      </w:r>
      <w:r w:rsidR="00234C71">
        <w:t>5.</w:t>
      </w:r>
      <w:r w:rsidR="00FB2D2D">
        <w:t>7</w:t>
      </w:r>
      <w:r w:rsidR="00234C71">
        <w:t>0</w:t>
      </w:r>
      <w:r w:rsidR="0055033B">
        <w:t>%</w:t>
      </w:r>
      <w:r w:rsidR="00234C71">
        <w:t>, the highest rate since late 2008, when the U.S. was in the throes of the Great Recession</w:t>
      </w:r>
      <w:r w:rsidR="001B4B76">
        <w:t>.</w:t>
      </w:r>
      <w:r w:rsidR="00A730DC">
        <w:t xml:space="preserve"> </w:t>
      </w:r>
    </w:p>
    <w:p w14:paraId="0D0A69F6" w14:textId="35CBEBEB" w:rsidR="00A96A6A" w:rsidRDefault="0048403A" w:rsidP="00453708">
      <w:pPr>
        <w:jc w:val="center"/>
      </w:pPr>
      <w:r>
        <w:rPr>
          <w:noProof/>
        </w:rPr>
        <w:drawing>
          <wp:inline distT="0" distB="0" distL="0" distR="0" wp14:anchorId="292A507B" wp14:editId="3E0736BE">
            <wp:extent cx="3816350" cy="2651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651760"/>
                    </a:xfrm>
                    <a:prstGeom prst="rect">
                      <a:avLst/>
                    </a:prstGeom>
                    <a:noFill/>
                  </pic:spPr>
                </pic:pic>
              </a:graphicData>
            </a:graphic>
          </wp:inline>
        </w:drawing>
      </w:r>
    </w:p>
    <w:p w14:paraId="1D2DE37C" w14:textId="6D54046D" w:rsidR="00A96A6A" w:rsidRDefault="00B767AE" w:rsidP="00773B5B">
      <w:r w:rsidRPr="00976B7D">
        <w:lastRenderedPageBreak/>
        <w:t>The S&amp;</w:t>
      </w:r>
      <w:r w:rsidR="00BD1AF4" w:rsidRPr="00976B7D">
        <w:t>P Case-Shiller Home Price Index (20-city)</w:t>
      </w:r>
      <w:r w:rsidR="00B2585A" w:rsidRPr="00976B7D">
        <w:rPr>
          <w:rStyle w:val="FootnoteReference"/>
        </w:rPr>
        <w:footnoteReference w:id="33"/>
      </w:r>
      <w:r w:rsidR="00BD1AF4" w:rsidRPr="00976B7D">
        <w:t xml:space="preserve"> </w:t>
      </w:r>
      <w:r w:rsidR="00234C71">
        <w:t>rose 20.5</w:t>
      </w:r>
      <w:r w:rsidR="00234C71" w:rsidRPr="00976B7D">
        <w:t xml:space="preserve">% </w:t>
      </w:r>
      <w:r w:rsidR="00234C71">
        <w:t>year-over-year in May 2022, down from April’s 21.2% record. All 20 cities continued to report double-digit increases, led by</w:t>
      </w:r>
      <w:r w:rsidR="00234C71" w:rsidRPr="00976B7D">
        <w:t xml:space="preserve"> Tampa</w:t>
      </w:r>
      <w:r w:rsidR="00234C71">
        <w:t>, Miami, and Dallas</w:t>
      </w:r>
      <w:r w:rsidR="00B432FD" w:rsidRPr="00976B7D">
        <w:t>.</w:t>
      </w:r>
      <w:r w:rsidR="006A656A">
        <w:t xml:space="preserve"> </w:t>
      </w:r>
    </w:p>
    <w:p w14:paraId="149D5F4C" w14:textId="0F177885" w:rsidR="0064538F" w:rsidRDefault="0048403A" w:rsidP="002775DB">
      <w:pPr>
        <w:jc w:val="center"/>
      </w:pPr>
      <w:r>
        <w:rPr>
          <w:noProof/>
        </w:rPr>
        <w:drawing>
          <wp:inline distT="0" distB="0" distL="0" distR="0" wp14:anchorId="3FCFEA9C" wp14:editId="773032BD">
            <wp:extent cx="3493135" cy="2651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343A1284" w:rsidR="0079609A" w:rsidRDefault="0079609A" w:rsidP="00A04AD3">
      <w:r w:rsidRPr="00282C6E">
        <w:t>Personal Consumption Expenditures (PCE)</w:t>
      </w:r>
      <w:r w:rsidR="00421F60" w:rsidRPr="00282C6E">
        <w:rPr>
          <w:rStyle w:val="FootnoteReference"/>
        </w:rPr>
        <w:footnoteReference w:id="34"/>
      </w:r>
      <w:r w:rsidRPr="00282C6E">
        <w:t xml:space="preserve"> </w:t>
      </w:r>
      <w:r w:rsidR="00282C6E" w:rsidRPr="00282C6E">
        <w:t xml:space="preserve">rose </w:t>
      </w:r>
      <w:r w:rsidR="00234C71">
        <w:t>1</w:t>
      </w:r>
      <w:r w:rsidR="00D67161">
        <w:t>.</w:t>
      </w:r>
      <w:r w:rsidR="00CA260F">
        <w:t>6</w:t>
      </w:r>
      <w:r w:rsidR="00282C6E" w:rsidRPr="00282C6E">
        <w:t xml:space="preserve">% in the </w:t>
      </w:r>
      <w:r w:rsidR="00234C71">
        <w:t>2</w:t>
      </w:r>
      <w:r w:rsidR="00234C71" w:rsidRPr="00234C71">
        <w:rPr>
          <w:vertAlign w:val="superscript"/>
        </w:rPr>
        <w:t>nd</w:t>
      </w:r>
      <w:r w:rsidR="00234C71">
        <w:t xml:space="preserve"> </w:t>
      </w:r>
      <w:r w:rsidR="00282C6E" w:rsidRPr="00282C6E">
        <w:t>quarter to</w:t>
      </w:r>
      <w:r w:rsidR="00381A81" w:rsidRPr="00282C6E">
        <w:t xml:space="preserve"> </w:t>
      </w:r>
      <w:r w:rsidR="00AA74C1" w:rsidRPr="00282C6E">
        <w:t>$1</w:t>
      </w:r>
      <w:r w:rsidR="00234C71">
        <w:t>7.1</w:t>
      </w:r>
      <w:r w:rsidR="00AA74C1" w:rsidRPr="00282C6E">
        <w:t xml:space="preserve"> trillion</w:t>
      </w:r>
      <w:r w:rsidR="00E37950" w:rsidRPr="00282C6E">
        <w:t xml:space="preserve">. PCE </w:t>
      </w:r>
      <w:r w:rsidR="006A656A">
        <w:t xml:space="preserve">were up </w:t>
      </w:r>
      <w:r w:rsidR="00234C71">
        <w:t>8.4</w:t>
      </w:r>
      <w:r w:rsidR="0081792D" w:rsidRPr="00282C6E">
        <w:t xml:space="preserve">% </w:t>
      </w:r>
      <w:r w:rsidR="00282C6E" w:rsidRPr="00282C6E">
        <w:t xml:space="preserve">since the </w:t>
      </w:r>
      <w:r w:rsidR="00234C71">
        <w:t>2</w:t>
      </w:r>
      <w:r w:rsidR="00234C71" w:rsidRPr="00234C71">
        <w:rPr>
          <w:vertAlign w:val="superscript"/>
        </w:rPr>
        <w:t>nd</w:t>
      </w:r>
      <w:r w:rsidR="00234C71">
        <w:t xml:space="preserve"> </w:t>
      </w:r>
      <w:r w:rsidR="006A656A">
        <w:t>quarter</w:t>
      </w:r>
      <w:r w:rsidR="0081792D" w:rsidRPr="00282C6E">
        <w:t xml:space="preserve"> </w:t>
      </w:r>
      <w:r w:rsidR="00AA74C1" w:rsidRPr="00282C6E">
        <w:t>last yea</w:t>
      </w:r>
      <w:r w:rsidR="0081792D" w:rsidRPr="00282C6E">
        <w:t>r</w:t>
      </w:r>
      <w:r w:rsidR="002A0B80" w:rsidRPr="00282C6E">
        <w:t>.</w:t>
      </w:r>
      <w:r w:rsidR="00F04BC9">
        <w:t xml:space="preserve"> </w:t>
      </w:r>
      <w:r w:rsidR="00E52311">
        <w:t>Notable s</w:t>
      </w:r>
      <w:r w:rsidR="00282C6E">
        <w:t xml:space="preserve">pending </w:t>
      </w:r>
      <w:r w:rsidR="00E52311">
        <w:t>increases included motor vehicles and parts, health care services, food services and accommodations, and international travel</w:t>
      </w:r>
      <w:r w:rsidR="00282C6E" w:rsidRPr="00134929">
        <w:t>.</w:t>
      </w:r>
    </w:p>
    <w:p w14:paraId="419D69CE" w14:textId="14873698" w:rsidR="00A96A6A" w:rsidRDefault="00CF3C9B" w:rsidP="00CF06AE">
      <w:pPr>
        <w:jc w:val="center"/>
      </w:pPr>
      <w:r>
        <w:rPr>
          <w:noProof/>
        </w:rPr>
        <w:drawing>
          <wp:inline distT="0" distB="0" distL="0" distR="0" wp14:anchorId="10C4627C" wp14:editId="4EE3CEF4">
            <wp:extent cx="3493135" cy="2651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149D5F53" w14:textId="6A971B42" w:rsidR="0079609A" w:rsidRDefault="00D148FE" w:rsidP="00F92FD1">
      <w:r>
        <w:lastRenderedPageBreak/>
        <w:t xml:space="preserve">Auto manufacturers </w:t>
      </w:r>
      <w:r w:rsidR="00695980">
        <w:t xml:space="preserve">reported </w:t>
      </w:r>
      <w:r w:rsidR="00210DB1">
        <w:t>1</w:t>
      </w:r>
      <w:r w:rsidR="00F56A37">
        <w:t>3</w:t>
      </w:r>
      <w:r w:rsidR="00976B7D">
        <w:t>.</w:t>
      </w:r>
      <w:r w:rsidR="000D503C">
        <w:t>0</w:t>
      </w:r>
      <w:r w:rsidR="00210DB1">
        <w:t xml:space="preserve"> </w:t>
      </w:r>
      <w:r w:rsidR="0079609A" w:rsidRPr="008B37F0">
        <w:t>million autos and light trucks sold</w:t>
      </w:r>
      <w:r w:rsidR="00933E80">
        <w:rPr>
          <w:rStyle w:val="FootnoteReference"/>
        </w:rPr>
        <w:footnoteReference w:id="35"/>
      </w:r>
      <w:r w:rsidR="0079609A" w:rsidRPr="008B37F0">
        <w:t xml:space="preserve"> in </w:t>
      </w:r>
      <w:r w:rsidR="000D503C">
        <w:t>June</w:t>
      </w:r>
      <w:r w:rsidR="00F56A37">
        <w:t xml:space="preserve"> 2022</w:t>
      </w:r>
      <w:r w:rsidR="008B3E4E">
        <w:t>,</w:t>
      </w:r>
      <w:r w:rsidR="005B40E5">
        <w:t xml:space="preserve"> </w:t>
      </w:r>
      <w:r w:rsidR="000D503C">
        <w:t>down 3.0</w:t>
      </w:r>
      <w:r w:rsidR="006A656A">
        <w:t xml:space="preserve">% from </w:t>
      </w:r>
      <w:r w:rsidR="000D503C">
        <w:t>March</w:t>
      </w:r>
      <w:r w:rsidR="00140B44">
        <w:t xml:space="preserve">. </w:t>
      </w:r>
      <w:r w:rsidR="00B0457A">
        <w:t>N</w:t>
      </w:r>
      <w:r w:rsidR="00D822BB">
        <w:t>ew vehicle prices</w:t>
      </w:r>
      <w:r w:rsidR="00D822BB">
        <w:rPr>
          <w:rStyle w:val="FootnoteReference"/>
        </w:rPr>
        <w:footnoteReference w:id="36"/>
      </w:r>
      <w:r w:rsidR="00D822BB">
        <w:t xml:space="preserve"> </w:t>
      </w:r>
      <w:r w:rsidR="00B0457A">
        <w:t>built on their</w:t>
      </w:r>
      <w:r w:rsidR="00D822BB">
        <w:t xml:space="preserve"> </w:t>
      </w:r>
      <w:r w:rsidR="00CF63FE">
        <w:t>record</w:t>
      </w:r>
      <w:r w:rsidR="00D822BB">
        <w:t xml:space="preserve"> high </w:t>
      </w:r>
      <w:r w:rsidR="00CF63FE">
        <w:t xml:space="preserve">by a further </w:t>
      </w:r>
      <w:r w:rsidR="000D503C">
        <w:t>2.7</w:t>
      </w:r>
      <w:r w:rsidR="00CF63FE">
        <w:t xml:space="preserve">% during the </w:t>
      </w:r>
      <w:r w:rsidR="000D503C">
        <w:t>2</w:t>
      </w:r>
      <w:r w:rsidR="000D503C" w:rsidRPr="000D503C">
        <w:rPr>
          <w:vertAlign w:val="superscript"/>
        </w:rPr>
        <w:t>nd</w:t>
      </w:r>
      <w:r w:rsidR="000D503C">
        <w:t xml:space="preserve"> </w:t>
      </w:r>
      <w:r w:rsidR="00CF63FE">
        <w:t>quarter</w:t>
      </w:r>
      <w:r w:rsidR="002530D7">
        <w:t xml:space="preserve">. </w:t>
      </w:r>
      <w:r w:rsidR="000D503C">
        <w:t>U</w:t>
      </w:r>
      <w:r w:rsidR="002530D7">
        <w:t>sed car</w:t>
      </w:r>
      <w:r w:rsidR="00340262">
        <w:t xml:space="preserve"> prices</w:t>
      </w:r>
      <w:r w:rsidR="002530D7">
        <w:rPr>
          <w:rStyle w:val="FootnoteReference"/>
        </w:rPr>
        <w:footnoteReference w:id="37"/>
      </w:r>
      <w:r w:rsidR="000D503C">
        <w:t>, also near record levels,</w:t>
      </w:r>
      <w:r w:rsidR="002530D7">
        <w:t xml:space="preserve"> </w:t>
      </w:r>
      <w:r w:rsidR="000D503C">
        <w:t>rose 3.1</w:t>
      </w:r>
      <w:r w:rsidR="00CF63FE">
        <w:t xml:space="preserve">% </w:t>
      </w:r>
      <w:r w:rsidR="00B0457A">
        <w:t>for the quarter</w:t>
      </w:r>
      <w:r w:rsidR="002530D7">
        <w:t xml:space="preserve">. </w:t>
      </w:r>
    </w:p>
    <w:p w14:paraId="571A905C" w14:textId="0B04934D" w:rsidR="002E3647" w:rsidRDefault="00CF3C9B" w:rsidP="003A679B">
      <w:pPr>
        <w:jc w:val="center"/>
      </w:pPr>
      <w:r>
        <w:rPr>
          <w:noProof/>
        </w:rPr>
        <w:drawing>
          <wp:inline distT="0" distB="0" distL="0" distR="0" wp14:anchorId="1D393B3D" wp14:editId="2787423B">
            <wp:extent cx="4090670" cy="265176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59B475FF" w14:textId="0F585424" w:rsidR="002E3647" w:rsidRDefault="008A581A" w:rsidP="00354195">
      <w:r w:rsidRPr="002E3647">
        <w:t xml:space="preserve">The </w:t>
      </w:r>
      <w:r w:rsidR="00661AA7">
        <w:t xml:space="preserve">University of Michigan’s </w:t>
      </w:r>
      <w:r w:rsidRPr="002E3647">
        <w:t>c</w:t>
      </w:r>
      <w:r w:rsidR="008C5503" w:rsidRPr="002E3647">
        <w:t>onsumer sentiment</w:t>
      </w:r>
      <w:r w:rsidR="00661AA7">
        <w:t xml:space="preserve"> index</w:t>
      </w:r>
      <w:r w:rsidR="00291FFB" w:rsidRPr="002E3647">
        <w:rPr>
          <w:rStyle w:val="FootnoteReference"/>
        </w:rPr>
        <w:footnoteReference w:id="38"/>
      </w:r>
      <w:r w:rsidR="008C5503" w:rsidRPr="002E3647">
        <w:t xml:space="preserve"> </w:t>
      </w:r>
      <w:r w:rsidR="00D413C2">
        <w:t xml:space="preserve">ended the </w:t>
      </w:r>
      <w:r w:rsidR="002C261D">
        <w:t>2</w:t>
      </w:r>
      <w:r w:rsidR="002C261D" w:rsidRPr="002C261D">
        <w:rPr>
          <w:vertAlign w:val="superscript"/>
        </w:rPr>
        <w:t>nd</w:t>
      </w:r>
      <w:r w:rsidR="00D413C2">
        <w:t xml:space="preserve"> quarter at a record-low 50.0</w:t>
      </w:r>
      <w:r w:rsidR="00B1397B">
        <w:t xml:space="preserve">. </w:t>
      </w:r>
      <w:r w:rsidR="00FD1259">
        <w:t xml:space="preserve">The decline reflected </w:t>
      </w:r>
      <w:r w:rsidR="00D413C2">
        <w:t xml:space="preserve">low </w:t>
      </w:r>
      <w:r w:rsidR="00015329">
        <w:t xml:space="preserve">expectations </w:t>
      </w:r>
      <w:r w:rsidR="00D413C2">
        <w:t xml:space="preserve">across a broad base of consumers of varying demographics; the primary concern was inflation, which consumers expect to continue </w:t>
      </w:r>
      <w:r w:rsidR="00D86638">
        <w:t>erod</w:t>
      </w:r>
      <w:r w:rsidR="00D413C2">
        <w:t>ing</w:t>
      </w:r>
      <w:r w:rsidR="00D86638">
        <w:t xml:space="preserve"> household incomes </w:t>
      </w:r>
      <w:r w:rsidR="00015329">
        <w:t>and reduc</w:t>
      </w:r>
      <w:r w:rsidR="00D413C2">
        <w:t xml:space="preserve">ing </w:t>
      </w:r>
      <w:r w:rsidR="00015329">
        <w:t>living standards</w:t>
      </w:r>
      <w:r w:rsidR="00D029B3">
        <w:t>.</w:t>
      </w:r>
      <w:r w:rsidR="00FD1259">
        <w:t xml:space="preserve"> </w:t>
      </w:r>
      <w:r w:rsidR="00BF72BA">
        <w:t>The</w:t>
      </w:r>
      <w:r w:rsidR="006970E9" w:rsidRPr="002E3647">
        <w:t xml:space="preserve"> </w:t>
      </w:r>
      <w:r w:rsidR="00D029B3">
        <w:t xml:space="preserve">consumer sentiment </w:t>
      </w:r>
      <w:r w:rsidR="00BF72BA">
        <w:t xml:space="preserve">index </w:t>
      </w:r>
      <w:r w:rsidR="00D86638">
        <w:t xml:space="preserve">in </w:t>
      </w:r>
      <w:r w:rsidR="00D413C2">
        <w:t>June</w:t>
      </w:r>
      <w:r w:rsidR="00D86638">
        <w:t xml:space="preserve"> stood</w:t>
      </w:r>
      <w:r w:rsidR="00071A81">
        <w:t xml:space="preserve"> far </w:t>
      </w:r>
      <w:r w:rsidR="00B973A1">
        <w:t xml:space="preserve">short of its </w:t>
      </w:r>
      <w:r w:rsidR="006970E9" w:rsidRPr="002E3647">
        <w:t xml:space="preserve">30-year average of </w:t>
      </w:r>
      <w:r w:rsidRPr="002E3647">
        <w:t>87.</w:t>
      </w:r>
      <w:r w:rsidR="00D413C2">
        <w:t>3</w:t>
      </w:r>
      <w:r w:rsidR="00291FFB" w:rsidRPr="002E3647">
        <w:t>.</w:t>
      </w:r>
      <w:r w:rsidR="00B973A1">
        <w:t xml:space="preserve"> </w:t>
      </w:r>
    </w:p>
    <w:p w14:paraId="182CF22B" w14:textId="208E904F" w:rsidR="000D5719" w:rsidRDefault="0039711B" w:rsidP="002E3647">
      <w:pPr>
        <w:jc w:val="center"/>
      </w:pPr>
      <w:r>
        <w:rPr>
          <w:noProof/>
        </w:rPr>
        <w:lastRenderedPageBreak/>
        <w:drawing>
          <wp:inline distT="0" distB="0" distL="0" distR="0" wp14:anchorId="5D1760EF" wp14:editId="4837D260">
            <wp:extent cx="4090670" cy="265176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149D5F56" w14:textId="77777777" w:rsidR="0091664E" w:rsidRDefault="0091664E" w:rsidP="0091664E">
      <w:pPr>
        <w:pStyle w:val="Heading1"/>
      </w:pPr>
      <w:r>
        <w:t>Capital Markets</w:t>
      </w:r>
    </w:p>
    <w:p w14:paraId="0F5E50D3" w14:textId="4D0DFC8B" w:rsidR="00855C4E" w:rsidRDefault="003D1D39" w:rsidP="00B875CA">
      <w:pPr>
        <w:rPr>
          <w:noProof/>
        </w:rPr>
      </w:pPr>
      <w:r>
        <w:rPr>
          <w:noProof/>
        </w:rPr>
        <w:t xml:space="preserve">The table below shows the </w:t>
      </w:r>
      <w:r w:rsidR="00C427E3">
        <w:rPr>
          <w:noProof/>
        </w:rPr>
        <w:t>quarterly, year-to-date,</w:t>
      </w:r>
      <w:r>
        <w:rPr>
          <w:noProof/>
        </w:rPr>
        <w:t xml:space="preserve"> and 12-month performance of major </w:t>
      </w:r>
      <w:r w:rsidR="00BD4FA3">
        <w:rPr>
          <w:noProof/>
        </w:rPr>
        <w:t>U.S.</w:t>
      </w:r>
      <w:r>
        <w:rPr>
          <w:noProof/>
        </w:rPr>
        <w:t xml:space="preserve"> equity indices. </w:t>
      </w:r>
      <w:r w:rsidR="007929C4">
        <w:rPr>
          <w:noProof/>
        </w:rPr>
        <w:t xml:space="preserve">Capital markets, which had enjoyed bullish conditions during the initial pandemic recovery, crumpled in the </w:t>
      </w:r>
      <w:r w:rsidR="008925BC">
        <w:rPr>
          <w:noProof/>
        </w:rPr>
        <w:t>1</w:t>
      </w:r>
      <w:r w:rsidR="008925BC" w:rsidRPr="008925BC">
        <w:rPr>
          <w:noProof/>
          <w:vertAlign w:val="superscript"/>
        </w:rPr>
        <w:t>st</w:t>
      </w:r>
      <w:r w:rsidR="007929C4">
        <w:rPr>
          <w:noProof/>
        </w:rPr>
        <w:t xml:space="preserve"> and </w:t>
      </w:r>
      <w:r w:rsidR="008925BC">
        <w:rPr>
          <w:noProof/>
        </w:rPr>
        <w:t>2</w:t>
      </w:r>
      <w:r w:rsidR="008925BC" w:rsidRPr="008925BC">
        <w:rPr>
          <w:noProof/>
          <w:vertAlign w:val="superscript"/>
        </w:rPr>
        <w:t>nd</w:t>
      </w:r>
      <w:r w:rsidR="007929C4">
        <w:rPr>
          <w:noProof/>
        </w:rPr>
        <w:t xml:space="preserve"> quarters of 2022, with the broad S&amp;P 500 index posting its worst first-half performance in more than 5 decades.</w:t>
      </w:r>
      <w:r>
        <w:rPr>
          <w:noProof/>
        </w:rPr>
        <w:t xml:space="preserve"> </w:t>
      </w:r>
      <w:r w:rsidR="007929C4">
        <w:rPr>
          <w:noProof/>
        </w:rPr>
        <w:t xml:space="preserve">Investors point to persistently high inflation, largely due to </w:t>
      </w:r>
      <w:r w:rsidR="00844A75">
        <w:rPr>
          <w:noProof/>
        </w:rPr>
        <w:t xml:space="preserve">supply chain constraints in the wake of the COVID-19 pandemic and the Russian war on Ukraine, as a main concern. The Fed’s </w:t>
      </w:r>
      <w:r w:rsidR="00920AB5">
        <w:rPr>
          <w:noProof/>
        </w:rPr>
        <w:t>recent</w:t>
      </w:r>
      <w:r w:rsidR="00844A75">
        <w:rPr>
          <w:noProof/>
        </w:rPr>
        <w:t xml:space="preserve"> aggressive action on inflation </w:t>
      </w:r>
      <w:r w:rsidR="00920AB5">
        <w:rPr>
          <w:noProof/>
        </w:rPr>
        <w:t xml:space="preserve">has compounded investor anxiety as growth becomes constrained, raising worries of recession. </w:t>
      </w:r>
      <w:r w:rsidR="00753854">
        <w:rPr>
          <w:noProof/>
        </w:rPr>
        <w:t>T</w:t>
      </w:r>
      <w:r>
        <w:rPr>
          <w:noProof/>
        </w:rPr>
        <w:t xml:space="preserve">he </w:t>
      </w:r>
      <w:r w:rsidR="00D40A47">
        <w:rPr>
          <w:noProof/>
        </w:rPr>
        <w:t xml:space="preserve">NASDAQ Composite dropped </w:t>
      </w:r>
      <w:r w:rsidR="00F7497B">
        <w:rPr>
          <w:noProof/>
        </w:rPr>
        <w:t>22</w:t>
      </w:r>
      <w:r w:rsidR="00D40A47">
        <w:rPr>
          <w:noProof/>
        </w:rPr>
        <w:t>.</w:t>
      </w:r>
      <w:r w:rsidR="00F7497B">
        <w:rPr>
          <w:noProof/>
        </w:rPr>
        <w:t>4</w:t>
      </w:r>
      <w:r w:rsidR="00D40A47">
        <w:rPr>
          <w:noProof/>
        </w:rPr>
        <w:t xml:space="preserve">% druing the </w:t>
      </w:r>
      <w:r w:rsidR="00F7497B">
        <w:rPr>
          <w:noProof/>
        </w:rPr>
        <w:t>2</w:t>
      </w:r>
      <w:r w:rsidR="00F7497B" w:rsidRPr="00F7497B">
        <w:rPr>
          <w:noProof/>
          <w:vertAlign w:val="superscript"/>
        </w:rPr>
        <w:t>nd</w:t>
      </w:r>
      <w:r w:rsidR="00F7497B">
        <w:rPr>
          <w:noProof/>
        </w:rPr>
        <w:t xml:space="preserve"> </w:t>
      </w:r>
      <w:r w:rsidR="00D40A47">
        <w:rPr>
          <w:noProof/>
        </w:rPr>
        <w:t xml:space="preserve">quarter of 2022 and the </w:t>
      </w:r>
      <w:r w:rsidR="007929C4">
        <w:rPr>
          <w:noProof/>
        </w:rPr>
        <w:t xml:space="preserve">Dow Jones Transportation Average </w:t>
      </w:r>
      <w:r w:rsidR="00D40A47">
        <w:rPr>
          <w:noProof/>
        </w:rPr>
        <w:t xml:space="preserve">fell </w:t>
      </w:r>
      <w:r w:rsidR="007929C4">
        <w:rPr>
          <w:noProof/>
        </w:rPr>
        <w:t>19.2</w:t>
      </w:r>
      <w:r w:rsidR="00D40A47">
        <w:rPr>
          <w:noProof/>
        </w:rPr>
        <w:t xml:space="preserve">%. </w:t>
      </w:r>
      <w:r w:rsidR="00112619">
        <w:rPr>
          <w:noProof/>
        </w:rPr>
        <w:t xml:space="preserve">The </w:t>
      </w:r>
      <w:r w:rsidR="007929C4">
        <w:rPr>
          <w:noProof/>
        </w:rPr>
        <w:t xml:space="preserve">Wilshire 5000 </w:t>
      </w:r>
      <w:r w:rsidR="00D40A47">
        <w:rPr>
          <w:noProof/>
        </w:rPr>
        <w:t xml:space="preserve">was down </w:t>
      </w:r>
      <w:r w:rsidR="007929C4">
        <w:rPr>
          <w:noProof/>
        </w:rPr>
        <w:t>17</w:t>
      </w:r>
      <w:r w:rsidR="009E14E6">
        <w:rPr>
          <w:noProof/>
        </w:rPr>
        <w:t>.</w:t>
      </w:r>
      <w:r w:rsidR="00536ED9">
        <w:rPr>
          <w:noProof/>
        </w:rPr>
        <w:t>6</w:t>
      </w:r>
      <w:r w:rsidR="009E14E6">
        <w:rPr>
          <w:noProof/>
        </w:rPr>
        <w:t>% during the quarter</w:t>
      </w:r>
      <w:r w:rsidR="00D40A47">
        <w:rPr>
          <w:noProof/>
        </w:rPr>
        <w:t xml:space="preserve"> and the </w:t>
      </w:r>
      <w:r w:rsidR="007929C4">
        <w:rPr>
          <w:noProof/>
        </w:rPr>
        <w:t xml:space="preserve">S&amp;P 500 </w:t>
      </w:r>
      <w:r w:rsidR="00D40A47">
        <w:rPr>
          <w:noProof/>
        </w:rPr>
        <w:t xml:space="preserve">was down </w:t>
      </w:r>
      <w:r w:rsidR="007929C4">
        <w:rPr>
          <w:noProof/>
        </w:rPr>
        <w:t>16.4</w:t>
      </w:r>
      <w:r w:rsidR="00C427E3">
        <w:rPr>
          <w:noProof/>
        </w:rPr>
        <w:t>%</w:t>
      </w:r>
      <w:r>
        <w:rPr>
          <w:noProof/>
        </w:rPr>
        <w:t>.</w:t>
      </w:r>
    </w:p>
    <w:p w14:paraId="79C54A89" w14:textId="4C2F0A35" w:rsidR="002E3647" w:rsidRDefault="00536ED9" w:rsidP="00855C4E">
      <w:pPr>
        <w:jc w:val="center"/>
        <w:rPr>
          <w:noProof/>
        </w:rPr>
      </w:pPr>
      <w:r w:rsidRPr="00536ED9">
        <w:drawing>
          <wp:inline distT="0" distB="0" distL="0" distR="0" wp14:anchorId="5F6E21D3" wp14:editId="72629D07">
            <wp:extent cx="5593715" cy="148145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715" cy="1481455"/>
                    </a:xfrm>
                    <a:prstGeom prst="rect">
                      <a:avLst/>
                    </a:prstGeom>
                    <a:noFill/>
                    <a:ln>
                      <a:noFill/>
                    </a:ln>
                  </pic:spPr>
                </pic:pic>
              </a:graphicData>
            </a:graphic>
          </wp:inline>
        </w:drawing>
      </w:r>
      <w:r w:rsidR="003D1D39">
        <w:br/>
      </w:r>
    </w:p>
    <w:p w14:paraId="3743084E" w14:textId="709FF0AD" w:rsidR="00857079" w:rsidRDefault="00536ED9" w:rsidP="00BB3B04">
      <w:pPr>
        <w:jc w:val="center"/>
        <w:rPr>
          <w:color w:val="FF0000"/>
        </w:rPr>
      </w:pPr>
      <w:r>
        <w:rPr>
          <w:noProof/>
          <w:color w:val="FF0000"/>
        </w:rPr>
        <w:lastRenderedPageBreak/>
        <w:drawing>
          <wp:inline distT="0" distB="0" distL="0" distR="0" wp14:anchorId="483674DA" wp14:editId="7E8287C8">
            <wp:extent cx="4097020" cy="2658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0420E509" w14:textId="4EB83718" w:rsidR="00100DF8" w:rsidRDefault="00100DF8" w:rsidP="003D1D39">
      <w:pPr>
        <w:rPr>
          <w:noProof/>
        </w:rPr>
      </w:pPr>
      <w:r>
        <w:t>Stock market v</w:t>
      </w:r>
      <w:r w:rsidR="0007515A">
        <w:t>olatility</w:t>
      </w:r>
      <w:r w:rsidR="00A1419D">
        <w:t>, as measured by the VIX</w:t>
      </w:r>
      <w:r w:rsidR="00A1419D">
        <w:rPr>
          <w:rStyle w:val="FootnoteReference"/>
        </w:rPr>
        <w:t xml:space="preserve"> </w:t>
      </w:r>
      <w:r w:rsidR="0007515A">
        <w:rPr>
          <w:rStyle w:val="FootnoteReference"/>
        </w:rPr>
        <w:footnoteReference w:id="39"/>
      </w:r>
      <w:r w:rsidR="005573A8">
        <w:t>,</w:t>
      </w:r>
      <w:r>
        <w:t xml:space="preserve"> </w:t>
      </w:r>
      <w:r w:rsidR="00920AB5">
        <w:t xml:space="preserve">ended the </w:t>
      </w:r>
      <w:r w:rsidR="008925BC">
        <w:t>2</w:t>
      </w:r>
      <w:r w:rsidR="008925BC" w:rsidRPr="008925BC">
        <w:rPr>
          <w:vertAlign w:val="superscript"/>
        </w:rPr>
        <w:t>nd</w:t>
      </w:r>
      <w:r w:rsidR="00920AB5">
        <w:t xml:space="preserve"> quarter at 28.7, up 39.6% since the prior quarter</w:t>
      </w:r>
      <w:r w:rsidR="003D1D39">
        <w:t>.</w:t>
      </w:r>
      <w:r w:rsidR="00B45117">
        <w:t xml:space="preserve"> </w:t>
      </w:r>
      <w:r w:rsidR="00920AB5">
        <w:t>The VIX has trended generally upward during the first half of 2022 as investor sentiment was plagued by recession worries centering on persistent inflation, so far uncontained by Fed policy moves</w:t>
      </w:r>
      <w:r w:rsidR="00CB7F52">
        <w:t>.</w:t>
      </w:r>
    </w:p>
    <w:p w14:paraId="29D9D20D" w14:textId="78C3CE10" w:rsidR="00661AA7" w:rsidRPr="00354195" w:rsidRDefault="00D078B9" w:rsidP="00404E89">
      <w:pPr>
        <w:jc w:val="center"/>
      </w:pPr>
      <w:r>
        <w:rPr>
          <w:noProof/>
        </w:rPr>
        <w:drawing>
          <wp:inline distT="0" distB="0" distL="0" distR="0" wp14:anchorId="0F178501" wp14:editId="0204447B">
            <wp:extent cx="4097020" cy="2658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F93" w14:textId="77777777" w:rsidR="00E44639" w:rsidRDefault="00E44639" w:rsidP="00E44639">
      <w:pPr>
        <w:pStyle w:val="Heading1"/>
      </w:pPr>
      <w:r>
        <w:t>Outlook</w:t>
      </w:r>
    </w:p>
    <w:p w14:paraId="71C9C508" w14:textId="19FCE390" w:rsidR="005573A8" w:rsidRPr="0007242E" w:rsidRDefault="003071CD" w:rsidP="00E44639">
      <w:r w:rsidRPr="0007242E">
        <w:t xml:space="preserve">In </w:t>
      </w:r>
      <w:r w:rsidR="00F0586B">
        <w:t>June</w:t>
      </w:r>
      <w:r w:rsidRPr="0007242E">
        <w:t xml:space="preserve"> 20</w:t>
      </w:r>
      <w:r w:rsidR="005573A8" w:rsidRPr="0007242E">
        <w:t>2</w:t>
      </w:r>
      <w:r w:rsidR="00452720">
        <w:t>2</w:t>
      </w:r>
      <w:r w:rsidRPr="0007242E">
        <w:t xml:space="preserve">, the FOMC </w:t>
      </w:r>
      <w:r w:rsidR="005573A8" w:rsidRPr="0007242E">
        <w:t xml:space="preserve">revised their </w:t>
      </w:r>
      <w:r w:rsidR="000755E2">
        <w:t xml:space="preserve">near-term </w:t>
      </w:r>
      <w:r w:rsidR="005573A8" w:rsidRPr="0007242E">
        <w:t xml:space="preserve">inflation </w:t>
      </w:r>
      <w:r w:rsidR="005125AE">
        <w:t xml:space="preserve">and unemployment rate </w:t>
      </w:r>
      <w:r w:rsidR="005573A8" w:rsidRPr="0007242E">
        <w:t xml:space="preserve">projections upward </w:t>
      </w:r>
      <w:r w:rsidR="000755E2">
        <w:t xml:space="preserve">and </w:t>
      </w:r>
      <w:r w:rsidR="0007242E">
        <w:t>real GDP</w:t>
      </w:r>
      <w:r w:rsidR="005125AE">
        <w:t xml:space="preserve"> </w:t>
      </w:r>
      <w:r w:rsidR="000755E2">
        <w:t>projections downward</w:t>
      </w:r>
      <w:r w:rsidR="0007242E">
        <w:t>. L</w:t>
      </w:r>
      <w:r w:rsidR="005573A8" w:rsidRPr="0007242E">
        <w:t>onger</w:t>
      </w:r>
      <w:r w:rsidR="00452720">
        <w:t>-</w:t>
      </w:r>
      <w:r w:rsidR="005573A8" w:rsidRPr="0007242E">
        <w:t>run projections for all three indicators</w:t>
      </w:r>
      <w:r w:rsidR="0007242E">
        <w:t xml:space="preserve"> </w:t>
      </w:r>
      <w:r w:rsidR="00D31480">
        <w:t>held relatively steady</w:t>
      </w:r>
      <w:r w:rsidR="005573A8" w:rsidRPr="0007242E">
        <w:t xml:space="preserve">. </w:t>
      </w:r>
    </w:p>
    <w:p w14:paraId="1779A15E" w14:textId="7E8EDE93" w:rsidR="00855C4E" w:rsidRDefault="005573A8" w:rsidP="00855C4E">
      <w:r w:rsidRPr="0007242E">
        <w:lastRenderedPageBreak/>
        <w:t>The FOMC revised their projection</w:t>
      </w:r>
      <w:r w:rsidR="00F60736" w:rsidRPr="0007242E">
        <w:t xml:space="preserve"> </w:t>
      </w:r>
      <w:r w:rsidRPr="0007242E">
        <w:t xml:space="preserve">for </w:t>
      </w:r>
      <w:r w:rsidR="00F60736" w:rsidRPr="0007242E">
        <w:t>real GDP</w:t>
      </w:r>
      <w:r w:rsidR="00BF5CE2" w:rsidRPr="0007242E">
        <w:rPr>
          <w:rStyle w:val="FootnoteReference"/>
        </w:rPr>
        <w:footnoteReference w:id="40"/>
      </w:r>
      <w:r w:rsidR="00F60736" w:rsidRPr="0007242E">
        <w:t xml:space="preserve"> </w:t>
      </w:r>
      <w:r w:rsidR="0039421C" w:rsidRPr="0007242E">
        <w:t xml:space="preserve">to </w:t>
      </w:r>
      <w:r w:rsidR="00F0586B">
        <w:t>1</w:t>
      </w:r>
      <w:r w:rsidR="00452720">
        <w:t>.</w:t>
      </w:r>
      <w:r w:rsidR="00922197">
        <w:t>7</w:t>
      </w:r>
      <w:r w:rsidR="00F0586B">
        <w:t>0</w:t>
      </w:r>
      <w:r w:rsidR="00F60736" w:rsidRPr="0007242E">
        <w:t>%</w:t>
      </w:r>
      <w:r w:rsidR="0049182B" w:rsidRPr="0007242E">
        <w:t xml:space="preserve"> growth in</w:t>
      </w:r>
      <w:r w:rsidR="00F60736" w:rsidRPr="0007242E">
        <w:t xml:space="preserve"> 20</w:t>
      </w:r>
      <w:r w:rsidR="00090DA6" w:rsidRPr="0007242E">
        <w:t>2</w:t>
      </w:r>
      <w:r w:rsidR="00452720">
        <w:t>2</w:t>
      </w:r>
      <w:r w:rsidR="0049182B" w:rsidRPr="0007242E">
        <w:t xml:space="preserve">, </w:t>
      </w:r>
      <w:r w:rsidR="00F66850">
        <w:t>dipping</w:t>
      </w:r>
      <w:r w:rsidR="0049182B" w:rsidRPr="0007242E">
        <w:t xml:space="preserve"> to </w:t>
      </w:r>
      <w:r w:rsidR="00922197">
        <w:t>1.</w:t>
      </w:r>
      <w:r w:rsidR="00F66850">
        <w:t>65</w:t>
      </w:r>
      <w:r w:rsidR="0049182B" w:rsidRPr="0007242E">
        <w:t xml:space="preserve">% </w:t>
      </w:r>
      <w:r w:rsidR="00F66850">
        <w:t xml:space="preserve">in 2023, then rising to 1.75% </w:t>
      </w:r>
      <w:r w:rsidR="004F307A" w:rsidRPr="0007242E">
        <w:t>by</w:t>
      </w:r>
      <w:r w:rsidR="000D646D" w:rsidRPr="0007242E">
        <w:t xml:space="preserve"> 202</w:t>
      </w:r>
      <w:r w:rsidR="0007242E" w:rsidRPr="0007242E">
        <w:t>4</w:t>
      </w:r>
      <w:r w:rsidR="00F60736" w:rsidRPr="0007242E">
        <w:t>. They expect</w:t>
      </w:r>
      <w:r w:rsidRPr="0007242E">
        <w:t>ed</w:t>
      </w:r>
      <w:r w:rsidR="00F60736" w:rsidRPr="0007242E">
        <w:t xml:space="preserve"> Personal Consumption Expendit</w:t>
      </w:r>
      <w:r w:rsidR="00090DA6" w:rsidRPr="0007242E">
        <w:t>ures (PCE)</w:t>
      </w:r>
      <w:r w:rsidR="00F66850">
        <w:t xml:space="preserve"> inflation</w:t>
      </w:r>
      <w:r w:rsidR="005D3CEF" w:rsidRPr="0007242E">
        <w:rPr>
          <w:rStyle w:val="FootnoteReference"/>
        </w:rPr>
        <w:footnoteReference w:id="41"/>
      </w:r>
      <w:r w:rsidR="00090DA6" w:rsidRPr="0007242E">
        <w:t xml:space="preserve"> to </w:t>
      </w:r>
      <w:r w:rsidRPr="0007242E">
        <w:t xml:space="preserve">grow </w:t>
      </w:r>
      <w:r w:rsidR="00155E5F">
        <w:t xml:space="preserve">to </w:t>
      </w:r>
      <w:r w:rsidR="00F66850">
        <w:t>5.15</w:t>
      </w:r>
      <w:r w:rsidR="000F3008">
        <w:t>%</w:t>
      </w:r>
      <w:r w:rsidR="000755E2">
        <w:t xml:space="preserve"> </w:t>
      </w:r>
      <w:r w:rsidR="00D31480">
        <w:t>in</w:t>
      </w:r>
      <w:r w:rsidR="000755E2">
        <w:t xml:space="preserve"> 2022 </w:t>
      </w:r>
      <w:r w:rsidR="00D31480">
        <w:t>but</w:t>
      </w:r>
      <w:r w:rsidR="000755E2">
        <w:t xml:space="preserve"> </w:t>
      </w:r>
      <w:r w:rsidR="00D31480">
        <w:t>fall to</w:t>
      </w:r>
      <w:r w:rsidR="000755E2">
        <w:t xml:space="preserve"> 2.</w:t>
      </w:r>
      <w:r w:rsidR="00D31480">
        <w:t>25</w:t>
      </w:r>
      <w:r w:rsidR="000F3008">
        <w:t>%</w:t>
      </w:r>
      <w:r w:rsidR="000755E2">
        <w:t xml:space="preserve"> in 2024</w:t>
      </w:r>
      <w:r w:rsidRPr="0007242E">
        <w:t xml:space="preserve">. </w:t>
      </w:r>
      <w:r w:rsidR="00F60736" w:rsidRPr="0007242E">
        <w:t>The</w:t>
      </w:r>
      <w:r w:rsidR="004907DA" w:rsidRPr="0007242E">
        <w:t>y</w:t>
      </w:r>
      <w:r w:rsidR="00F60736" w:rsidRPr="0007242E">
        <w:t xml:space="preserve"> forecast th</w:t>
      </w:r>
      <w:r w:rsidR="004907DA" w:rsidRPr="0007242E">
        <w:t>at th</w:t>
      </w:r>
      <w:r w:rsidR="00F60736" w:rsidRPr="0007242E">
        <w:t>e unemployment rate</w:t>
      </w:r>
      <w:r w:rsidR="00E72196" w:rsidRPr="0007242E">
        <w:rPr>
          <w:rStyle w:val="FootnoteReference"/>
        </w:rPr>
        <w:footnoteReference w:id="42"/>
      </w:r>
      <w:r w:rsidR="00F60736" w:rsidRPr="0007242E">
        <w:t xml:space="preserve"> </w:t>
      </w:r>
      <w:r w:rsidR="000755E2">
        <w:t>would</w:t>
      </w:r>
      <w:r w:rsidR="00F60736" w:rsidRPr="0007242E">
        <w:t xml:space="preserve"> </w:t>
      </w:r>
      <w:r w:rsidR="000755E2">
        <w:t>be</w:t>
      </w:r>
      <w:r w:rsidRPr="0007242E">
        <w:t xml:space="preserve"> </w:t>
      </w:r>
      <w:r w:rsidR="00D31480">
        <w:t>3.</w:t>
      </w:r>
      <w:r w:rsidR="00F66850">
        <w:t>70</w:t>
      </w:r>
      <w:r w:rsidR="00F60736" w:rsidRPr="0007242E">
        <w:t>%</w:t>
      </w:r>
      <w:r w:rsidR="0039421C" w:rsidRPr="0007242E">
        <w:t xml:space="preserve"> in 202</w:t>
      </w:r>
      <w:r w:rsidR="00D31480">
        <w:t>2</w:t>
      </w:r>
      <w:r w:rsidR="00F66850">
        <w:t>, rising to 4.0</w:t>
      </w:r>
      <w:r w:rsidR="0049182B" w:rsidRPr="0007242E">
        <w:t xml:space="preserve">% </w:t>
      </w:r>
      <w:r w:rsidR="00F66850">
        <w:t>by</w:t>
      </w:r>
      <w:r w:rsidR="00F60736" w:rsidRPr="0007242E">
        <w:t xml:space="preserve"> 20</w:t>
      </w:r>
      <w:r w:rsidR="00090DA6" w:rsidRPr="0007242E">
        <w:t>2</w:t>
      </w:r>
      <w:r w:rsidR="0007242E" w:rsidRPr="0007242E">
        <w:t>4</w:t>
      </w:r>
      <w:r w:rsidR="003071CD" w:rsidRPr="0007242E">
        <w:t>.</w:t>
      </w:r>
      <w:r w:rsidR="005C22CA" w:rsidRPr="0007242E">
        <w:t xml:space="preserve"> </w:t>
      </w:r>
      <w:r w:rsidR="00155E5F">
        <w:t>T</w:t>
      </w:r>
      <w:r w:rsidR="005C22CA" w:rsidRPr="0007242E">
        <w:t xml:space="preserve">he board </w:t>
      </w:r>
      <w:r w:rsidR="00091282">
        <w:t xml:space="preserve">again increased projections of future target rates and </w:t>
      </w:r>
      <w:r w:rsidR="00155E5F">
        <w:t>signaled</w:t>
      </w:r>
      <w:r w:rsidR="0033537B">
        <w:t xml:space="preserve"> </w:t>
      </w:r>
      <w:r w:rsidR="00155E5F">
        <w:t>continued resolve to tighten</w:t>
      </w:r>
      <w:r w:rsidR="0033537B">
        <w:t xml:space="preserve"> monetary policy </w:t>
      </w:r>
      <w:r w:rsidR="00155E5F">
        <w:t>against</w:t>
      </w:r>
      <w:r w:rsidR="00A54ACF">
        <w:t xml:space="preserve"> </w:t>
      </w:r>
      <w:r w:rsidR="00155E5F">
        <w:t>blazing</w:t>
      </w:r>
      <w:r w:rsidR="00A54ACF">
        <w:t xml:space="preserve"> inflation</w:t>
      </w:r>
      <w:r w:rsidR="00155E5F">
        <w:t xml:space="preserve"> despite signs of a potential recession on the horizon</w:t>
      </w:r>
      <w:r w:rsidR="00A54ACF">
        <w:t>.</w:t>
      </w:r>
    </w:p>
    <w:p w14:paraId="4D630423" w14:textId="282703F9" w:rsidR="00FD0160" w:rsidRDefault="008F3BF2" w:rsidP="00855C4E">
      <w:pPr>
        <w:jc w:val="center"/>
      </w:pPr>
      <w:r w:rsidRPr="008F3BF2">
        <w:drawing>
          <wp:inline distT="0" distB="0" distL="0" distR="0" wp14:anchorId="3E6F8FF8" wp14:editId="4AAE9F6D">
            <wp:extent cx="3913505" cy="1111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3505" cy="1111885"/>
                    </a:xfrm>
                    <a:prstGeom prst="rect">
                      <a:avLst/>
                    </a:prstGeom>
                    <a:noFill/>
                    <a:ln>
                      <a:noFill/>
                    </a:ln>
                  </pic:spPr>
                </pic:pic>
              </a:graphicData>
            </a:graphic>
          </wp:inline>
        </w:drawing>
      </w:r>
    </w:p>
    <w:p w14:paraId="3DA5A3C9" w14:textId="4CF9E1B8" w:rsidR="002301AB" w:rsidRDefault="002308A9">
      <w:r>
        <w:br w:type="page"/>
      </w:r>
    </w:p>
    <w:p w14:paraId="71E59CEA" w14:textId="6D7E62F8" w:rsidR="002308A9" w:rsidRDefault="002301AB">
      <w:pPr>
        <w:rPr>
          <w:rFonts w:asciiTheme="majorHAnsi" w:eastAsiaTheme="majorEastAsia" w:hAnsiTheme="majorHAnsi" w:cstheme="majorBidi"/>
          <w:color w:val="008FD5"/>
          <w:sz w:val="36"/>
          <w:szCs w:val="32"/>
        </w:rPr>
      </w:pPr>
      <w:r>
        <w:rPr>
          <w:rFonts w:asciiTheme="majorHAnsi" w:eastAsiaTheme="majorEastAsia" w:hAnsiTheme="majorHAnsi" w:cstheme="majorBidi"/>
          <w:color w:val="008FD5"/>
          <w:sz w:val="36"/>
          <w:szCs w:val="32"/>
        </w:rPr>
        <w:lastRenderedPageBreak/>
        <w:t>Appendix – Selected Interest Rates</w:t>
      </w:r>
    </w:p>
    <w:p w14:paraId="6F34C406" w14:textId="38AC929D" w:rsidR="002301AB" w:rsidRDefault="00B23443">
      <w:r w:rsidRPr="00B23443">
        <w:drawing>
          <wp:inline distT="0" distB="0" distL="0" distR="0" wp14:anchorId="4ED477BD" wp14:editId="3AEC85A4">
            <wp:extent cx="5539939" cy="778462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492" cy="7840205"/>
                    </a:xfrm>
                    <a:prstGeom prst="rect">
                      <a:avLst/>
                    </a:prstGeom>
                    <a:noFill/>
                    <a:ln>
                      <a:noFill/>
                    </a:ln>
                  </pic:spPr>
                </pic:pic>
              </a:graphicData>
            </a:graphic>
          </wp:inline>
        </w:drawing>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lastRenderedPageBreak/>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4"/>
      <w:footerReference w:type="defaul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AB0CD" w14:textId="77777777" w:rsidR="00BA1931" w:rsidRDefault="00BA1931" w:rsidP="00171C8E">
      <w:pPr>
        <w:spacing w:after="0" w:line="240" w:lineRule="auto"/>
      </w:pPr>
      <w:r>
        <w:separator/>
      </w:r>
    </w:p>
  </w:endnote>
  <w:endnote w:type="continuationSeparator" w:id="0">
    <w:p w14:paraId="3F1BF96C" w14:textId="77777777" w:rsidR="00BA1931" w:rsidRDefault="00BA1931"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299E14D0" w:rsidR="00B36811" w:rsidRDefault="00B36811">
    <w:pPr>
      <w:pStyle w:val="Footer"/>
    </w:pPr>
    <w:r>
      <w:t>© 202</w:t>
    </w:r>
    <w:r w:rsidR="008048AD">
      <w:t>2</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89483" w14:textId="77777777" w:rsidR="00BA1931" w:rsidRDefault="00BA1931" w:rsidP="00171C8E">
      <w:pPr>
        <w:spacing w:after="0" w:line="240" w:lineRule="auto"/>
      </w:pPr>
      <w:r>
        <w:separator/>
      </w:r>
    </w:p>
  </w:footnote>
  <w:footnote w:type="continuationSeparator" w:id="0">
    <w:p w14:paraId="08D5EA1D" w14:textId="77777777" w:rsidR="00BA1931" w:rsidRDefault="00BA1931" w:rsidP="00171C8E">
      <w:pPr>
        <w:spacing w:after="0" w:line="240" w:lineRule="auto"/>
      </w:pPr>
      <w:r>
        <w:continuationSeparator/>
      </w:r>
    </w:p>
  </w:footnote>
  <w:footnote w:id="1">
    <w:p w14:paraId="0A2FA1C7" w14:textId="58EB9340" w:rsidR="00B36811" w:rsidRDefault="00B36811" w:rsidP="00EC7CB1">
      <w:pPr>
        <w:pStyle w:val="FootnoteText"/>
      </w:pPr>
      <w:r>
        <w:rPr>
          <w:rStyle w:val="FootnoteReference"/>
        </w:rPr>
        <w:footnoteRef/>
      </w:r>
      <w: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sidR="004903C9">
        <w:rPr>
          <w:rFonts w:cstheme="minorHAnsi"/>
          <w:i/>
          <w:iCs/>
          <w:color w:val="222222"/>
          <w:sz w:val="16"/>
          <w:szCs w:val="16"/>
          <w:shd w:val="clear" w:color="auto" w:fill="FFFFFF"/>
        </w:rPr>
        <w:t>Jul</w:t>
      </w:r>
      <w:r w:rsidR="00413F0F">
        <w:rPr>
          <w:rFonts w:cstheme="minorHAnsi"/>
          <w:i/>
          <w:iCs/>
          <w:color w:val="222222"/>
          <w:sz w:val="16"/>
          <w:szCs w:val="16"/>
          <w:shd w:val="clear" w:color="auto" w:fill="FFFFFF"/>
        </w:rPr>
        <w:t xml:space="preserve"> </w:t>
      </w:r>
      <w:r w:rsidR="004903C9">
        <w:rPr>
          <w:rFonts w:cstheme="minorHAnsi"/>
          <w:i/>
          <w:iCs/>
          <w:color w:val="222222"/>
          <w:sz w:val="16"/>
          <w:szCs w:val="16"/>
          <w:shd w:val="clear" w:color="auto" w:fill="FFFFFF"/>
        </w:rPr>
        <w:t>30</w:t>
      </w:r>
      <w:r w:rsidR="00413F0F">
        <w:rPr>
          <w:rFonts w:cstheme="minorHAnsi"/>
          <w:i/>
          <w:iCs/>
          <w:color w:val="222222"/>
          <w:sz w:val="16"/>
          <w:szCs w:val="16"/>
          <w:shd w:val="clear" w:color="auto" w:fill="FFFFFF"/>
        </w:rPr>
        <w:t>, 2022</w:t>
      </w:r>
      <w:r w:rsidRPr="00DA3959">
        <w:rPr>
          <w:rFonts w:cstheme="minorHAnsi"/>
          <w:i/>
          <w:iCs/>
          <w:color w:val="222222"/>
          <w:sz w:val="16"/>
          <w:szCs w:val="16"/>
          <w:shd w:val="clear" w:color="auto" w:fill="FFFFFF"/>
        </w:rPr>
        <w:t>.</w:t>
      </w:r>
    </w:p>
  </w:footnote>
  <w:footnote w:id="2">
    <w:p w14:paraId="04EBBD96" w14:textId="25CE47A1"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2A72F6">
        <w:rPr>
          <w:rFonts w:cstheme="minorHAnsi"/>
          <w:i/>
          <w:iCs/>
          <w:color w:val="222222"/>
          <w:sz w:val="16"/>
          <w:szCs w:val="16"/>
          <w:shd w:val="clear" w:color="auto" w:fill="FFFFFF"/>
        </w:rPr>
        <w:t>Jul</w:t>
      </w:r>
      <w:r w:rsidR="00413F0F">
        <w:rPr>
          <w:rFonts w:cstheme="minorHAnsi"/>
          <w:i/>
          <w:iCs/>
          <w:color w:val="222222"/>
          <w:sz w:val="16"/>
          <w:szCs w:val="16"/>
          <w:shd w:val="clear" w:color="auto" w:fill="FFFFFF"/>
        </w:rPr>
        <w:t xml:space="preserve"> </w:t>
      </w:r>
      <w:r w:rsidR="002A72F6">
        <w:rPr>
          <w:rFonts w:cstheme="minorHAnsi"/>
          <w:i/>
          <w:iCs/>
          <w:color w:val="222222"/>
          <w:sz w:val="16"/>
          <w:szCs w:val="16"/>
          <w:shd w:val="clear" w:color="auto" w:fill="FFFFFF"/>
        </w:rPr>
        <w:t>30</w:t>
      </w:r>
      <w:r>
        <w:rPr>
          <w:rFonts w:cstheme="minorHAnsi"/>
          <w:i/>
          <w:iCs/>
          <w:color w:val="222222"/>
          <w:sz w:val="16"/>
          <w:szCs w:val="16"/>
          <w:shd w:val="clear" w:color="auto" w:fill="FFFFFF"/>
        </w:rPr>
        <w:t>, 202</w:t>
      </w:r>
      <w:r w:rsidR="0079151F">
        <w:rPr>
          <w:rFonts w:cstheme="minorHAnsi"/>
          <w:i/>
          <w:iCs/>
          <w:color w:val="222222"/>
          <w:sz w:val="16"/>
          <w:szCs w:val="16"/>
          <w:shd w:val="clear" w:color="auto" w:fill="FFFFFF"/>
        </w:rPr>
        <w:t>2</w:t>
      </w:r>
      <w:r w:rsidRPr="00DA3959">
        <w:rPr>
          <w:rFonts w:cstheme="minorHAnsi"/>
          <w:i/>
          <w:iCs/>
          <w:color w:val="222222"/>
          <w:sz w:val="16"/>
          <w:szCs w:val="16"/>
          <w:shd w:val="clear" w:color="auto" w:fill="FFFFFF"/>
        </w:rPr>
        <w:t>.</w:t>
      </w:r>
    </w:p>
  </w:footnote>
  <w:footnote w:id="3">
    <w:p w14:paraId="517776FA" w14:textId="4E8E94BE"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3"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sidR="00294A8D">
        <w:rPr>
          <w:rFonts w:cstheme="minorHAnsi"/>
          <w:i/>
          <w:iCs/>
          <w:color w:val="222222"/>
          <w:sz w:val="16"/>
          <w:szCs w:val="16"/>
          <w:shd w:val="clear" w:color="auto" w:fill="FFFFFF"/>
        </w:rPr>
        <w:t>Jul</w:t>
      </w:r>
      <w:r w:rsidR="00EF14EE">
        <w:rPr>
          <w:rFonts w:cstheme="minorHAnsi"/>
          <w:i/>
          <w:iCs/>
          <w:color w:val="222222"/>
          <w:sz w:val="16"/>
          <w:szCs w:val="16"/>
          <w:shd w:val="clear" w:color="auto" w:fill="FFFFFF"/>
        </w:rPr>
        <w:t xml:space="preserve"> 2</w:t>
      </w:r>
      <w:r w:rsidR="00294A8D">
        <w:rPr>
          <w:rFonts w:cstheme="minorHAnsi"/>
          <w:i/>
          <w:iCs/>
          <w:color w:val="222222"/>
          <w:sz w:val="16"/>
          <w:szCs w:val="16"/>
          <w:shd w:val="clear" w:color="auto" w:fill="FFFFFF"/>
        </w:rPr>
        <w:t>8</w:t>
      </w:r>
      <w:r>
        <w:rPr>
          <w:rFonts w:cstheme="minorHAnsi"/>
          <w:i/>
          <w:iCs/>
          <w:color w:val="222222"/>
          <w:sz w:val="16"/>
          <w:szCs w:val="16"/>
          <w:shd w:val="clear" w:color="auto" w:fill="FFFFFF"/>
        </w:rPr>
        <w:t>, 202</w:t>
      </w:r>
      <w:r w:rsidR="00967B10">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4">
    <w:p w14:paraId="24FC6042" w14:textId="30EF36C4" w:rsidR="00294A8D" w:rsidRPr="00967B10" w:rsidRDefault="00294A8D" w:rsidP="00294A8D">
      <w:pPr>
        <w:pStyle w:val="FootnoteText"/>
        <w:rPr>
          <w:i/>
          <w:iCs/>
          <w:sz w:val="16"/>
          <w:szCs w:val="16"/>
          <w:highlight w:val="yellow"/>
        </w:rPr>
      </w:pPr>
      <w:r w:rsidRPr="00A202A9">
        <w:rPr>
          <w:rStyle w:val="FootnoteReference"/>
        </w:rPr>
        <w:footnoteRef/>
      </w:r>
      <w:r w:rsidRPr="00A202A9">
        <w:t xml:space="preserve"> </w:t>
      </w:r>
      <w:r w:rsidRPr="00A202A9">
        <w:rPr>
          <w:sz w:val="16"/>
          <w:szCs w:val="16"/>
        </w:rPr>
        <w:t xml:space="preserve">U.S. Bureau of Economic Analysis, Contributions to percent change in real gross domestic product: Gross private domestic investment [A006RY2Q224SBEA], </w:t>
      </w:r>
      <w:r w:rsidRPr="00A202A9">
        <w:rPr>
          <w:i/>
          <w:iCs/>
          <w:sz w:val="16"/>
          <w:szCs w:val="16"/>
        </w:rPr>
        <w:t xml:space="preserve">retrieved from FRED, Federal Reserve Bank of St. Louis; </w:t>
      </w:r>
      <w:hyperlink r:id="rId4" w:history="1">
        <w:r w:rsidRPr="00A202A9">
          <w:rPr>
            <w:rStyle w:val="Hyperlink"/>
            <w:i/>
            <w:iCs/>
            <w:sz w:val="16"/>
            <w:szCs w:val="16"/>
          </w:rPr>
          <w:t>https://fred.stlouisfed.org/series/A006RY2Q224SBEA</w:t>
        </w:r>
      </w:hyperlink>
      <w:r w:rsidRPr="00A202A9">
        <w:rPr>
          <w:i/>
          <w:iCs/>
          <w:sz w:val="16"/>
          <w:szCs w:val="16"/>
        </w:rPr>
        <w:t xml:space="preserve">, </w:t>
      </w:r>
      <w:r>
        <w:rPr>
          <w:rFonts w:cstheme="minorHAnsi"/>
          <w:i/>
          <w:iCs/>
          <w:color w:val="222222"/>
          <w:sz w:val="16"/>
          <w:szCs w:val="16"/>
          <w:shd w:val="clear" w:color="auto" w:fill="FFFFFF"/>
        </w:rPr>
        <w:t>Jul 28</w:t>
      </w:r>
      <w:r w:rsidRPr="00A202A9">
        <w:rPr>
          <w:rFonts w:cstheme="minorHAnsi"/>
          <w:i/>
          <w:iCs/>
          <w:color w:val="222222"/>
          <w:sz w:val="16"/>
          <w:szCs w:val="16"/>
          <w:shd w:val="clear" w:color="auto" w:fill="FFFFFF"/>
        </w:rPr>
        <w:t>, 2022</w:t>
      </w:r>
      <w:r w:rsidRPr="00A202A9">
        <w:rPr>
          <w:i/>
          <w:iCs/>
          <w:sz w:val="16"/>
          <w:szCs w:val="16"/>
        </w:rPr>
        <w:t>.</w:t>
      </w:r>
    </w:p>
  </w:footnote>
  <w:footnote w:id="5">
    <w:p w14:paraId="0DE41F30" w14:textId="0E09387E" w:rsidR="00294A8D" w:rsidRDefault="00294A8D" w:rsidP="00294A8D">
      <w:pPr>
        <w:pStyle w:val="FootnoteText"/>
      </w:pPr>
      <w:r w:rsidRPr="00A202A9">
        <w:rPr>
          <w:rStyle w:val="FootnoteReference"/>
        </w:rPr>
        <w:footnoteRef/>
      </w:r>
      <w:r w:rsidRPr="00A202A9">
        <w:t xml:space="preserve"> </w:t>
      </w:r>
      <w:r w:rsidRPr="00A202A9">
        <w:rPr>
          <w:sz w:val="16"/>
          <w:szCs w:val="16"/>
        </w:rPr>
        <w:t xml:space="preserve">U.S. Bureau of Economic Analysis, Contributions to percent change in real gross domestic product: Government consumption expenditures and gross investment [A822RY2Q224SBEA], </w:t>
      </w:r>
      <w:r w:rsidRPr="00A202A9">
        <w:rPr>
          <w:i/>
          <w:iCs/>
          <w:sz w:val="16"/>
          <w:szCs w:val="16"/>
        </w:rPr>
        <w:t xml:space="preserve">retrieved from FRED, Federal Reserve Bank of St. Louis; </w:t>
      </w:r>
      <w:hyperlink r:id="rId5" w:history="1">
        <w:r w:rsidRPr="00A202A9">
          <w:rPr>
            <w:rStyle w:val="Hyperlink"/>
            <w:i/>
            <w:iCs/>
            <w:sz w:val="16"/>
            <w:szCs w:val="16"/>
          </w:rPr>
          <w:t>https://fred.stlouisfed.org/series/A822RY2Q224SBEA</w:t>
        </w:r>
      </w:hyperlink>
      <w:r w:rsidRPr="00A202A9">
        <w:rPr>
          <w:i/>
          <w:iCs/>
          <w:sz w:val="16"/>
          <w:szCs w:val="16"/>
        </w:rPr>
        <w:t xml:space="preserve">, </w:t>
      </w:r>
      <w:r>
        <w:rPr>
          <w:rFonts w:cstheme="minorHAnsi"/>
          <w:i/>
          <w:iCs/>
          <w:color w:val="222222"/>
          <w:sz w:val="16"/>
          <w:szCs w:val="16"/>
          <w:shd w:val="clear" w:color="auto" w:fill="FFFFFF"/>
        </w:rPr>
        <w:t>Jul 28</w:t>
      </w:r>
      <w:r w:rsidRPr="00A202A9">
        <w:rPr>
          <w:rFonts w:cstheme="minorHAnsi"/>
          <w:i/>
          <w:iCs/>
          <w:color w:val="222222"/>
          <w:sz w:val="16"/>
          <w:szCs w:val="16"/>
          <w:shd w:val="clear" w:color="auto" w:fill="FFFFFF"/>
        </w:rPr>
        <w:t>, 2022</w:t>
      </w:r>
      <w:r w:rsidRPr="00A202A9">
        <w:rPr>
          <w:i/>
          <w:iCs/>
          <w:sz w:val="16"/>
          <w:szCs w:val="16"/>
        </w:rPr>
        <w:t>.</w:t>
      </w:r>
    </w:p>
  </w:footnote>
  <w:footnote w:id="6">
    <w:p w14:paraId="42267885" w14:textId="403CEDB1" w:rsidR="00294A8D" w:rsidRPr="009A15D9" w:rsidRDefault="00294A8D" w:rsidP="00294A8D">
      <w:pPr>
        <w:pStyle w:val="FootnoteText"/>
        <w:rPr>
          <w:i/>
          <w:iCs/>
          <w:sz w:val="16"/>
          <w:szCs w:val="16"/>
          <w:lang w:val="en-PH"/>
        </w:rPr>
      </w:pPr>
      <w:r w:rsidRPr="009A15D9">
        <w:rPr>
          <w:rStyle w:val="FootnoteReference"/>
          <w:szCs w:val="18"/>
        </w:rPr>
        <w:footnoteRef/>
      </w:r>
      <w:r w:rsidRPr="009A15D9">
        <w:rPr>
          <w:sz w:val="15"/>
          <w:szCs w:val="15"/>
          <w:lang w:val="en-PH"/>
        </w:rPr>
        <w:t xml:space="preserve"> </w:t>
      </w:r>
      <w:r w:rsidRPr="00A202A9">
        <w:rPr>
          <w:sz w:val="16"/>
          <w:szCs w:val="16"/>
          <w:lang w:val="en-PH"/>
        </w:rPr>
        <w:t xml:space="preserve">U.S. Bureau of Economic Analysis, Contributions to percent change in real gross domestic product: Net exports of goods and services [A019RY2Q224SBEA], </w:t>
      </w:r>
      <w:r w:rsidRPr="00A202A9">
        <w:rPr>
          <w:i/>
          <w:iCs/>
          <w:sz w:val="16"/>
          <w:szCs w:val="16"/>
          <w:lang w:val="en-PH"/>
        </w:rPr>
        <w:t xml:space="preserve">retrieved from FRED, Federal Reserve Bank of St. Louis; </w:t>
      </w:r>
      <w:hyperlink r:id="rId6" w:history="1">
        <w:r w:rsidRPr="00A202A9">
          <w:rPr>
            <w:rStyle w:val="Hyperlink"/>
            <w:i/>
            <w:iCs/>
            <w:sz w:val="16"/>
            <w:szCs w:val="16"/>
            <w:lang w:val="en-PH"/>
          </w:rPr>
          <w:t>https://fred.stlouisfed.org/series/A019RY2Q224SBEA</w:t>
        </w:r>
      </w:hyperlink>
      <w:r w:rsidRPr="00A202A9">
        <w:rPr>
          <w:i/>
          <w:iCs/>
          <w:sz w:val="16"/>
          <w:szCs w:val="16"/>
          <w:lang w:val="en-PH"/>
        </w:rPr>
        <w:t xml:space="preserve">, </w:t>
      </w:r>
      <w:r>
        <w:rPr>
          <w:rFonts w:cstheme="minorHAnsi"/>
          <w:i/>
          <w:iCs/>
          <w:color w:val="222222"/>
          <w:sz w:val="16"/>
          <w:szCs w:val="16"/>
          <w:shd w:val="clear" w:color="auto" w:fill="FFFFFF"/>
        </w:rPr>
        <w:t>Jul 28</w:t>
      </w:r>
      <w:r w:rsidRPr="00A202A9">
        <w:rPr>
          <w:i/>
          <w:iCs/>
          <w:sz w:val="16"/>
          <w:szCs w:val="16"/>
          <w:lang w:val="en-PH"/>
        </w:rPr>
        <w:t>, 2022.</w:t>
      </w:r>
    </w:p>
  </w:footnote>
  <w:footnote w:id="7">
    <w:p w14:paraId="7D33B71D" w14:textId="0D135B67" w:rsidR="00294A8D" w:rsidRPr="00A202A9" w:rsidRDefault="00294A8D" w:rsidP="00294A8D">
      <w:pPr>
        <w:pStyle w:val="FootnoteText"/>
        <w:rPr>
          <w:i/>
          <w:iCs/>
          <w:sz w:val="16"/>
          <w:szCs w:val="16"/>
        </w:rPr>
      </w:pPr>
      <w:r w:rsidRPr="00A202A9">
        <w:rPr>
          <w:rStyle w:val="FootnoteReference"/>
        </w:rPr>
        <w:footnoteRef/>
      </w:r>
      <w:r w:rsidRPr="00A202A9">
        <w:t xml:space="preserve"> </w:t>
      </w:r>
      <w:r w:rsidRPr="00A202A9">
        <w:rPr>
          <w:sz w:val="16"/>
          <w:szCs w:val="16"/>
        </w:rPr>
        <w:t xml:space="preserve">U.S. Bureau of Economic Analysis, Contributions to percent change in real gross domestic product: Personal consumption expenditures [DPCERY2Q224SBEA], </w:t>
      </w:r>
      <w:r w:rsidRPr="00A202A9">
        <w:rPr>
          <w:i/>
          <w:iCs/>
          <w:sz w:val="16"/>
          <w:szCs w:val="16"/>
        </w:rPr>
        <w:t xml:space="preserve">retrieved from FRED, Federal Reserve Bank of St. Louis; </w:t>
      </w:r>
      <w:hyperlink r:id="rId7" w:history="1">
        <w:r w:rsidRPr="00A202A9">
          <w:rPr>
            <w:rStyle w:val="Hyperlink"/>
            <w:i/>
            <w:iCs/>
            <w:sz w:val="16"/>
            <w:szCs w:val="16"/>
          </w:rPr>
          <w:t>https://fred.stlouisfed.org/series/DPCERY2Q224SBEA</w:t>
        </w:r>
      </w:hyperlink>
      <w:r w:rsidRPr="00A202A9">
        <w:rPr>
          <w:i/>
          <w:iCs/>
          <w:sz w:val="16"/>
          <w:szCs w:val="16"/>
        </w:rPr>
        <w:t xml:space="preserve">, </w:t>
      </w:r>
      <w:r>
        <w:rPr>
          <w:rFonts w:cstheme="minorHAnsi"/>
          <w:i/>
          <w:iCs/>
          <w:color w:val="222222"/>
          <w:sz w:val="16"/>
          <w:szCs w:val="16"/>
          <w:shd w:val="clear" w:color="auto" w:fill="FFFFFF"/>
        </w:rPr>
        <w:t>Jul 28</w:t>
      </w:r>
      <w:r w:rsidRPr="00A202A9">
        <w:rPr>
          <w:rFonts w:cstheme="minorHAnsi"/>
          <w:i/>
          <w:iCs/>
          <w:color w:val="222222"/>
          <w:sz w:val="16"/>
          <w:szCs w:val="16"/>
          <w:shd w:val="clear" w:color="auto" w:fill="FFFFFF"/>
        </w:rPr>
        <w:t>, 2022</w:t>
      </w:r>
      <w:r w:rsidRPr="00A202A9">
        <w:rPr>
          <w:i/>
          <w:iCs/>
          <w:sz w:val="16"/>
          <w:szCs w:val="16"/>
        </w:rPr>
        <w:t>.</w:t>
      </w:r>
    </w:p>
  </w:footnote>
  <w:footnote w:id="8">
    <w:p w14:paraId="7FABCB6E" w14:textId="121CC093" w:rsidR="00B36811" w:rsidRPr="006A114D" w:rsidRDefault="00B36811" w:rsidP="00D03164">
      <w:pPr>
        <w:pStyle w:val="FootnoteText"/>
        <w:rPr>
          <w:lang w:val="en-PH"/>
        </w:rPr>
      </w:pPr>
      <w:r w:rsidRPr="009A15D9">
        <w:rPr>
          <w:rStyle w:val="FootnoteReference"/>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294A8D">
        <w:rPr>
          <w:rFonts w:cstheme="minorHAnsi"/>
          <w:i/>
          <w:iCs/>
          <w:color w:val="222222"/>
          <w:sz w:val="16"/>
          <w:szCs w:val="16"/>
          <w:shd w:val="clear" w:color="auto" w:fill="FFFFFF"/>
        </w:rPr>
        <w:t>Jul 30</w:t>
      </w:r>
      <w:r>
        <w:rPr>
          <w:rFonts w:cstheme="minorHAnsi"/>
          <w:i/>
          <w:iCs/>
          <w:color w:val="222222"/>
          <w:sz w:val="16"/>
          <w:szCs w:val="16"/>
          <w:shd w:val="clear" w:color="auto" w:fill="FFFFFF"/>
        </w:rPr>
        <w:t>, 202</w:t>
      </w:r>
      <w:r w:rsidR="00953DF2">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9">
    <w:p w14:paraId="036626D0" w14:textId="270A732F" w:rsidR="00B36811" w:rsidRDefault="00B36811" w:rsidP="007A05AD">
      <w:pPr>
        <w:pStyle w:val="FootnoteText"/>
      </w:pPr>
      <w:r>
        <w:rPr>
          <w:rStyle w:val="FootnoteReference"/>
        </w:rPr>
        <w:footnoteRef/>
      </w:r>
      <w:r>
        <w:rPr>
          <w:sz w:val="16"/>
          <w:szCs w:val="16"/>
          <w:lang w:val="en-PH"/>
        </w:rPr>
        <w:t xml:space="preserve"> </w:t>
      </w:r>
      <w:r w:rsidRPr="00267BC7">
        <w:rPr>
          <w:sz w:val="16"/>
          <w:szCs w:val="16"/>
          <w:lang w:val="en-PH"/>
        </w:rPr>
        <w:t>Board of Governors of the Federal Reserve System (US),</w:t>
      </w:r>
      <w:r>
        <w:rPr>
          <w:sz w:val="16"/>
          <w:szCs w:val="16"/>
          <w:lang w:val="en-PH"/>
        </w:rPr>
        <w:t xml:space="preserve"> Capacity Utilization, Manufacturing (NAICS), </w:t>
      </w:r>
      <w:r w:rsidRPr="006B1EB1">
        <w:rPr>
          <w:i/>
          <w:iCs/>
          <w:sz w:val="16"/>
          <w:szCs w:val="16"/>
          <w:lang w:val="en-PH"/>
        </w:rPr>
        <w:t xml:space="preserve">retrieved from FRED, Federal Reserve Bank of St. Louis; </w:t>
      </w:r>
      <w:hyperlink r:id="rId9" w:history="1">
        <w:r w:rsidRPr="006B1EB1">
          <w:rPr>
            <w:rStyle w:val="Hyperlink"/>
            <w:i/>
            <w:iCs/>
            <w:sz w:val="16"/>
            <w:szCs w:val="16"/>
            <w:lang w:val="en-PH"/>
          </w:rPr>
          <w:t>https://fred.stlouisfed.org/series/MCUMFN</w:t>
        </w:r>
      </w:hyperlink>
      <w:r w:rsidRPr="006B1EB1">
        <w:rPr>
          <w:i/>
          <w:iCs/>
          <w:sz w:val="16"/>
          <w:szCs w:val="16"/>
          <w:lang w:val="en-PH"/>
        </w:rPr>
        <w:t xml:space="preserve">, </w:t>
      </w:r>
      <w:r w:rsidR="00C21192">
        <w:rPr>
          <w:i/>
          <w:iCs/>
          <w:sz w:val="16"/>
          <w:szCs w:val="16"/>
          <w:lang w:val="en-PH"/>
        </w:rPr>
        <w:t>Jul 30</w:t>
      </w:r>
      <w:r w:rsidRPr="006B1EB1">
        <w:rPr>
          <w:i/>
          <w:iCs/>
          <w:sz w:val="16"/>
          <w:szCs w:val="16"/>
          <w:lang w:val="en-PH"/>
        </w:rPr>
        <w:t>, 202</w:t>
      </w:r>
      <w:r w:rsidR="00455D78">
        <w:rPr>
          <w:i/>
          <w:iCs/>
          <w:sz w:val="16"/>
          <w:szCs w:val="16"/>
          <w:lang w:val="en-PH"/>
        </w:rPr>
        <w:t>2</w:t>
      </w:r>
      <w:r w:rsidR="006B1EB1">
        <w:rPr>
          <w:i/>
          <w:iCs/>
          <w:sz w:val="16"/>
          <w:szCs w:val="16"/>
          <w:lang w:val="en-PH"/>
        </w:rPr>
        <w:t>.</w:t>
      </w:r>
    </w:p>
  </w:footnote>
  <w:footnote w:id="10">
    <w:p w14:paraId="5D03BFAC" w14:textId="73148F12" w:rsidR="00B36811" w:rsidRPr="005A0EC4" w:rsidRDefault="00B36811" w:rsidP="00952E0A">
      <w:pPr>
        <w:pStyle w:val="FootnoteText"/>
        <w:rPr>
          <w:rFonts w:ascii="Times New Roman" w:eastAsia="Times New Roman" w:hAnsi="Times New Roman" w:cs="Times New Roman"/>
          <w:szCs w:val="24"/>
        </w:rPr>
      </w:pPr>
      <w:r>
        <w:rPr>
          <w:rStyle w:val="FootnoteReference"/>
        </w:rPr>
        <w:footnoteRef/>
      </w:r>
      <w:r>
        <w:t xml:space="preserve"> </w:t>
      </w:r>
      <w:r w:rsidRPr="00814E45">
        <w:rPr>
          <w:sz w:val="16"/>
          <w:szCs w:val="16"/>
          <w:lang w:val="en-PH"/>
        </w:rPr>
        <w:t xml:space="preserve">Board of Governors of the Federal Reserve System (US), Federal Funds Effective Rate [FEDFUNDS], </w:t>
      </w:r>
      <w:r w:rsidRPr="006B1EB1">
        <w:rPr>
          <w:i/>
          <w:iCs/>
          <w:sz w:val="16"/>
          <w:szCs w:val="16"/>
          <w:lang w:val="en-PH"/>
        </w:rPr>
        <w:t xml:space="preserve">retrieved from FRED, Federal Reserve Bank of St. Louis; </w:t>
      </w:r>
      <w:hyperlink r:id="rId10" w:history="1">
        <w:r w:rsidRPr="006B1EB1">
          <w:rPr>
            <w:rStyle w:val="Hyperlink"/>
            <w:i/>
            <w:iCs/>
            <w:sz w:val="16"/>
            <w:szCs w:val="16"/>
            <w:lang w:val="en-PH"/>
          </w:rPr>
          <w:t>https://fred.stlouisfed.org/series/FEDFUNDS</w:t>
        </w:r>
      </w:hyperlink>
      <w:r w:rsidRPr="006B1EB1">
        <w:rPr>
          <w:i/>
          <w:iCs/>
          <w:sz w:val="16"/>
          <w:szCs w:val="16"/>
          <w:lang w:val="en-PH"/>
        </w:rPr>
        <w:t xml:space="preserve">, </w:t>
      </w:r>
      <w:r w:rsidR="005E1BD2">
        <w:rPr>
          <w:i/>
          <w:iCs/>
          <w:sz w:val="16"/>
          <w:szCs w:val="16"/>
          <w:lang w:val="en-PH"/>
        </w:rPr>
        <w:t>Apr 29</w:t>
      </w:r>
      <w:r w:rsidRPr="006B1EB1">
        <w:rPr>
          <w:i/>
          <w:iCs/>
          <w:sz w:val="16"/>
          <w:szCs w:val="16"/>
          <w:lang w:val="en-PH"/>
        </w:rPr>
        <w:t>, 202</w:t>
      </w:r>
      <w:r w:rsidR="00455D78">
        <w:rPr>
          <w:i/>
          <w:iCs/>
          <w:sz w:val="16"/>
          <w:szCs w:val="16"/>
          <w:lang w:val="en-PH"/>
        </w:rPr>
        <w:t>2</w:t>
      </w:r>
      <w:r w:rsidRPr="006B1EB1">
        <w:rPr>
          <w:i/>
          <w:iCs/>
          <w:sz w:val="16"/>
          <w:szCs w:val="16"/>
          <w:lang w:val="en-PH"/>
        </w:rPr>
        <w:t>.</w:t>
      </w:r>
    </w:p>
  </w:footnote>
  <w:footnote w:id="11">
    <w:p w14:paraId="2BE1B367" w14:textId="08CE23D5" w:rsidR="00B36811" w:rsidRDefault="00B36811">
      <w:pPr>
        <w:pStyle w:val="FootnoteText"/>
      </w:pPr>
      <w:r>
        <w:rPr>
          <w:rStyle w:val="FootnoteReference"/>
        </w:rPr>
        <w:footnoteRef/>
      </w:r>
      <w:r>
        <w:t xml:space="preserve"> </w:t>
      </w:r>
      <w:r w:rsidRPr="006B1EB1">
        <w:rPr>
          <w:sz w:val="16"/>
          <w:szCs w:val="16"/>
          <w:lang w:val="en-PH"/>
        </w:rPr>
        <w:t xml:space="preserve">Selected Interest Rates Instruments, </w:t>
      </w:r>
      <w:proofErr w:type="gramStart"/>
      <w:r w:rsidRPr="006B1EB1">
        <w:rPr>
          <w:sz w:val="16"/>
          <w:szCs w:val="16"/>
          <w:lang w:val="en-PH"/>
        </w:rPr>
        <w:t>Yields</w:t>
      </w:r>
      <w:proofErr w:type="gramEnd"/>
      <w:r w:rsidRPr="006B1EB1">
        <w:rPr>
          <w:sz w:val="16"/>
          <w:szCs w:val="16"/>
          <w:lang w:val="en-PH"/>
        </w:rPr>
        <w:t xml:space="preserve"> in percent per annum,</w:t>
      </w:r>
      <w:r w:rsidRPr="00B65667">
        <w:rPr>
          <w:i/>
          <w:iCs/>
          <w:sz w:val="16"/>
          <w:szCs w:val="16"/>
          <w:lang w:val="en-PH"/>
        </w:rPr>
        <w:t xml:space="preserve"> retrieved from FRED, Federal Reserve Bank of St. Louis; </w:t>
      </w:r>
      <w:hyperlink r:id="rId11" w:history="1">
        <w:r w:rsidR="002B0DF1">
          <w:rPr>
            <w:rStyle w:val="Hyperlink"/>
            <w:i/>
            <w:iCs/>
            <w:sz w:val="16"/>
            <w:szCs w:val="16"/>
            <w:lang w:val="en-PH"/>
          </w:rPr>
          <w:t>https://fred.stlouisfed.org/release/tables?rid=18&amp;eid=289&amp;od=2022-06-30</w:t>
        </w:r>
      </w:hyperlink>
      <w:r w:rsidRPr="00B65667">
        <w:rPr>
          <w:i/>
          <w:iCs/>
          <w:sz w:val="16"/>
          <w:szCs w:val="16"/>
          <w:lang w:val="en-PH"/>
        </w:rPr>
        <w:t xml:space="preserve">, </w:t>
      </w:r>
      <w:r w:rsidR="00D63AB3">
        <w:rPr>
          <w:i/>
          <w:iCs/>
          <w:sz w:val="16"/>
          <w:szCs w:val="16"/>
          <w:lang w:val="en-PH"/>
        </w:rPr>
        <w:t>Jul 30,</w:t>
      </w:r>
      <w:r>
        <w:rPr>
          <w:i/>
          <w:iCs/>
          <w:sz w:val="16"/>
          <w:szCs w:val="16"/>
          <w:lang w:val="en-PH"/>
        </w:rPr>
        <w:t xml:space="preserve"> 202</w:t>
      </w:r>
      <w:r w:rsidR="00455D78">
        <w:rPr>
          <w:i/>
          <w:iCs/>
          <w:sz w:val="16"/>
          <w:szCs w:val="16"/>
          <w:lang w:val="en-PH"/>
        </w:rPr>
        <w:t>2</w:t>
      </w:r>
      <w:r w:rsidRPr="00B65667">
        <w:rPr>
          <w:i/>
          <w:iCs/>
          <w:sz w:val="16"/>
          <w:szCs w:val="16"/>
          <w:lang w:val="en-PH"/>
        </w:rPr>
        <w:t>.</w:t>
      </w:r>
    </w:p>
  </w:footnote>
  <w:footnote w:id="12">
    <w:p w14:paraId="5D342EB9" w14:textId="77777777" w:rsidR="003A4C56" w:rsidRPr="00BF5CE2" w:rsidRDefault="003A4C56" w:rsidP="003A4C56">
      <w:pPr>
        <w:pStyle w:val="FootnoteText"/>
        <w:rPr>
          <w:sz w:val="16"/>
          <w:szCs w:val="16"/>
          <w:lang w:val="en-PH"/>
        </w:rPr>
      </w:pPr>
      <w:r w:rsidRPr="003A4C56">
        <w:rPr>
          <w:rStyle w:val="FootnoteReference"/>
        </w:rPr>
        <w:footnoteRef/>
      </w:r>
      <w:r w:rsidRPr="003A4C56">
        <w:t xml:space="preserve"> </w:t>
      </w:r>
      <w:r w:rsidRPr="005E1BD2">
        <w:rPr>
          <w:sz w:val="16"/>
          <w:szCs w:val="16"/>
          <w:lang w:val="en-PH"/>
        </w:rPr>
        <w:t xml:space="preserve">Board of Governors of the Federal Reserve System (US), Federal Funds Target Range - Upper Limit [DFEDTARU], </w:t>
      </w:r>
      <w:r w:rsidRPr="005E1BD2">
        <w:rPr>
          <w:i/>
          <w:iCs/>
          <w:sz w:val="16"/>
          <w:szCs w:val="16"/>
          <w:lang w:val="en-PH"/>
        </w:rPr>
        <w:t xml:space="preserve">retrieved from FRED, Federal Reserve Bank of St. Louis; </w:t>
      </w:r>
      <w:hyperlink r:id="rId12" w:history="1">
        <w:r w:rsidRPr="005E1BD2">
          <w:rPr>
            <w:rStyle w:val="Hyperlink"/>
            <w:i/>
            <w:iCs/>
            <w:sz w:val="16"/>
            <w:szCs w:val="16"/>
            <w:lang w:val="en-PH"/>
          </w:rPr>
          <w:t>https://fred.stlouisfed.org/series/DFEDTARU</w:t>
        </w:r>
      </w:hyperlink>
      <w:r w:rsidRPr="005E1BD2">
        <w:rPr>
          <w:i/>
          <w:iCs/>
          <w:sz w:val="16"/>
          <w:szCs w:val="16"/>
          <w:lang w:val="en-PH"/>
        </w:rPr>
        <w:t xml:space="preserve">, </w:t>
      </w:r>
      <w:r>
        <w:rPr>
          <w:i/>
          <w:iCs/>
          <w:sz w:val="16"/>
          <w:szCs w:val="16"/>
          <w:lang w:val="en-PH"/>
        </w:rPr>
        <w:t>Jul 28</w:t>
      </w:r>
      <w:r w:rsidRPr="005E1BD2">
        <w:rPr>
          <w:i/>
          <w:iCs/>
          <w:sz w:val="16"/>
          <w:szCs w:val="16"/>
          <w:lang w:val="en-PH"/>
        </w:rPr>
        <w:t>, 2022</w:t>
      </w:r>
      <w:r w:rsidRPr="005E1BD2">
        <w:rPr>
          <w:sz w:val="16"/>
          <w:szCs w:val="16"/>
          <w:lang w:val="en-PH"/>
        </w:rPr>
        <w:t>.</w:t>
      </w:r>
    </w:p>
  </w:footnote>
  <w:footnote w:id="13">
    <w:p w14:paraId="06DF2844" w14:textId="5B62E2E9" w:rsidR="003A4C56" w:rsidRPr="003A4C56" w:rsidRDefault="003A4C56">
      <w:pPr>
        <w:pStyle w:val="FootnoteText"/>
        <w:rPr>
          <w:sz w:val="16"/>
          <w:szCs w:val="16"/>
        </w:rPr>
      </w:pPr>
      <w:r>
        <w:rPr>
          <w:rStyle w:val="FootnoteReference"/>
        </w:rPr>
        <w:footnoteRef/>
      </w:r>
      <w:r>
        <w:t xml:space="preserve"> </w:t>
      </w:r>
      <w:r w:rsidRPr="003A4C56">
        <w:rPr>
          <w:sz w:val="16"/>
          <w:szCs w:val="16"/>
        </w:rPr>
        <w:t xml:space="preserve">Board of Governors of the Federal Reserve System (US), Federal Funds Effective Rate [FEDFUNDS], </w:t>
      </w:r>
      <w:r w:rsidRPr="003A4C56">
        <w:rPr>
          <w:i/>
          <w:iCs/>
          <w:sz w:val="16"/>
          <w:szCs w:val="16"/>
        </w:rPr>
        <w:t xml:space="preserve">retrieved from FRED, Federal Reserve Bank of St. Louis; </w:t>
      </w:r>
      <w:hyperlink r:id="rId13" w:history="1">
        <w:r w:rsidRPr="00F71E25">
          <w:rPr>
            <w:rStyle w:val="Hyperlink"/>
            <w:i/>
            <w:iCs/>
            <w:sz w:val="16"/>
            <w:szCs w:val="16"/>
          </w:rPr>
          <w:t>https://fred.stlouisfed.org/series/FEDFUNDS</w:t>
        </w:r>
      </w:hyperlink>
      <w:r w:rsidRPr="003A4C56">
        <w:rPr>
          <w:i/>
          <w:iCs/>
          <w:sz w:val="16"/>
          <w:szCs w:val="16"/>
        </w:rPr>
        <w:t>, Jul 30, 2022</w:t>
      </w:r>
      <w:r w:rsidRPr="003A4C56">
        <w:rPr>
          <w:sz w:val="16"/>
          <w:szCs w:val="16"/>
        </w:rPr>
        <w:t>.</w:t>
      </w:r>
    </w:p>
  </w:footnote>
  <w:footnote w:id="14">
    <w:p w14:paraId="5D92A033" w14:textId="7D5C199B"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412C1A">
        <w:rPr>
          <w:rFonts w:cstheme="minorHAnsi"/>
          <w:i/>
          <w:iCs/>
          <w:color w:val="222222"/>
          <w:sz w:val="16"/>
          <w:szCs w:val="16"/>
          <w:shd w:val="clear" w:color="auto" w:fill="FFFFFF"/>
        </w:rPr>
        <w:t>Apr 29</w:t>
      </w:r>
      <w:r>
        <w:rPr>
          <w:rFonts w:cstheme="minorHAnsi"/>
          <w:i/>
          <w:iCs/>
          <w:color w:val="222222"/>
          <w:sz w:val="16"/>
          <w:szCs w:val="16"/>
          <w:shd w:val="clear" w:color="auto" w:fill="FFFFFF"/>
        </w:rPr>
        <w:t>, 202</w:t>
      </w:r>
      <w:r w:rsidR="00455D78">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15">
    <w:p w14:paraId="29E4EDD1" w14:textId="766B04C4"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5" w:history="1">
        <w:r w:rsidR="00263EBD" w:rsidRPr="00263EBD">
          <w:rPr>
            <w:rStyle w:val="Hyperlink"/>
            <w:i/>
            <w:iCs/>
            <w:sz w:val="16"/>
            <w:szCs w:val="16"/>
            <w:lang w:val="en-PH"/>
          </w:rPr>
          <w:t>https://fred.stlouisfed.org/series/DBAA</w:t>
        </w:r>
      </w:hyperlink>
      <w:r w:rsidR="00263EBD" w:rsidRPr="00263EBD">
        <w:rPr>
          <w:i/>
          <w:iCs/>
          <w:sz w:val="16"/>
          <w:szCs w:val="16"/>
          <w:lang w:val="en-PH"/>
        </w:rPr>
        <w:t xml:space="preserve">, </w:t>
      </w:r>
      <w:r w:rsidR="00412C1A">
        <w:rPr>
          <w:i/>
          <w:iCs/>
          <w:sz w:val="16"/>
          <w:szCs w:val="16"/>
          <w:lang w:val="en-PH"/>
        </w:rPr>
        <w:t>Apr 29,</w:t>
      </w:r>
      <w:r w:rsidR="00263EBD" w:rsidRPr="00263EBD">
        <w:rPr>
          <w:i/>
          <w:iCs/>
          <w:sz w:val="16"/>
          <w:szCs w:val="16"/>
          <w:lang w:val="en-PH"/>
        </w:rPr>
        <w:t xml:space="preserve"> 202</w:t>
      </w:r>
      <w:r w:rsidR="00F34E7B">
        <w:rPr>
          <w:i/>
          <w:iCs/>
          <w:sz w:val="16"/>
          <w:szCs w:val="16"/>
          <w:lang w:val="en-PH"/>
        </w:rPr>
        <w:t>2</w:t>
      </w:r>
      <w:r w:rsidR="00263EBD" w:rsidRPr="00263EBD">
        <w:rPr>
          <w:i/>
          <w:iCs/>
          <w:sz w:val="16"/>
          <w:szCs w:val="16"/>
          <w:lang w:val="en-PH"/>
        </w:rPr>
        <w:t>.</w:t>
      </w:r>
    </w:p>
  </w:footnote>
  <w:footnote w:id="16">
    <w:p w14:paraId="6012CE06" w14:textId="03FAC239"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w:t>
      </w:r>
      <w:proofErr w:type="spellStart"/>
      <w:r w:rsidR="00263EBD" w:rsidRPr="00263EBD">
        <w:rPr>
          <w:sz w:val="16"/>
          <w:szCs w:val="16"/>
          <w:lang w:val="en-PH"/>
        </w:rPr>
        <w:t>Aaa</w:t>
      </w:r>
      <w:proofErr w:type="spellEnd"/>
      <w:r w:rsidR="00263EBD" w:rsidRPr="00263EBD">
        <w:rPr>
          <w:sz w:val="16"/>
          <w:szCs w:val="16"/>
          <w:lang w:val="en-PH"/>
        </w:rPr>
        <w:t xml:space="preserve"> Corporate Bond Yield [DAAA], </w:t>
      </w:r>
      <w:r w:rsidR="00263EBD" w:rsidRPr="00263EBD">
        <w:rPr>
          <w:i/>
          <w:iCs/>
          <w:sz w:val="16"/>
          <w:szCs w:val="16"/>
          <w:lang w:val="en-PH"/>
        </w:rPr>
        <w:t xml:space="preserve">retrieved from FRED, Federal Reserve Bank of St. Louis; </w:t>
      </w:r>
      <w:hyperlink r:id="rId16" w:history="1">
        <w:r w:rsidR="00263EBD" w:rsidRPr="00263EBD">
          <w:rPr>
            <w:rStyle w:val="Hyperlink"/>
            <w:i/>
            <w:iCs/>
            <w:sz w:val="16"/>
            <w:szCs w:val="16"/>
            <w:lang w:val="en-PH"/>
          </w:rPr>
          <w:t>https://fred.stlouisfed.org/series/DAAA</w:t>
        </w:r>
      </w:hyperlink>
      <w:r w:rsidR="00263EBD" w:rsidRPr="00263EBD">
        <w:rPr>
          <w:i/>
          <w:iCs/>
          <w:sz w:val="16"/>
          <w:szCs w:val="16"/>
          <w:lang w:val="en-PH"/>
        </w:rPr>
        <w:t xml:space="preserve">, </w:t>
      </w:r>
      <w:r w:rsidR="00412C1A">
        <w:rPr>
          <w:i/>
          <w:iCs/>
          <w:sz w:val="16"/>
          <w:szCs w:val="16"/>
          <w:lang w:val="en-PH"/>
        </w:rPr>
        <w:t>Apr 29</w:t>
      </w:r>
      <w:r w:rsidR="00F34E7B" w:rsidRPr="00263EBD">
        <w:rPr>
          <w:i/>
          <w:iCs/>
          <w:sz w:val="16"/>
          <w:szCs w:val="16"/>
          <w:lang w:val="en-PH"/>
        </w:rPr>
        <w:t>, 202</w:t>
      </w:r>
      <w:r w:rsidR="00F34E7B">
        <w:rPr>
          <w:i/>
          <w:iCs/>
          <w:sz w:val="16"/>
          <w:szCs w:val="16"/>
          <w:lang w:val="en-PH"/>
        </w:rPr>
        <w:t>2</w:t>
      </w:r>
      <w:r w:rsidR="00263EBD" w:rsidRPr="00263EBD">
        <w:rPr>
          <w:i/>
          <w:iCs/>
          <w:sz w:val="16"/>
          <w:szCs w:val="16"/>
          <w:lang w:val="en-PH"/>
        </w:rPr>
        <w:t>.</w:t>
      </w:r>
    </w:p>
  </w:footnote>
  <w:footnote w:id="17">
    <w:p w14:paraId="66B25A11" w14:textId="164FCB14"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4D3A04">
        <w:rPr>
          <w:rFonts w:cstheme="minorHAnsi"/>
          <w:i/>
          <w:iCs/>
          <w:color w:val="222222"/>
          <w:sz w:val="16"/>
          <w:szCs w:val="16"/>
          <w:shd w:val="clear" w:color="auto" w:fill="FFFFFF"/>
        </w:rPr>
        <w:t>Jul</w:t>
      </w:r>
      <w:r w:rsidR="00391D3A">
        <w:rPr>
          <w:rFonts w:cstheme="minorHAnsi"/>
          <w:i/>
          <w:iCs/>
          <w:color w:val="222222"/>
          <w:sz w:val="16"/>
          <w:szCs w:val="16"/>
          <w:shd w:val="clear" w:color="auto" w:fill="FFFFFF"/>
        </w:rPr>
        <w:t xml:space="preserve"> 29</w:t>
      </w:r>
      <w:r w:rsidR="006F1876">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18">
    <w:p w14:paraId="72ADA4A0" w14:textId="19517CA5" w:rsidR="007B4191" w:rsidRPr="007B4191" w:rsidRDefault="007B4191">
      <w:pPr>
        <w:pStyle w:val="FootnoteText"/>
        <w:rPr>
          <w:sz w:val="16"/>
          <w:szCs w:val="16"/>
        </w:rPr>
      </w:pPr>
      <w:r>
        <w:rPr>
          <w:rStyle w:val="FootnoteReference"/>
        </w:rPr>
        <w:footnoteRef/>
      </w:r>
      <w:r>
        <w:t xml:space="preserve"> </w:t>
      </w:r>
      <w:r w:rsidRPr="007B4191">
        <w:rPr>
          <w:sz w:val="16"/>
          <w:szCs w:val="16"/>
        </w:rPr>
        <w:t xml:space="preserve">U.S. Bureau of Labor Statistics, Civilian Labor Force Level [CLF16OV], </w:t>
      </w:r>
      <w:r w:rsidRPr="007B4191">
        <w:rPr>
          <w:i/>
          <w:iCs/>
          <w:sz w:val="16"/>
          <w:szCs w:val="16"/>
        </w:rPr>
        <w:t xml:space="preserve">retrieved from FRED, Federal Reserve Bank of St. Louis; </w:t>
      </w:r>
      <w:hyperlink r:id="rId18" w:history="1">
        <w:r w:rsidRPr="007B4191">
          <w:rPr>
            <w:rStyle w:val="Hyperlink"/>
            <w:i/>
            <w:iCs/>
            <w:sz w:val="16"/>
            <w:szCs w:val="16"/>
          </w:rPr>
          <w:t>https://fred.stlouisfed.org/series/CLF16OV</w:t>
        </w:r>
      </w:hyperlink>
      <w:r w:rsidRPr="007B4191">
        <w:rPr>
          <w:i/>
          <w:iCs/>
          <w:sz w:val="16"/>
          <w:szCs w:val="16"/>
        </w:rPr>
        <w:t xml:space="preserve">, </w:t>
      </w:r>
      <w:r w:rsidR="004D3A04">
        <w:rPr>
          <w:i/>
          <w:iCs/>
          <w:sz w:val="16"/>
          <w:szCs w:val="16"/>
          <w:lang w:val="en-PH"/>
        </w:rPr>
        <w:t>Jul</w:t>
      </w:r>
      <w:r w:rsidRPr="007B4191">
        <w:rPr>
          <w:i/>
          <w:iCs/>
          <w:sz w:val="16"/>
          <w:szCs w:val="16"/>
          <w:lang w:val="en-PH"/>
        </w:rPr>
        <w:t xml:space="preserve"> 29, 2022</w:t>
      </w:r>
      <w:r w:rsidRPr="007B4191">
        <w:rPr>
          <w:i/>
          <w:iCs/>
          <w:sz w:val="16"/>
          <w:szCs w:val="16"/>
        </w:rPr>
        <w:t>.</w:t>
      </w:r>
    </w:p>
  </w:footnote>
  <w:footnote w:id="19">
    <w:p w14:paraId="0E3463A9" w14:textId="553232C3"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19" w:history="1">
        <w:r w:rsidRPr="006859BA">
          <w:rPr>
            <w:rStyle w:val="Hyperlink"/>
            <w:i/>
            <w:iCs/>
            <w:sz w:val="16"/>
            <w:szCs w:val="16"/>
          </w:rPr>
          <w:t>https://fred.stlouisfed.org/series/CIVPART</w:t>
        </w:r>
      </w:hyperlink>
      <w:r w:rsidRPr="006859BA">
        <w:rPr>
          <w:i/>
          <w:iCs/>
          <w:sz w:val="16"/>
          <w:szCs w:val="16"/>
        </w:rPr>
        <w:t xml:space="preserve">, </w:t>
      </w:r>
      <w:r w:rsidR="004D3A04">
        <w:rPr>
          <w:i/>
          <w:iCs/>
          <w:sz w:val="16"/>
          <w:szCs w:val="16"/>
        </w:rPr>
        <w:t>Jul</w:t>
      </w:r>
      <w:r w:rsidR="00391D3A">
        <w:rPr>
          <w:i/>
          <w:iCs/>
          <w:sz w:val="16"/>
          <w:szCs w:val="16"/>
        </w:rPr>
        <w:t xml:space="preserve"> 29</w:t>
      </w:r>
      <w:r w:rsidR="006F1876">
        <w:rPr>
          <w:i/>
          <w:iCs/>
          <w:sz w:val="16"/>
          <w:szCs w:val="16"/>
        </w:rPr>
        <w:t>, 2022</w:t>
      </w:r>
      <w:r w:rsidRPr="006859BA">
        <w:rPr>
          <w:i/>
          <w:iCs/>
          <w:sz w:val="16"/>
          <w:szCs w:val="16"/>
        </w:rPr>
        <w:t>.</w:t>
      </w:r>
    </w:p>
  </w:footnote>
  <w:footnote w:id="20">
    <w:p w14:paraId="7EE0AABC" w14:textId="697EB2E2" w:rsidR="00B36811" w:rsidRPr="00C7535D" w:rsidRDefault="00B36811">
      <w:pPr>
        <w:pStyle w:val="FootnoteText"/>
        <w:rPr>
          <w:sz w:val="16"/>
          <w:szCs w:val="16"/>
        </w:rPr>
      </w:pPr>
      <w:r w:rsidRPr="00D029B3">
        <w:rPr>
          <w:rStyle w:val="FootnoteReference"/>
        </w:rPr>
        <w:footnoteRef/>
      </w:r>
      <w:r w:rsidRPr="00C7535D">
        <w:rPr>
          <w:sz w:val="16"/>
          <w:szCs w:val="16"/>
        </w:rPr>
        <w:t xml:space="preserve"> Federal Reserve Bank of Philadelphia, Livingston Survey, </w:t>
      </w:r>
      <w:hyperlink r:id="rId20" w:history="1">
        <w:r w:rsidRPr="002024E2">
          <w:rPr>
            <w:rStyle w:val="Hyperlink"/>
            <w:i/>
            <w:iCs/>
            <w:sz w:val="16"/>
            <w:szCs w:val="16"/>
          </w:rPr>
          <w:t>https://www.philadelphiafed.org/surveys-and-data/real-time-data-research/livingston-survey</w:t>
        </w:r>
      </w:hyperlink>
      <w:r w:rsidRPr="002024E2">
        <w:rPr>
          <w:i/>
          <w:iCs/>
          <w:sz w:val="16"/>
          <w:szCs w:val="16"/>
        </w:rPr>
        <w:t xml:space="preserve">, </w:t>
      </w:r>
      <w:r w:rsidR="004D3A04">
        <w:rPr>
          <w:i/>
          <w:iCs/>
          <w:sz w:val="16"/>
          <w:szCs w:val="16"/>
        </w:rPr>
        <w:t>Jul</w:t>
      </w:r>
      <w:r w:rsidR="00391D3A">
        <w:rPr>
          <w:i/>
          <w:iCs/>
          <w:sz w:val="16"/>
          <w:szCs w:val="16"/>
        </w:rPr>
        <w:t xml:space="preserve"> 29</w:t>
      </w:r>
      <w:r w:rsidR="006F1876">
        <w:rPr>
          <w:i/>
          <w:iCs/>
          <w:sz w:val="16"/>
          <w:szCs w:val="16"/>
        </w:rPr>
        <w:t>, 2022</w:t>
      </w:r>
      <w:r w:rsidRPr="002024E2">
        <w:rPr>
          <w:i/>
          <w:iCs/>
          <w:sz w:val="16"/>
          <w:szCs w:val="16"/>
        </w:rPr>
        <w:t>.</w:t>
      </w:r>
    </w:p>
  </w:footnote>
  <w:footnote w:id="21">
    <w:p w14:paraId="6C60FCE5" w14:textId="7BF62B04" w:rsidR="00D029B3" w:rsidRPr="00D029B3" w:rsidRDefault="00D029B3">
      <w:pPr>
        <w:pStyle w:val="FootnoteText"/>
        <w:rPr>
          <w:sz w:val="16"/>
          <w:szCs w:val="16"/>
        </w:rPr>
      </w:pPr>
      <w:r>
        <w:rPr>
          <w:rStyle w:val="FootnoteReference"/>
        </w:rPr>
        <w:footnoteRef/>
      </w:r>
      <w:r>
        <w:t xml:space="preserve"> </w:t>
      </w:r>
      <w:r w:rsidRPr="00D029B3">
        <w:rPr>
          <w:sz w:val="16"/>
          <w:szCs w:val="16"/>
        </w:rPr>
        <w:t xml:space="preserve">U.S. Bureau of Labor Statistics, </w:t>
      </w:r>
      <w:proofErr w:type="gramStart"/>
      <w:r w:rsidRPr="00D029B3">
        <w:rPr>
          <w:sz w:val="16"/>
          <w:szCs w:val="16"/>
        </w:rPr>
        <w:t>Quits</w:t>
      </w:r>
      <w:proofErr w:type="gramEnd"/>
      <w:r w:rsidRPr="00D029B3">
        <w:rPr>
          <w:sz w:val="16"/>
          <w:szCs w:val="16"/>
        </w:rPr>
        <w:t xml:space="preserve">: Total Nonfarm [JTSQUL], </w:t>
      </w:r>
      <w:r w:rsidRPr="00D029B3">
        <w:rPr>
          <w:i/>
          <w:iCs/>
          <w:sz w:val="16"/>
          <w:szCs w:val="16"/>
        </w:rPr>
        <w:t xml:space="preserve">retrieved from FRED, Federal Reserve Bank of St. Louis; </w:t>
      </w:r>
      <w:hyperlink r:id="rId21" w:history="1">
        <w:r w:rsidRPr="00D029B3">
          <w:rPr>
            <w:rStyle w:val="Hyperlink"/>
            <w:i/>
            <w:iCs/>
            <w:sz w:val="16"/>
            <w:szCs w:val="16"/>
          </w:rPr>
          <w:t>https://fred.stlouisfed.org/series/JTSQUL</w:t>
        </w:r>
      </w:hyperlink>
      <w:r w:rsidRPr="00D029B3">
        <w:rPr>
          <w:i/>
          <w:iCs/>
          <w:sz w:val="16"/>
          <w:szCs w:val="16"/>
        </w:rPr>
        <w:t xml:space="preserve">, </w:t>
      </w:r>
      <w:r w:rsidR="004D3A04">
        <w:rPr>
          <w:i/>
          <w:iCs/>
          <w:sz w:val="16"/>
          <w:szCs w:val="16"/>
        </w:rPr>
        <w:t>Jul</w:t>
      </w:r>
      <w:r w:rsidR="007A4A4B">
        <w:rPr>
          <w:i/>
          <w:iCs/>
          <w:sz w:val="16"/>
          <w:szCs w:val="16"/>
        </w:rPr>
        <w:t xml:space="preserve"> </w:t>
      </w:r>
      <w:r w:rsidR="002B5FDA">
        <w:rPr>
          <w:i/>
          <w:iCs/>
          <w:sz w:val="16"/>
          <w:szCs w:val="16"/>
        </w:rPr>
        <w:t>31</w:t>
      </w:r>
      <w:r w:rsidRPr="00D029B3">
        <w:rPr>
          <w:i/>
          <w:iCs/>
          <w:sz w:val="16"/>
          <w:szCs w:val="16"/>
        </w:rPr>
        <w:t>, 2022</w:t>
      </w:r>
      <w:r w:rsidRPr="00D029B3">
        <w:rPr>
          <w:sz w:val="16"/>
          <w:szCs w:val="16"/>
        </w:rPr>
        <w:t>.</w:t>
      </w:r>
    </w:p>
  </w:footnote>
  <w:footnote w:id="22">
    <w:p w14:paraId="646109C7" w14:textId="488A8291" w:rsidR="007A4A4B" w:rsidRDefault="007A4A4B">
      <w:pPr>
        <w:pStyle w:val="FootnoteText"/>
      </w:pPr>
      <w:r>
        <w:rPr>
          <w:rStyle w:val="FootnoteReference"/>
        </w:rPr>
        <w:footnoteRef/>
      </w:r>
      <w:r>
        <w:t xml:space="preserve"> </w:t>
      </w:r>
      <w:r w:rsidRPr="007A4A4B">
        <w:rPr>
          <w:sz w:val="16"/>
          <w:szCs w:val="16"/>
        </w:rPr>
        <w:t xml:space="preserve">U.S. Bureau of Labor Statistics, Job Openings: Total Nonfarm [JTSJOL], </w:t>
      </w:r>
      <w:r w:rsidRPr="007A4A4B">
        <w:rPr>
          <w:i/>
          <w:iCs/>
          <w:sz w:val="16"/>
          <w:szCs w:val="16"/>
        </w:rPr>
        <w:t xml:space="preserve">retrieved from FRED, Federal Reserve Bank of St. Louis; </w:t>
      </w:r>
      <w:hyperlink r:id="rId22" w:history="1">
        <w:r w:rsidRPr="00CD6686">
          <w:rPr>
            <w:rStyle w:val="Hyperlink"/>
            <w:i/>
            <w:iCs/>
            <w:sz w:val="16"/>
            <w:szCs w:val="16"/>
          </w:rPr>
          <w:t>https://fred.stlouisfed.org/series/JTSJOL</w:t>
        </w:r>
      </w:hyperlink>
      <w:r w:rsidRPr="007A4A4B">
        <w:rPr>
          <w:i/>
          <w:iCs/>
          <w:sz w:val="16"/>
          <w:szCs w:val="16"/>
        </w:rPr>
        <w:t xml:space="preserve">, </w:t>
      </w:r>
      <w:r w:rsidR="004D3A04">
        <w:rPr>
          <w:i/>
          <w:iCs/>
          <w:sz w:val="16"/>
          <w:szCs w:val="16"/>
        </w:rPr>
        <w:t>Jul</w:t>
      </w:r>
      <w:r w:rsidRPr="007A4A4B">
        <w:rPr>
          <w:i/>
          <w:iCs/>
          <w:sz w:val="16"/>
          <w:szCs w:val="16"/>
        </w:rPr>
        <w:t xml:space="preserve"> </w:t>
      </w:r>
      <w:r w:rsidR="002B5FDA">
        <w:rPr>
          <w:i/>
          <w:iCs/>
          <w:sz w:val="16"/>
          <w:szCs w:val="16"/>
        </w:rPr>
        <w:t>31</w:t>
      </w:r>
      <w:r w:rsidRPr="007A4A4B">
        <w:rPr>
          <w:i/>
          <w:iCs/>
          <w:sz w:val="16"/>
          <w:szCs w:val="16"/>
        </w:rPr>
        <w:t>, 2022</w:t>
      </w:r>
      <w:r>
        <w:rPr>
          <w:i/>
          <w:iCs/>
          <w:sz w:val="16"/>
          <w:szCs w:val="16"/>
        </w:rPr>
        <w:t>.</w:t>
      </w:r>
    </w:p>
  </w:footnote>
  <w:footnote w:id="23">
    <w:p w14:paraId="181B2D4A" w14:textId="5F5CB53F"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3"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sidR="006364F6">
        <w:rPr>
          <w:rFonts w:cstheme="minorHAnsi"/>
          <w:i/>
          <w:iCs/>
          <w:color w:val="222222"/>
          <w:sz w:val="16"/>
          <w:szCs w:val="16"/>
          <w:shd w:val="clear" w:color="auto" w:fill="FFFFFF"/>
        </w:rPr>
        <w:t>Jul 31</w:t>
      </w:r>
      <w:r w:rsidR="006528B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202</w:t>
      </w:r>
      <w:r w:rsidR="006528B7">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4">
    <w:p w14:paraId="041DBB1A" w14:textId="30839A5B"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4"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sidR="00F151F3">
        <w:rPr>
          <w:rFonts w:cstheme="minorHAnsi"/>
          <w:i/>
          <w:iCs/>
          <w:color w:val="222222"/>
          <w:sz w:val="16"/>
          <w:szCs w:val="16"/>
          <w:shd w:val="clear" w:color="auto" w:fill="FFFFFF"/>
        </w:rPr>
        <w:t>Jul</w:t>
      </w:r>
      <w:r w:rsidR="00E16DF8">
        <w:rPr>
          <w:rFonts w:cstheme="minorHAnsi"/>
          <w:i/>
          <w:iCs/>
          <w:color w:val="222222"/>
          <w:sz w:val="16"/>
          <w:szCs w:val="16"/>
          <w:shd w:val="clear" w:color="auto" w:fill="FFFFFF"/>
        </w:rPr>
        <w:t xml:space="preserve"> </w:t>
      </w:r>
      <w:r w:rsidR="00F151F3">
        <w:rPr>
          <w:rFonts w:cstheme="minorHAnsi"/>
          <w:i/>
          <w:iCs/>
          <w:color w:val="222222"/>
          <w:sz w:val="16"/>
          <w:szCs w:val="16"/>
          <w:shd w:val="clear" w:color="auto" w:fill="FFFFFF"/>
        </w:rPr>
        <w:t>31</w:t>
      </w:r>
      <w:r w:rsidR="006528B7">
        <w:rPr>
          <w:rFonts w:cstheme="minorHAnsi"/>
          <w:i/>
          <w:iCs/>
          <w:color w:val="222222"/>
          <w:sz w:val="16"/>
          <w:szCs w:val="16"/>
          <w:shd w:val="clear" w:color="auto" w:fill="FFFFFF"/>
        </w:rPr>
        <w:t>, 2022</w:t>
      </w:r>
      <w:r w:rsidRPr="002024E2">
        <w:rPr>
          <w:rFonts w:cstheme="minorHAnsi"/>
          <w:i/>
          <w:iCs/>
          <w:color w:val="222222"/>
          <w:sz w:val="16"/>
          <w:szCs w:val="16"/>
          <w:shd w:val="clear" w:color="auto" w:fill="FFFFFF"/>
        </w:rPr>
        <w:t>.</w:t>
      </w:r>
    </w:p>
  </w:footnote>
  <w:footnote w:id="25">
    <w:p w14:paraId="7DB2BDE1" w14:textId="4E5CFDA5"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5"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F151F3">
        <w:rPr>
          <w:rFonts w:cstheme="minorHAnsi"/>
          <w:i/>
          <w:iCs/>
          <w:color w:val="222222"/>
          <w:sz w:val="16"/>
          <w:szCs w:val="16"/>
          <w:shd w:val="clear" w:color="auto" w:fill="FFFFFF"/>
        </w:rPr>
        <w:t>Jul 28</w:t>
      </w:r>
      <w:r w:rsidR="00EF1F20">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26">
    <w:p w14:paraId="739A6C3B" w14:textId="5CBCA5C4" w:rsidR="00EF1F20" w:rsidRPr="00EF1F20" w:rsidRDefault="00EF1F20">
      <w:pPr>
        <w:pStyle w:val="FootnoteText"/>
        <w:rPr>
          <w:sz w:val="16"/>
          <w:szCs w:val="16"/>
          <w:lang w:val="en-PH"/>
        </w:rPr>
      </w:pPr>
      <w:r>
        <w:rPr>
          <w:rStyle w:val="FootnoteReference"/>
        </w:rPr>
        <w:footnoteRef/>
      </w:r>
      <w:r>
        <w:t xml:space="preserve"> </w:t>
      </w:r>
      <w:r w:rsidRPr="00EF1F20">
        <w:rPr>
          <w:sz w:val="16"/>
          <w:szCs w:val="16"/>
          <w:lang w:val="en-PH"/>
        </w:rPr>
        <w:t xml:space="preserve">U.S. Bureau of Labor Statistics, Consumer Price Index for All Urban Consumers: All Items Less Energy in U.S. City Average [CPILEGSL], </w:t>
      </w:r>
      <w:r w:rsidRPr="00EF1F20">
        <w:rPr>
          <w:i/>
          <w:iCs/>
          <w:sz w:val="16"/>
          <w:szCs w:val="16"/>
          <w:lang w:val="en-PH"/>
        </w:rPr>
        <w:t xml:space="preserve">retrieved from FRED, Federal Reserve Bank of St. Louis; </w:t>
      </w:r>
      <w:hyperlink r:id="rId26" w:history="1">
        <w:r w:rsidRPr="00EF1F20">
          <w:rPr>
            <w:rStyle w:val="Hyperlink"/>
            <w:rFonts w:cstheme="minorHAnsi"/>
            <w:i/>
            <w:iCs/>
            <w:sz w:val="16"/>
            <w:szCs w:val="16"/>
            <w:shd w:val="clear" w:color="auto" w:fill="FFFFFF"/>
          </w:rPr>
          <w:t>https://fred.stlouisfed.org/series/CPILEGSL</w:t>
        </w:r>
      </w:hyperlink>
      <w:r w:rsidRPr="00EF1F20">
        <w:rPr>
          <w:i/>
          <w:iCs/>
          <w:sz w:val="16"/>
          <w:szCs w:val="16"/>
          <w:lang w:val="en-PH"/>
        </w:rPr>
        <w:t xml:space="preserve">, </w:t>
      </w:r>
      <w:r w:rsidR="00F151F3">
        <w:rPr>
          <w:i/>
          <w:iCs/>
          <w:sz w:val="16"/>
          <w:szCs w:val="16"/>
          <w:lang w:val="en-PH"/>
        </w:rPr>
        <w:t>Jul 28,</w:t>
      </w:r>
      <w:r w:rsidRPr="00EF1F20">
        <w:rPr>
          <w:i/>
          <w:iCs/>
          <w:sz w:val="16"/>
          <w:szCs w:val="16"/>
          <w:lang w:val="en-PH"/>
        </w:rPr>
        <w:t xml:space="preserve"> 2022</w:t>
      </w:r>
      <w:r w:rsidRPr="00EF1F20">
        <w:rPr>
          <w:sz w:val="16"/>
          <w:szCs w:val="16"/>
          <w:lang w:val="en-PH"/>
        </w:rPr>
        <w:t>.</w:t>
      </w:r>
    </w:p>
  </w:footnote>
  <w:footnote w:id="27">
    <w:p w14:paraId="46D1616A" w14:textId="4A066424"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7" w:history="1">
        <w:r w:rsidRPr="006859BA">
          <w:rPr>
            <w:rStyle w:val="Hyperlink"/>
            <w:i/>
            <w:iCs/>
            <w:sz w:val="16"/>
            <w:szCs w:val="16"/>
            <w:lang w:val="en-PH"/>
          </w:rPr>
          <w:t>https://fred.stlouisfed.org/series/APU000074714</w:t>
        </w:r>
      </w:hyperlink>
      <w:r w:rsidRPr="006859BA">
        <w:rPr>
          <w:i/>
          <w:iCs/>
          <w:sz w:val="16"/>
          <w:szCs w:val="16"/>
          <w:lang w:val="en-PH"/>
        </w:rPr>
        <w:t xml:space="preserve">, </w:t>
      </w:r>
      <w:r w:rsidR="00F151F3">
        <w:rPr>
          <w:i/>
          <w:iCs/>
          <w:sz w:val="16"/>
          <w:szCs w:val="16"/>
          <w:lang w:val="en-PH"/>
        </w:rPr>
        <w:t>Jul 28</w:t>
      </w:r>
      <w:r w:rsidRPr="006859BA">
        <w:rPr>
          <w:i/>
          <w:iCs/>
          <w:sz w:val="16"/>
          <w:szCs w:val="16"/>
          <w:lang w:val="en-PH"/>
        </w:rPr>
        <w:t>, 202</w:t>
      </w:r>
      <w:r w:rsidR="00A94F52">
        <w:rPr>
          <w:i/>
          <w:iCs/>
          <w:sz w:val="16"/>
          <w:szCs w:val="16"/>
          <w:lang w:val="en-PH"/>
        </w:rPr>
        <w:t>2</w:t>
      </w:r>
      <w:r w:rsidRPr="006859BA">
        <w:rPr>
          <w:i/>
          <w:iCs/>
          <w:sz w:val="16"/>
          <w:szCs w:val="16"/>
          <w:lang w:val="en-PH"/>
        </w:rPr>
        <w:t>.</w:t>
      </w:r>
    </w:p>
  </w:footnote>
  <w:footnote w:id="28">
    <w:p w14:paraId="0C7EB8BC" w14:textId="61C11AD2"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8"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B92E54">
        <w:rPr>
          <w:rFonts w:cstheme="minorHAnsi"/>
          <w:i/>
          <w:iCs/>
          <w:color w:val="222222"/>
          <w:sz w:val="16"/>
          <w:szCs w:val="16"/>
          <w:shd w:val="clear" w:color="auto" w:fill="FFFFFF"/>
        </w:rPr>
        <w:t>Jul 31</w:t>
      </w:r>
      <w:r>
        <w:rPr>
          <w:rFonts w:cstheme="minorHAnsi"/>
          <w:i/>
          <w:iCs/>
          <w:color w:val="222222"/>
          <w:sz w:val="16"/>
          <w:szCs w:val="16"/>
          <w:shd w:val="clear" w:color="auto" w:fill="FFFFFF"/>
        </w:rPr>
        <w:t>, 202</w:t>
      </w:r>
      <w:r w:rsidR="00981BE4">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9">
    <w:p w14:paraId="1E8CCC61" w14:textId="13B5DE94"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9"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sidR="009839F3">
        <w:rPr>
          <w:rFonts w:cstheme="minorHAnsi"/>
          <w:i/>
          <w:iCs/>
          <w:color w:val="222222"/>
          <w:sz w:val="16"/>
          <w:szCs w:val="16"/>
          <w:shd w:val="clear" w:color="auto" w:fill="FFFFFF"/>
        </w:rPr>
        <w:t>Apr 29</w:t>
      </w:r>
      <w:r w:rsidR="00245B33">
        <w:rPr>
          <w:rFonts w:cstheme="minorHAnsi"/>
          <w:i/>
          <w:iCs/>
          <w:color w:val="222222"/>
          <w:sz w:val="16"/>
          <w:szCs w:val="16"/>
          <w:shd w:val="clear" w:color="auto" w:fill="FFFFFF"/>
        </w:rPr>
        <w:t>, 2022</w:t>
      </w:r>
      <w:r w:rsidRPr="000322F4">
        <w:rPr>
          <w:rFonts w:cstheme="minorHAnsi"/>
          <w:i/>
          <w:iCs/>
          <w:color w:val="222222"/>
          <w:sz w:val="16"/>
          <w:szCs w:val="16"/>
          <w:shd w:val="clear" w:color="auto" w:fill="FFFFFF"/>
        </w:rPr>
        <w:t>.</w:t>
      </w:r>
    </w:p>
  </w:footnote>
  <w:footnote w:id="30">
    <w:p w14:paraId="1C900108" w14:textId="79E9039B"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30"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xml:space="preserve">, </w:t>
      </w:r>
      <w:r w:rsidR="00DD1434">
        <w:rPr>
          <w:rFonts w:cstheme="minorHAnsi"/>
          <w:i/>
          <w:iCs/>
          <w:color w:val="222222"/>
          <w:sz w:val="16"/>
          <w:szCs w:val="16"/>
          <w:shd w:val="clear" w:color="auto" w:fill="FFFFFF"/>
        </w:rPr>
        <w:t>Apr 29</w:t>
      </w:r>
      <w:r w:rsidR="00245B33">
        <w:rPr>
          <w:rFonts w:cstheme="minorHAnsi"/>
          <w:i/>
          <w:iCs/>
          <w:color w:val="222222"/>
          <w:sz w:val="16"/>
          <w:szCs w:val="16"/>
          <w:shd w:val="clear" w:color="auto" w:fill="FFFFFF"/>
        </w:rPr>
        <w:t>, 2022</w:t>
      </w:r>
      <w:r w:rsidRPr="000322F4">
        <w:rPr>
          <w:rFonts w:cstheme="minorHAnsi"/>
          <w:i/>
          <w:iCs/>
          <w:color w:val="222222"/>
          <w:sz w:val="16"/>
          <w:szCs w:val="16"/>
          <w:shd w:val="clear" w:color="auto" w:fill="FFFFFF"/>
        </w:rPr>
        <w:t>.</w:t>
      </w:r>
    </w:p>
  </w:footnote>
  <w:footnote w:id="31">
    <w:p w14:paraId="11221A52" w14:textId="7CCF2DF8"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31"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BC2F02">
        <w:rPr>
          <w:rFonts w:cstheme="minorHAnsi"/>
          <w:i/>
          <w:iCs/>
          <w:color w:val="222222"/>
          <w:sz w:val="16"/>
          <w:szCs w:val="16"/>
          <w:shd w:val="clear" w:color="auto" w:fill="FFFFFF"/>
        </w:rPr>
        <w:t>Jul 31</w:t>
      </w:r>
      <w:r w:rsidR="00B403A1">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2">
    <w:p w14:paraId="6A794CBD" w14:textId="40A7C9BE"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32"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BC2F02">
        <w:rPr>
          <w:rFonts w:cstheme="minorHAnsi"/>
          <w:i/>
          <w:iCs/>
          <w:color w:val="222222"/>
          <w:sz w:val="16"/>
          <w:szCs w:val="16"/>
          <w:shd w:val="clear" w:color="auto" w:fill="FFFFFF"/>
        </w:rPr>
        <w:t>Jul 31</w:t>
      </w:r>
      <w:r w:rsidR="00B403A1">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3">
    <w:p w14:paraId="48E5411D" w14:textId="6EBCDEAB"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33"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234C71">
        <w:rPr>
          <w:rFonts w:cstheme="minorHAnsi"/>
          <w:i/>
          <w:iCs/>
          <w:color w:val="222222"/>
          <w:sz w:val="16"/>
          <w:szCs w:val="16"/>
          <w:shd w:val="clear" w:color="auto" w:fill="FFFFFF"/>
        </w:rPr>
        <w:t>Jul</w:t>
      </w:r>
      <w:r w:rsidR="00FB2D2D">
        <w:rPr>
          <w:rFonts w:cstheme="minorHAnsi"/>
          <w:i/>
          <w:iCs/>
          <w:color w:val="222222"/>
          <w:sz w:val="16"/>
          <w:szCs w:val="16"/>
          <w:shd w:val="clear" w:color="auto" w:fill="FFFFFF"/>
        </w:rPr>
        <w:t xml:space="preserve"> 29</w:t>
      </w:r>
      <w:r w:rsidR="006A656A">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4">
    <w:p w14:paraId="3C84FE4A" w14:textId="573E50D2"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4"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234C71">
        <w:rPr>
          <w:rFonts w:cstheme="minorHAnsi"/>
          <w:i/>
          <w:iCs/>
          <w:color w:val="222222"/>
          <w:sz w:val="16"/>
          <w:szCs w:val="16"/>
          <w:shd w:val="clear" w:color="auto" w:fill="FFFFFF"/>
        </w:rPr>
        <w:t>Jul 31</w:t>
      </w:r>
      <w:r w:rsidR="006A656A">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5">
    <w:p w14:paraId="08E11874" w14:textId="56AF2C36"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sidR="000D503C">
        <w:rPr>
          <w:rFonts w:cstheme="minorHAnsi"/>
          <w:i/>
          <w:iCs/>
          <w:color w:val="222222"/>
          <w:sz w:val="16"/>
          <w:szCs w:val="16"/>
          <w:shd w:val="clear" w:color="auto" w:fill="FFFFFF"/>
        </w:rPr>
        <w:t>Jul 31</w:t>
      </w:r>
      <w:r w:rsidR="00A37DC4" w:rsidRPr="00A37DC4">
        <w:rPr>
          <w:rFonts w:cstheme="minorHAnsi"/>
          <w:i/>
          <w:iCs/>
          <w:color w:val="222222"/>
          <w:sz w:val="16"/>
          <w:szCs w:val="16"/>
          <w:shd w:val="clear" w:color="auto" w:fill="FFFFFF"/>
        </w:rPr>
        <w:t>,</w:t>
      </w:r>
      <w:r w:rsidR="006A656A" w:rsidRPr="00A37DC4">
        <w:rPr>
          <w:rFonts w:cstheme="minorHAnsi"/>
          <w:i/>
          <w:iCs/>
          <w:color w:val="222222"/>
          <w:sz w:val="16"/>
          <w:szCs w:val="16"/>
          <w:shd w:val="clear" w:color="auto" w:fill="FFFFFF"/>
        </w:rPr>
        <w:t xml:space="preserve"> 2022</w:t>
      </w:r>
      <w:r w:rsidRPr="00BF5CE2">
        <w:rPr>
          <w:rFonts w:cstheme="minorHAnsi"/>
          <w:i/>
          <w:iCs/>
          <w:color w:val="222222"/>
          <w:sz w:val="16"/>
          <w:szCs w:val="16"/>
          <w:shd w:val="clear" w:color="auto" w:fill="FFFFFF"/>
        </w:rPr>
        <w:t>.</w:t>
      </w:r>
    </w:p>
  </w:footnote>
  <w:footnote w:id="36">
    <w:p w14:paraId="1FBBD940" w14:textId="3DB9B462" w:rsidR="00B36811" w:rsidRPr="00D822BB" w:rsidRDefault="00B36811" w:rsidP="00B92952">
      <w:pPr>
        <w:pStyle w:val="FootnoteText"/>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w:t>
      </w:r>
      <w:r w:rsidRPr="00B92952">
        <w:rPr>
          <w:rFonts w:cstheme="minorHAnsi"/>
          <w:i/>
          <w:iCs/>
          <w:color w:val="222222"/>
          <w:sz w:val="16"/>
          <w:szCs w:val="16"/>
          <w:shd w:val="clear" w:color="auto" w:fill="FFFFFF"/>
        </w:rPr>
        <w:t>Federal</w:t>
      </w:r>
      <w:r w:rsidRPr="00D822BB">
        <w:rPr>
          <w:i/>
          <w:iCs/>
          <w:sz w:val="16"/>
          <w:szCs w:val="16"/>
          <w:lang w:val="en-PH"/>
        </w:rPr>
        <w:t xml:space="preserve"> Reserve Bank of St. Louis; </w:t>
      </w:r>
      <w:hyperlink r:id="rId35" w:history="1">
        <w:r w:rsidRPr="00D822BB">
          <w:rPr>
            <w:rStyle w:val="Hyperlink"/>
            <w:i/>
            <w:iCs/>
            <w:sz w:val="16"/>
            <w:szCs w:val="16"/>
            <w:lang w:val="en-PH"/>
          </w:rPr>
          <w:t>https://fred.stlouisfed.org/series/CUUR0000SETA01</w:t>
        </w:r>
      </w:hyperlink>
      <w:r w:rsidRPr="00D822BB">
        <w:rPr>
          <w:i/>
          <w:iCs/>
          <w:sz w:val="16"/>
          <w:szCs w:val="16"/>
          <w:lang w:val="en-PH"/>
        </w:rPr>
        <w:t xml:space="preserve">, </w:t>
      </w:r>
      <w:r w:rsidR="000D503C">
        <w:rPr>
          <w:rFonts w:cstheme="minorHAnsi"/>
          <w:i/>
          <w:iCs/>
          <w:color w:val="222222"/>
          <w:sz w:val="16"/>
          <w:szCs w:val="16"/>
          <w:shd w:val="clear" w:color="auto" w:fill="FFFFFF"/>
        </w:rPr>
        <w:t>Jul 31</w:t>
      </w:r>
      <w:r w:rsidR="00B92952">
        <w:rPr>
          <w:i/>
          <w:iCs/>
          <w:sz w:val="16"/>
          <w:szCs w:val="16"/>
          <w:lang w:val="en-PH"/>
        </w:rPr>
        <w:t>, 2022</w:t>
      </w:r>
      <w:r w:rsidRPr="00D822BB">
        <w:rPr>
          <w:i/>
          <w:iCs/>
          <w:sz w:val="16"/>
          <w:szCs w:val="16"/>
          <w:lang w:val="en-PH"/>
        </w:rPr>
        <w:t>.</w:t>
      </w:r>
    </w:p>
  </w:footnote>
  <w:footnote w:id="37">
    <w:p w14:paraId="1D43F300" w14:textId="526005CF"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6" w:history="1">
        <w:r w:rsidRPr="00D822BB">
          <w:rPr>
            <w:rStyle w:val="Hyperlink"/>
            <w:i/>
            <w:iCs/>
            <w:sz w:val="16"/>
            <w:szCs w:val="16"/>
          </w:rPr>
          <w:t>https://fred.stlouisfed.org/series/CUSR0000SETA02</w:t>
        </w:r>
      </w:hyperlink>
      <w:r>
        <w:t xml:space="preserve">, </w:t>
      </w:r>
      <w:r w:rsidR="000D503C">
        <w:rPr>
          <w:rFonts w:cstheme="minorHAnsi"/>
          <w:i/>
          <w:iCs/>
          <w:color w:val="222222"/>
          <w:sz w:val="16"/>
          <w:szCs w:val="16"/>
          <w:shd w:val="clear" w:color="auto" w:fill="FFFFFF"/>
        </w:rPr>
        <w:t>Jul 31</w:t>
      </w:r>
      <w:r w:rsidR="00B92952">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8">
    <w:p w14:paraId="01357EF0" w14:textId="2D138BE3"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7" w:history="1">
        <w:r w:rsidRPr="00364347">
          <w:rPr>
            <w:rStyle w:val="Hyperlink"/>
            <w:i/>
            <w:iCs/>
            <w:sz w:val="16"/>
            <w:szCs w:val="16"/>
            <w:lang w:val="en-PH"/>
          </w:rPr>
          <w:t>https://fred.stlouisfed.org/series/UMCSENT</w:t>
        </w:r>
      </w:hyperlink>
      <w:r w:rsidRPr="00364347">
        <w:rPr>
          <w:i/>
          <w:iCs/>
          <w:sz w:val="16"/>
          <w:szCs w:val="16"/>
          <w:lang w:val="en-PH"/>
        </w:rPr>
        <w:t xml:space="preserve">, </w:t>
      </w:r>
      <w:r w:rsidR="000D503C">
        <w:rPr>
          <w:rFonts w:cstheme="minorHAnsi"/>
          <w:i/>
          <w:iCs/>
          <w:color w:val="222222"/>
          <w:sz w:val="16"/>
          <w:szCs w:val="16"/>
          <w:shd w:val="clear" w:color="auto" w:fill="FFFFFF"/>
        </w:rPr>
        <w:t>Jul</w:t>
      </w:r>
      <w:r w:rsidR="00B0457A">
        <w:rPr>
          <w:rFonts w:cstheme="minorHAnsi"/>
          <w:i/>
          <w:iCs/>
          <w:color w:val="222222"/>
          <w:sz w:val="16"/>
          <w:szCs w:val="16"/>
          <w:shd w:val="clear" w:color="auto" w:fill="FFFFFF"/>
        </w:rPr>
        <w:t xml:space="preserve"> 29</w:t>
      </w:r>
      <w:r>
        <w:rPr>
          <w:i/>
          <w:iCs/>
          <w:sz w:val="16"/>
          <w:szCs w:val="16"/>
          <w:lang w:val="en-PH"/>
        </w:rPr>
        <w:t>, 202</w:t>
      </w:r>
      <w:r w:rsidR="00112619">
        <w:rPr>
          <w:i/>
          <w:iCs/>
          <w:sz w:val="16"/>
          <w:szCs w:val="16"/>
          <w:lang w:val="en-PH"/>
        </w:rPr>
        <w:t>2</w:t>
      </w:r>
      <w:r w:rsidRPr="00364347">
        <w:rPr>
          <w:i/>
          <w:iCs/>
          <w:sz w:val="16"/>
          <w:szCs w:val="16"/>
          <w:lang w:val="en-PH"/>
        </w:rPr>
        <w:t>.</w:t>
      </w:r>
    </w:p>
    <w:p w14:paraId="10C86738" w14:textId="29101548" w:rsidR="00B36811" w:rsidRDefault="00B36811">
      <w:pPr>
        <w:pStyle w:val="FootnoteText"/>
      </w:pPr>
    </w:p>
  </w:footnote>
  <w:footnote w:id="39">
    <w:p w14:paraId="3E58D959" w14:textId="42773431"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8" w:history="1">
        <w:r w:rsidRPr="00364347">
          <w:rPr>
            <w:rStyle w:val="Hyperlink"/>
            <w:i/>
            <w:iCs/>
            <w:sz w:val="16"/>
            <w:szCs w:val="16"/>
          </w:rPr>
          <w:t>https://fred.stlouisfed.org/series/VIXCLS</w:t>
        </w:r>
      </w:hyperlink>
      <w:r w:rsidRPr="00364347">
        <w:rPr>
          <w:i/>
          <w:iCs/>
          <w:sz w:val="16"/>
          <w:szCs w:val="16"/>
        </w:rPr>
        <w:t xml:space="preserve">, </w:t>
      </w:r>
      <w:r w:rsidR="00920AB5">
        <w:rPr>
          <w:i/>
          <w:iCs/>
          <w:sz w:val="16"/>
          <w:szCs w:val="16"/>
        </w:rPr>
        <w:t>Jul</w:t>
      </w:r>
      <w:r w:rsidR="00981947">
        <w:rPr>
          <w:i/>
          <w:iCs/>
          <w:sz w:val="16"/>
          <w:szCs w:val="16"/>
        </w:rPr>
        <w:t xml:space="preserve"> 29</w:t>
      </w:r>
      <w:r w:rsidR="00CB7F52">
        <w:rPr>
          <w:i/>
          <w:iCs/>
          <w:sz w:val="16"/>
          <w:szCs w:val="16"/>
        </w:rPr>
        <w:t>, 2022</w:t>
      </w:r>
      <w:r w:rsidRPr="00364347">
        <w:rPr>
          <w:i/>
          <w:iCs/>
          <w:sz w:val="16"/>
          <w:szCs w:val="16"/>
        </w:rPr>
        <w:t>.</w:t>
      </w:r>
    </w:p>
  </w:footnote>
  <w:footnote w:id="40">
    <w:p w14:paraId="1CF53D3A" w14:textId="4D11CDC7"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9"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920AB5">
        <w:rPr>
          <w:rFonts w:cstheme="minorHAnsi"/>
          <w:i/>
          <w:iCs/>
          <w:color w:val="222222"/>
          <w:sz w:val="16"/>
          <w:szCs w:val="16"/>
          <w:shd w:val="clear" w:color="auto" w:fill="FFFFFF"/>
        </w:rPr>
        <w:t>Jul</w:t>
      </w:r>
      <w:r w:rsidR="00A54ACF">
        <w:rPr>
          <w:rFonts w:cstheme="minorHAnsi"/>
          <w:i/>
          <w:iCs/>
          <w:color w:val="222222"/>
          <w:sz w:val="16"/>
          <w:szCs w:val="16"/>
          <w:shd w:val="clear" w:color="auto" w:fill="FFFFFF"/>
        </w:rPr>
        <w:t xml:space="preserve"> 29</w:t>
      </w:r>
      <w:r w:rsidR="00D04F3A">
        <w:rPr>
          <w:rFonts w:cstheme="minorHAnsi"/>
          <w:i/>
          <w:iCs/>
          <w:color w:val="222222"/>
          <w:sz w:val="16"/>
          <w:szCs w:val="16"/>
          <w:shd w:val="clear" w:color="auto" w:fill="FFFFFF"/>
        </w:rPr>
        <w:t>, 2022</w:t>
      </w:r>
      <w:r w:rsidRPr="002B29C7">
        <w:rPr>
          <w:rFonts w:cstheme="minorHAnsi"/>
          <w:i/>
          <w:iCs/>
          <w:color w:val="222222"/>
          <w:sz w:val="16"/>
          <w:szCs w:val="16"/>
          <w:shd w:val="clear" w:color="auto" w:fill="FFFFFF"/>
        </w:rPr>
        <w:t>.</w:t>
      </w:r>
    </w:p>
  </w:footnote>
  <w:footnote w:id="41">
    <w:p w14:paraId="054982F6" w14:textId="562D3C5E"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40"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920AB5">
        <w:rPr>
          <w:rFonts w:cstheme="minorHAnsi"/>
          <w:i/>
          <w:iCs/>
          <w:color w:val="222222"/>
          <w:sz w:val="16"/>
          <w:szCs w:val="16"/>
          <w:shd w:val="clear" w:color="auto" w:fill="FFFFFF"/>
        </w:rPr>
        <w:t>Jul</w:t>
      </w:r>
      <w:r w:rsidR="00A54ACF">
        <w:rPr>
          <w:rFonts w:cstheme="minorHAnsi"/>
          <w:i/>
          <w:iCs/>
          <w:color w:val="222222"/>
          <w:sz w:val="16"/>
          <w:szCs w:val="16"/>
          <w:shd w:val="clear" w:color="auto" w:fill="FFFFFF"/>
        </w:rPr>
        <w:t xml:space="preserve"> 29</w:t>
      </w:r>
      <w:r w:rsidR="00D04F3A">
        <w:rPr>
          <w:rFonts w:cstheme="minorHAnsi"/>
          <w:i/>
          <w:iCs/>
          <w:color w:val="222222"/>
          <w:sz w:val="16"/>
          <w:szCs w:val="16"/>
          <w:shd w:val="clear" w:color="auto" w:fill="FFFFFF"/>
        </w:rPr>
        <w:t>, 2022</w:t>
      </w:r>
      <w:r w:rsidRPr="00364347">
        <w:rPr>
          <w:rFonts w:cstheme="minorHAnsi"/>
          <w:i/>
          <w:iCs/>
          <w:color w:val="222222"/>
          <w:sz w:val="16"/>
          <w:szCs w:val="16"/>
          <w:shd w:val="clear" w:color="auto" w:fill="FFFFFF"/>
        </w:rPr>
        <w:t>.</w:t>
      </w:r>
    </w:p>
  </w:footnote>
  <w:footnote w:id="42">
    <w:p w14:paraId="4A7DBD07" w14:textId="031BBDB8"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41"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920AB5">
        <w:rPr>
          <w:rFonts w:cstheme="minorHAnsi"/>
          <w:i/>
          <w:iCs/>
          <w:color w:val="222222"/>
          <w:sz w:val="16"/>
          <w:szCs w:val="16"/>
          <w:shd w:val="clear" w:color="auto" w:fill="FFFFFF"/>
        </w:rPr>
        <w:t>Jul</w:t>
      </w:r>
      <w:r w:rsidR="00A54ACF">
        <w:rPr>
          <w:rFonts w:cstheme="minorHAnsi"/>
          <w:i/>
          <w:iCs/>
          <w:color w:val="222222"/>
          <w:sz w:val="16"/>
          <w:szCs w:val="16"/>
          <w:shd w:val="clear" w:color="auto" w:fill="FFFFFF"/>
        </w:rPr>
        <w:t xml:space="preserve"> 29</w:t>
      </w:r>
      <w:r w:rsidR="00D04F3A">
        <w:rPr>
          <w:rFonts w:cstheme="minorHAnsi"/>
          <w:i/>
          <w:iCs/>
          <w:color w:val="222222"/>
          <w:sz w:val="16"/>
          <w:szCs w:val="16"/>
          <w:shd w:val="clear" w:color="auto" w:fill="FFFFFF"/>
        </w:rPr>
        <w:t>, 2022</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220250">
    <w:abstractNumId w:val="1"/>
  </w:num>
  <w:num w:numId="2" w16cid:durableId="192571984">
    <w:abstractNumId w:val="2"/>
  </w:num>
  <w:num w:numId="3" w16cid:durableId="290477922">
    <w:abstractNumId w:val="0"/>
  </w:num>
  <w:num w:numId="4" w16cid:durableId="2023051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48BB"/>
    <w:rsid w:val="00005111"/>
    <w:rsid w:val="00014CBA"/>
    <w:rsid w:val="00015329"/>
    <w:rsid w:val="00021EA4"/>
    <w:rsid w:val="00022BB4"/>
    <w:rsid w:val="00023FB9"/>
    <w:rsid w:val="000248D0"/>
    <w:rsid w:val="00024E64"/>
    <w:rsid w:val="00025568"/>
    <w:rsid w:val="0002602B"/>
    <w:rsid w:val="0002760A"/>
    <w:rsid w:val="00027E1E"/>
    <w:rsid w:val="00030ECA"/>
    <w:rsid w:val="0003136B"/>
    <w:rsid w:val="00031DA4"/>
    <w:rsid w:val="000322F4"/>
    <w:rsid w:val="00033B75"/>
    <w:rsid w:val="000345F7"/>
    <w:rsid w:val="00035810"/>
    <w:rsid w:val="00035F0C"/>
    <w:rsid w:val="00035F9F"/>
    <w:rsid w:val="000360A6"/>
    <w:rsid w:val="0003611B"/>
    <w:rsid w:val="0004025D"/>
    <w:rsid w:val="0004306B"/>
    <w:rsid w:val="0004341A"/>
    <w:rsid w:val="00046A04"/>
    <w:rsid w:val="00047034"/>
    <w:rsid w:val="00047E74"/>
    <w:rsid w:val="00050BF6"/>
    <w:rsid w:val="0005198D"/>
    <w:rsid w:val="00052F94"/>
    <w:rsid w:val="0005394D"/>
    <w:rsid w:val="00053E46"/>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55E2"/>
    <w:rsid w:val="00076744"/>
    <w:rsid w:val="00076850"/>
    <w:rsid w:val="000807FF"/>
    <w:rsid w:val="000841DA"/>
    <w:rsid w:val="00084604"/>
    <w:rsid w:val="00084608"/>
    <w:rsid w:val="00084C45"/>
    <w:rsid w:val="00086DBA"/>
    <w:rsid w:val="000874E3"/>
    <w:rsid w:val="00090DA6"/>
    <w:rsid w:val="00091282"/>
    <w:rsid w:val="00093D9A"/>
    <w:rsid w:val="00093EF4"/>
    <w:rsid w:val="0009699C"/>
    <w:rsid w:val="000A0001"/>
    <w:rsid w:val="000A0FCA"/>
    <w:rsid w:val="000A1224"/>
    <w:rsid w:val="000A239B"/>
    <w:rsid w:val="000A2C4B"/>
    <w:rsid w:val="000A3240"/>
    <w:rsid w:val="000A6B19"/>
    <w:rsid w:val="000A79DC"/>
    <w:rsid w:val="000B0583"/>
    <w:rsid w:val="000B0B86"/>
    <w:rsid w:val="000B42F9"/>
    <w:rsid w:val="000B43C0"/>
    <w:rsid w:val="000B4F85"/>
    <w:rsid w:val="000B5DA2"/>
    <w:rsid w:val="000B6EBB"/>
    <w:rsid w:val="000C117B"/>
    <w:rsid w:val="000C1495"/>
    <w:rsid w:val="000C19DD"/>
    <w:rsid w:val="000C2E7D"/>
    <w:rsid w:val="000C371B"/>
    <w:rsid w:val="000C6EEB"/>
    <w:rsid w:val="000C71C7"/>
    <w:rsid w:val="000D3995"/>
    <w:rsid w:val="000D47AB"/>
    <w:rsid w:val="000D4973"/>
    <w:rsid w:val="000D4AF1"/>
    <w:rsid w:val="000D503C"/>
    <w:rsid w:val="000D5719"/>
    <w:rsid w:val="000D646D"/>
    <w:rsid w:val="000D7BDC"/>
    <w:rsid w:val="000E1BAA"/>
    <w:rsid w:val="000E3192"/>
    <w:rsid w:val="000E5860"/>
    <w:rsid w:val="000E6060"/>
    <w:rsid w:val="000E6A61"/>
    <w:rsid w:val="000F1648"/>
    <w:rsid w:val="000F3008"/>
    <w:rsid w:val="000F4AC6"/>
    <w:rsid w:val="000F59FF"/>
    <w:rsid w:val="000F7F33"/>
    <w:rsid w:val="001009B9"/>
    <w:rsid w:val="00100DF8"/>
    <w:rsid w:val="00102080"/>
    <w:rsid w:val="0010260B"/>
    <w:rsid w:val="00105413"/>
    <w:rsid w:val="001057AF"/>
    <w:rsid w:val="001058D4"/>
    <w:rsid w:val="00105A55"/>
    <w:rsid w:val="00107AB4"/>
    <w:rsid w:val="001116CA"/>
    <w:rsid w:val="00111911"/>
    <w:rsid w:val="00111974"/>
    <w:rsid w:val="00112619"/>
    <w:rsid w:val="00113C90"/>
    <w:rsid w:val="001149CD"/>
    <w:rsid w:val="00115717"/>
    <w:rsid w:val="00116B91"/>
    <w:rsid w:val="00117BB0"/>
    <w:rsid w:val="00121A39"/>
    <w:rsid w:val="00121E2F"/>
    <w:rsid w:val="00122842"/>
    <w:rsid w:val="001235D8"/>
    <w:rsid w:val="001277B9"/>
    <w:rsid w:val="00130055"/>
    <w:rsid w:val="00131885"/>
    <w:rsid w:val="00131A14"/>
    <w:rsid w:val="00132201"/>
    <w:rsid w:val="00134A21"/>
    <w:rsid w:val="00134DA5"/>
    <w:rsid w:val="00137248"/>
    <w:rsid w:val="00140712"/>
    <w:rsid w:val="00140763"/>
    <w:rsid w:val="00140B44"/>
    <w:rsid w:val="00140FEE"/>
    <w:rsid w:val="00142F71"/>
    <w:rsid w:val="001451F8"/>
    <w:rsid w:val="001460CC"/>
    <w:rsid w:val="001475FF"/>
    <w:rsid w:val="0015037B"/>
    <w:rsid w:val="00150655"/>
    <w:rsid w:val="001511FF"/>
    <w:rsid w:val="00152215"/>
    <w:rsid w:val="00153FBB"/>
    <w:rsid w:val="001545F2"/>
    <w:rsid w:val="00155E5F"/>
    <w:rsid w:val="00155E88"/>
    <w:rsid w:val="00156E24"/>
    <w:rsid w:val="00156FE4"/>
    <w:rsid w:val="0016088B"/>
    <w:rsid w:val="00162E77"/>
    <w:rsid w:val="00163F37"/>
    <w:rsid w:val="00164566"/>
    <w:rsid w:val="00166778"/>
    <w:rsid w:val="0016688A"/>
    <w:rsid w:val="00166C08"/>
    <w:rsid w:val="00166F90"/>
    <w:rsid w:val="00171C8E"/>
    <w:rsid w:val="00172307"/>
    <w:rsid w:val="001737B6"/>
    <w:rsid w:val="00173FBF"/>
    <w:rsid w:val="001744C6"/>
    <w:rsid w:val="0017465F"/>
    <w:rsid w:val="00174B44"/>
    <w:rsid w:val="00174BCD"/>
    <w:rsid w:val="00174CC3"/>
    <w:rsid w:val="001756EC"/>
    <w:rsid w:val="0017576B"/>
    <w:rsid w:val="00175A46"/>
    <w:rsid w:val="00176C00"/>
    <w:rsid w:val="00176F91"/>
    <w:rsid w:val="001773AA"/>
    <w:rsid w:val="0018096F"/>
    <w:rsid w:val="00180CA9"/>
    <w:rsid w:val="001819E6"/>
    <w:rsid w:val="00182738"/>
    <w:rsid w:val="001829D2"/>
    <w:rsid w:val="00183B61"/>
    <w:rsid w:val="00186318"/>
    <w:rsid w:val="00186873"/>
    <w:rsid w:val="001868CB"/>
    <w:rsid w:val="00187669"/>
    <w:rsid w:val="00193436"/>
    <w:rsid w:val="001945EC"/>
    <w:rsid w:val="0019513E"/>
    <w:rsid w:val="00195B12"/>
    <w:rsid w:val="001A21D2"/>
    <w:rsid w:val="001A3FBA"/>
    <w:rsid w:val="001A4F9E"/>
    <w:rsid w:val="001A5EDF"/>
    <w:rsid w:val="001A6C86"/>
    <w:rsid w:val="001B1490"/>
    <w:rsid w:val="001B4B76"/>
    <w:rsid w:val="001C0418"/>
    <w:rsid w:val="001C0F2A"/>
    <w:rsid w:val="001C1070"/>
    <w:rsid w:val="001C14A1"/>
    <w:rsid w:val="001C2541"/>
    <w:rsid w:val="001C38B9"/>
    <w:rsid w:val="001C5F4E"/>
    <w:rsid w:val="001C7617"/>
    <w:rsid w:val="001D7D8D"/>
    <w:rsid w:val="001E04F8"/>
    <w:rsid w:val="001E15B0"/>
    <w:rsid w:val="001E26E8"/>
    <w:rsid w:val="001E42A6"/>
    <w:rsid w:val="001E483E"/>
    <w:rsid w:val="001E6FCC"/>
    <w:rsid w:val="001E7445"/>
    <w:rsid w:val="001F297B"/>
    <w:rsid w:val="001F4E3D"/>
    <w:rsid w:val="001F7970"/>
    <w:rsid w:val="0020145F"/>
    <w:rsid w:val="002024E2"/>
    <w:rsid w:val="0020274B"/>
    <w:rsid w:val="00203609"/>
    <w:rsid w:val="00204D9D"/>
    <w:rsid w:val="002108BA"/>
    <w:rsid w:val="00210DB1"/>
    <w:rsid w:val="0021377C"/>
    <w:rsid w:val="00217AD5"/>
    <w:rsid w:val="00220B63"/>
    <w:rsid w:val="002218BC"/>
    <w:rsid w:val="002219B5"/>
    <w:rsid w:val="0022226D"/>
    <w:rsid w:val="0022416D"/>
    <w:rsid w:val="00224BBF"/>
    <w:rsid w:val="0022724A"/>
    <w:rsid w:val="002301AB"/>
    <w:rsid w:val="002308A9"/>
    <w:rsid w:val="00230D29"/>
    <w:rsid w:val="00231BB2"/>
    <w:rsid w:val="00231FA3"/>
    <w:rsid w:val="00232336"/>
    <w:rsid w:val="00234C71"/>
    <w:rsid w:val="00234E76"/>
    <w:rsid w:val="00234F94"/>
    <w:rsid w:val="00235B28"/>
    <w:rsid w:val="002361FB"/>
    <w:rsid w:val="00236B68"/>
    <w:rsid w:val="00237901"/>
    <w:rsid w:val="00237E71"/>
    <w:rsid w:val="002406D9"/>
    <w:rsid w:val="0024113D"/>
    <w:rsid w:val="002435D7"/>
    <w:rsid w:val="00244369"/>
    <w:rsid w:val="00244C4D"/>
    <w:rsid w:val="00245903"/>
    <w:rsid w:val="00245B33"/>
    <w:rsid w:val="002502D5"/>
    <w:rsid w:val="00250313"/>
    <w:rsid w:val="00251456"/>
    <w:rsid w:val="002516C6"/>
    <w:rsid w:val="002521FF"/>
    <w:rsid w:val="0025222E"/>
    <w:rsid w:val="00252A9B"/>
    <w:rsid w:val="002530D7"/>
    <w:rsid w:val="00254176"/>
    <w:rsid w:val="0025469C"/>
    <w:rsid w:val="00254F79"/>
    <w:rsid w:val="00255530"/>
    <w:rsid w:val="00255C11"/>
    <w:rsid w:val="00255C32"/>
    <w:rsid w:val="0025666D"/>
    <w:rsid w:val="00257944"/>
    <w:rsid w:val="002608F3"/>
    <w:rsid w:val="00261A6E"/>
    <w:rsid w:val="0026329B"/>
    <w:rsid w:val="00263EBD"/>
    <w:rsid w:val="00265131"/>
    <w:rsid w:val="0026599C"/>
    <w:rsid w:val="002731EF"/>
    <w:rsid w:val="00273DCA"/>
    <w:rsid w:val="002743DC"/>
    <w:rsid w:val="0027585A"/>
    <w:rsid w:val="002775DB"/>
    <w:rsid w:val="002817E1"/>
    <w:rsid w:val="00281E64"/>
    <w:rsid w:val="0028237E"/>
    <w:rsid w:val="00282C6E"/>
    <w:rsid w:val="00283D6F"/>
    <w:rsid w:val="002857FD"/>
    <w:rsid w:val="00285D03"/>
    <w:rsid w:val="00285F67"/>
    <w:rsid w:val="00291763"/>
    <w:rsid w:val="00291E5B"/>
    <w:rsid w:val="00291FFB"/>
    <w:rsid w:val="00292B24"/>
    <w:rsid w:val="00294A8D"/>
    <w:rsid w:val="00296BEB"/>
    <w:rsid w:val="002972D2"/>
    <w:rsid w:val="00297653"/>
    <w:rsid w:val="002978F9"/>
    <w:rsid w:val="002A0B80"/>
    <w:rsid w:val="002A14C5"/>
    <w:rsid w:val="002A375D"/>
    <w:rsid w:val="002A3CB2"/>
    <w:rsid w:val="002A45E8"/>
    <w:rsid w:val="002A72F6"/>
    <w:rsid w:val="002A764F"/>
    <w:rsid w:val="002B0DF1"/>
    <w:rsid w:val="002B16D0"/>
    <w:rsid w:val="002B29C7"/>
    <w:rsid w:val="002B2BBA"/>
    <w:rsid w:val="002B4308"/>
    <w:rsid w:val="002B5FDA"/>
    <w:rsid w:val="002C0EC8"/>
    <w:rsid w:val="002C1F64"/>
    <w:rsid w:val="002C240B"/>
    <w:rsid w:val="002C261D"/>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ACF"/>
    <w:rsid w:val="002F0CDA"/>
    <w:rsid w:val="002F1660"/>
    <w:rsid w:val="002F1B2A"/>
    <w:rsid w:val="002F1B4B"/>
    <w:rsid w:val="002F1C7B"/>
    <w:rsid w:val="002F3682"/>
    <w:rsid w:val="002F3ADD"/>
    <w:rsid w:val="002F3CE6"/>
    <w:rsid w:val="002F4629"/>
    <w:rsid w:val="002F57B6"/>
    <w:rsid w:val="002F6282"/>
    <w:rsid w:val="002F63F8"/>
    <w:rsid w:val="002F7404"/>
    <w:rsid w:val="002F7417"/>
    <w:rsid w:val="003028B3"/>
    <w:rsid w:val="00303DA5"/>
    <w:rsid w:val="00304B4E"/>
    <w:rsid w:val="003058BA"/>
    <w:rsid w:val="00306B1D"/>
    <w:rsid w:val="003071CD"/>
    <w:rsid w:val="00307A87"/>
    <w:rsid w:val="0031179D"/>
    <w:rsid w:val="00311E77"/>
    <w:rsid w:val="00313A4E"/>
    <w:rsid w:val="00314985"/>
    <w:rsid w:val="003167AC"/>
    <w:rsid w:val="00316CBD"/>
    <w:rsid w:val="00316E8F"/>
    <w:rsid w:val="00317448"/>
    <w:rsid w:val="003175DC"/>
    <w:rsid w:val="00321912"/>
    <w:rsid w:val="00321AA2"/>
    <w:rsid w:val="00322C58"/>
    <w:rsid w:val="00323C75"/>
    <w:rsid w:val="003240BB"/>
    <w:rsid w:val="00327700"/>
    <w:rsid w:val="0033052C"/>
    <w:rsid w:val="003316E9"/>
    <w:rsid w:val="00331CF3"/>
    <w:rsid w:val="00332197"/>
    <w:rsid w:val="00334DE4"/>
    <w:rsid w:val="0033537B"/>
    <w:rsid w:val="00336F2C"/>
    <w:rsid w:val="003376CD"/>
    <w:rsid w:val="00337BD8"/>
    <w:rsid w:val="00340262"/>
    <w:rsid w:val="00340B8A"/>
    <w:rsid w:val="003411C1"/>
    <w:rsid w:val="00341282"/>
    <w:rsid w:val="003412DA"/>
    <w:rsid w:val="003414E7"/>
    <w:rsid w:val="00346350"/>
    <w:rsid w:val="00346E54"/>
    <w:rsid w:val="003477B7"/>
    <w:rsid w:val="003479C3"/>
    <w:rsid w:val="00350673"/>
    <w:rsid w:val="003509E7"/>
    <w:rsid w:val="003531E6"/>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73A3D"/>
    <w:rsid w:val="00376778"/>
    <w:rsid w:val="003802E7"/>
    <w:rsid w:val="003812D0"/>
    <w:rsid w:val="0038144F"/>
    <w:rsid w:val="00381A81"/>
    <w:rsid w:val="00382C86"/>
    <w:rsid w:val="00385105"/>
    <w:rsid w:val="00386023"/>
    <w:rsid w:val="00387C82"/>
    <w:rsid w:val="0039196F"/>
    <w:rsid w:val="00391D3A"/>
    <w:rsid w:val="00392D01"/>
    <w:rsid w:val="00393B78"/>
    <w:rsid w:val="0039421C"/>
    <w:rsid w:val="00394236"/>
    <w:rsid w:val="00395B3E"/>
    <w:rsid w:val="00396E51"/>
    <w:rsid w:val="0039711B"/>
    <w:rsid w:val="0039736B"/>
    <w:rsid w:val="00397F57"/>
    <w:rsid w:val="003A0447"/>
    <w:rsid w:val="003A0B8A"/>
    <w:rsid w:val="003A2900"/>
    <w:rsid w:val="003A390C"/>
    <w:rsid w:val="003A3D8A"/>
    <w:rsid w:val="003A4B97"/>
    <w:rsid w:val="003A4BCC"/>
    <w:rsid w:val="003A4C56"/>
    <w:rsid w:val="003A679B"/>
    <w:rsid w:val="003B0615"/>
    <w:rsid w:val="003B0B22"/>
    <w:rsid w:val="003B2A9D"/>
    <w:rsid w:val="003B2BFB"/>
    <w:rsid w:val="003B4D22"/>
    <w:rsid w:val="003C1A72"/>
    <w:rsid w:val="003C1F24"/>
    <w:rsid w:val="003C2173"/>
    <w:rsid w:val="003C4023"/>
    <w:rsid w:val="003C4CAF"/>
    <w:rsid w:val="003D112A"/>
    <w:rsid w:val="003D1D39"/>
    <w:rsid w:val="003D3C51"/>
    <w:rsid w:val="003D4159"/>
    <w:rsid w:val="003D52B8"/>
    <w:rsid w:val="003D5D19"/>
    <w:rsid w:val="003E18DF"/>
    <w:rsid w:val="003E282E"/>
    <w:rsid w:val="003E3039"/>
    <w:rsid w:val="003E3E2D"/>
    <w:rsid w:val="003E4ACB"/>
    <w:rsid w:val="003E5CFB"/>
    <w:rsid w:val="003E62D6"/>
    <w:rsid w:val="003F007D"/>
    <w:rsid w:val="003F14BE"/>
    <w:rsid w:val="003F2FE7"/>
    <w:rsid w:val="003F4CDB"/>
    <w:rsid w:val="003F5061"/>
    <w:rsid w:val="004005A4"/>
    <w:rsid w:val="00401A65"/>
    <w:rsid w:val="0040211C"/>
    <w:rsid w:val="00403355"/>
    <w:rsid w:val="00404E89"/>
    <w:rsid w:val="0040653A"/>
    <w:rsid w:val="0041138E"/>
    <w:rsid w:val="00411404"/>
    <w:rsid w:val="00411A4C"/>
    <w:rsid w:val="00412C1A"/>
    <w:rsid w:val="004134F4"/>
    <w:rsid w:val="00413EE3"/>
    <w:rsid w:val="00413F0F"/>
    <w:rsid w:val="00421F60"/>
    <w:rsid w:val="0042476E"/>
    <w:rsid w:val="00424E74"/>
    <w:rsid w:val="00426A6A"/>
    <w:rsid w:val="00427110"/>
    <w:rsid w:val="0042719D"/>
    <w:rsid w:val="0043016A"/>
    <w:rsid w:val="00440FEB"/>
    <w:rsid w:val="00442163"/>
    <w:rsid w:val="00442565"/>
    <w:rsid w:val="00442A7A"/>
    <w:rsid w:val="00442BF6"/>
    <w:rsid w:val="00442D2A"/>
    <w:rsid w:val="00443A15"/>
    <w:rsid w:val="00445A11"/>
    <w:rsid w:val="00446C08"/>
    <w:rsid w:val="004476DE"/>
    <w:rsid w:val="00447E7F"/>
    <w:rsid w:val="00447F8B"/>
    <w:rsid w:val="00450276"/>
    <w:rsid w:val="004506CC"/>
    <w:rsid w:val="0045095D"/>
    <w:rsid w:val="0045097E"/>
    <w:rsid w:val="004513EB"/>
    <w:rsid w:val="00451755"/>
    <w:rsid w:val="00452720"/>
    <w:rsid w:val="00453708"/>
    <w:rsid w:val="00453738"/>
    <w:rsid w:val="00454F4B"/>
    <w:rsid w:val="0045550A"/>
    <w:rsid w:val="00455D78"/>
    <w:rsid w:val="0045641F"/>
    <w:rsid w:val="00456741"/>
    <w:rsid w:val="00457E1D"/>
    <w:rsid w:val="00460436"/>
    <w:rsid w:val="00460DE2"/>
    <w:rsid w:val="00460E43"/>
    <w:rsid w:val="00463560"/>
    <w:rsid w:val="00466612"/>
    <w:rsid w:val="00466861"/>
    <w:rsid w:val="00467365"/>
    <w:rsid w:val="00467AB1"/>
    <w:rsid w:val="004709B0"/>
    <w:rsid w:val="004759DB"/>
    <w:rsid w:val="004778D8"/>
    <w:rsid w:val="0048128D"/>
    <w:rsid w:val="0048403A"/>
    <w:rsid w:val="004846E4"/>
    <w:rsid w:val="004903C9"/>
    <w:rsid w:val="004907DA"/>
    <w:rsid w:val="00490AFD"/>
    <w:rsid w:val="0049134B"/>
    <w:rsid w:val="0049182B"/>
    <w:rsid w:val="00491B4B"/>
    <w:rsid w:val="00493CF1"/>
    <w:rsid w:val="004940F1"/>
    <w:rsid w:val="00494933"/>
    <w:rsid w:val="004965CE"/>
    <w:rsid w:val="00496E13"/>
    <w:rsid w:val="004A0649"/>
    <w:rsid w:val="004A0947"/>
    <w:rsid w:val="004A0ABB"/>
    <w:rsid w:val="004A4BD1"/>
    <w:rsid w:val="004A707E"/>
    <w:rsid w:val="004B047B"/>
    <w:rsid w:val="004B2BFB"/>
    <w:rsid w:val="004B2DF4"/>
    <w:rsid w:val="004B3923"/>
    <w:rsid w:val="004B3B5E"/>
    <w:rsid w:val="004B3D9F"/>
    <w:rsid w:val="004B5284"/>
    <w:rsid w:val="004B6D7A"/>
    <w:rsid w:val="004B76BB"/>
    <w:rsid w:val="004B7D92"/>
    <w:rsid w:val="004C1749"/>
    <w:rsid w:val="004C20AB"/>
    <w:rsid w:val="004C3365"/>
    <w:rsid w:val="004C587A"/>
    <w:rsid w:val="004C6B76"/>
    <w:rsid w:val="004D0515"/>
    <w:rsid w:val="004D099A"/>
    <w:rsid w:val="004D1BCA"/>
    <w:rsid w:val="004D1C9D"/>
    <w:rsid w:val="004D1DA4"/>
    <w:rsid w:val="004D3A04"/>
    <w:rsid w:val="004E1574"/>
    <w:rsid w:val="004E2AB3"/>
    <w:rsid w:val="004E2C09"/>
    <w:rsid w:val="004E3393"/>
    <w:rsid w:val="004E3F0B"/>
    <w:rsid w:val="004E4A45"/>
    <w:rsid w:val="004E4B6F"/>
    <w:rsid w:val="004E5EC0"/>
    <w:rsid w:val="004E7265"/>
    <w:rsid w:val="004F1136"/>
    <w:rsid w:val="004F1527"/>
    <w:rsid w:val="004F2735"/>
    <w:rsid w:val="004F307A"/>
    <w:rsid w:val="004F330B"/>
    <w:rsid w:val="004F3ADA"/>
    <w:rsid w:val="004F4F4F"/>
    <w:rsid w:val="004F55C9"/>
    <w:rsid w:val="004F67A9"/>
    <w:rsid w:val="004F73C7"/>
    <w:rsid w:val="00502B32"/>
    <w:rsid w:val="00504F45"/>
    <w:rsid w:val="00507645"/>
    <w:rsid w:val="00507B5A"/>
    <w:rsid w:val="005117CA"/>
    <w:rsid w:val="005125AE"/>
    <w:rsid w:val="005127D3"/>
    <w:rsid w:val="00515DB3"/>
    <w:rsid w:val="00515E9D"/>
    <w:rsid w:val="00516EDD"/>
    <w:rsid w:val="005200CA"/>
    <w:rsid w:val="0052077C"/>
    <w:rsid w:val="00521F1D"/>
    <w:rsid w:val="005232D6"/>
    <w:rsid w:val="00525C1B"/>
    <w:rsid w:val="005261C1"/>
    <w:rsid w:val="00532A06"/>
    <w:rsid w:val="005356B5"/>
    <w:rsid w:val="00536754"/>
    <w:rsid w:val="00536AD4"/>
    <w:rsid w:val="00536B00"/>
    <w:rsid w:val="00536ED9"/>
    <w:rsid w:val="005378C5"/>
    <w:rsid w:val="00537FF8"/>
    <w:rsid w:val="00540D2B"/>
    <w:rsid w:val="00541D29"/>
    <w:rsid w:val="005425D7"/>
    <w:rsid w:val="00542F5A"/>
    <w:rsid w:val="00544623"/>
    <w:rsid w:val="005469DE"/>
    <w:rsid w:val="005475F2"/>
    <w:rsid w:val="0055033B"/>
    <w:rsid w:val="005505E0"/>
    <w:rsid w:val="005505E5"/>
    <w:rsid w:val="00550C7C"/>
    <w:rsid w:val="00551864"/>
    <w:rsid w:val="00551B4D"/>
    <w:rsid w:val="00551CFE"/>
    <w:rsid w:val="00554121"/>
    <w:rsid w:val="005554F5"/>
    <w:rsid w:val="0055555A"/>
    <w:rsid w:val="005563D4"/>
    <w:rsid w:val="0055673A"/>
    <w:rsid w:val="00556EAD"/>
    <w:rsid w:val="00557239"/>
    <w:rsid w:val="005573A8"/>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30E"/>
    <w:rsid w:val="00583BEE"/>
    <w:rsid w:val="00584B8E"/>
    <w:rsid w:val="00587C5A"/>
    <w:rsid w:val="00590322"/>
    <w:rsid w:val="005917C1"/>
    <w:rsid w:val="00591A62"/>
    <w:rsid w:val="005933D9"/>
    <w:rsid w:val="00594B4A"/>
    <w:rsid w:val="005954B1"/>
    <w:rsid w:val="005A0EC4"/>
    <w:rsid w:val="005A5F06"/>
    <w:rsid w:val="005A693F"/>
    <w:rsid w:val="005B1168"/>
    <w:rsid w:val="005B1ACA"/>
    <w:rsid w:val="005B2ED9"/>
    <w:rsid w:val="005B40E5"/>
    <w:rsid w:val="005B7A7E"/>
    <w:rsid w:val="005C021F"/>
    <w:rsid w:val="005C0423"/>
    <w:rsid w:val="005C0A6E"/>
    <w:rsid w:val="005C0D2D"/>
    <w:rsid w:val="005C2215"/>
    <w:rsid w:val="005C22CA"/>
    <w:rsid w:val="005C2F47"/>
    <w:rsid w:val="005C493F"/>
    <w:rsid w:val="005C532B"/>
    <w:rsid w:val="005C6411"/>
    <w:rsid w:val="005C6CD5"/>
    <w:rsid w:val="005C6F0D"/>
    <w:rsid w:val="005C771E"/>
    <w:rsid w:val="005D022C"/>
    <w:rsid w:val="005D06C9"/>
    <w:rsid w:val="005D1E0A"/>
    <w:rsid w:val="005D1E7F"/>
    <w:rsid w:val="005D3CEF"/>
    <w:rsid w:val="005D3F1A"/>
    <w:rsid w:val="005D3FB8"/>
    <w:rsid w:val="005D43B8"/>
    <w:rsid w:val="005D5553"/>
    <w:rsid w:val="005D6316"/>
    <w:rsid w:val="005E19C2"/>
    <w:rsid w:val="005E1BD2"/>
    <w:rsid w:val="005E306A"/>
    <w:rsid w:val="005E3622"/>
    <w:rsid w:val="005E56AE"/>
    <w:rsid w:val="005E67EF"/>
    <w:rsid w:val="005E797B"/>
    <w:rsid w:val="005E7A94"/>
    <w:rsid w:val="005F07E9"/>
    <w:rsid w:val="005F1D7F"/>
    <w:rsid w:val="005F344C"/>
    <w:rsid w:val="005F5744"/>
    <w:rsid w:val="00600AF9"/>
    <w:rsid w:val="006055F4"/>
    <w:rsid w:val="00605F4E"/>
    <w:rsid w:val="006068F7"/>
    <w:rsid w:val="00610140"/>
    <w:rsid w:val="0061080D"/>
    <w:rsid w:val="00610894"/>
    <w:rsid w:val="00611626"/>
    <w:rsid w:val="0061200D"/>
    <w:rsid w:val="006130EE"/>
    <w:rsid w:val="00613599"/>
    <w:rsid w:val="00615B70"/>
    <w:rsid w:val="006167DB"/>
    <w:rsid w:val="00617DFF"/>
    <w:rsid w:val="00617E5C"/>
    <w:rsid w:val="00620094"/>
    <w:rsid w:val="00620252"/>
    <w:rsid w:val="00621173"/>
    <w:rsid w:val="0062162D"/>
    <w:rsid w:val="00622313"/>
    <w:rsid w:val="00623672"/>
    <w:rsid w:val="0062444A"/>
    <w:rsid w:val="00624AEF"/>
    <w:rsid w:val="0062659E"/>
    <w:rsid w:val="00626DAC"/>
    <w:rsid w:val="00627C19"/>
    <w:rsid w:val="00627DE7"/>
    <w:rsid w:val="006314B9"/>
    <w:rsid w:val="00631555"/>
    <w:rsid w:val="00632A78"/>
    <w:rsid w:val="00632E2D"/>
    <w:rsid w:val="00632F4E"/>
    <w:rsid w:val="006331A2"/>
    <w:rsid w:val="006342D9"/>
    <w:rsid w:val="00634658"/>
    <w:rsid w:val="00634787"/>
    <w:rsid w:val="00635C43"/>
    <w:rsid w:val="006364F6"/>
    <w:rsid w:val="00640C9C"/>
    <w:rsid w:val="00640DD5"/>
    <w:rsid w:val="00641A51"/>
    <w:rsid w:val="00643797"/>
    <w:rsid w:val="006439EA"/>
    <w:rsid w:val="00643FBF"/>
    <w:rsid w:val="006451FA"/>
    <w:rsid w:val="0064538F"/>
    <w:rsid w:val="00650430"/>
    <w:rsid w:val="00650582"/>
    <w:rsid w:val="00651AC2"/>
    <w:rsid w:val="006528B7"/>
    <w:rsid w:val="00654A68"/>
    <w:rsid w:val="00654B02"/>
    <w:rsid w:val="006553D1"/>
    <w:rsid w:val="006575D2"/>
    <w:rsid w:val="00657642"/>
    <w:rsid w:val="00660A13"/>
    <w:rsid w:val="00660C7A"/>
    <w:rsid w:val="00660C8A"/>
    <w:rsid w:val="006619DC"/>
    <w:rsid w:val="00661AA7"/>
    <w:rsid w:val="00662828"/>
    <w:rsid w:val="006630E1"/>
    <w:rsid w:val="006646E8"/>
    <w:rsid w:val="006663D0"/>
    <w:rsid w:val="00670FB1"/>
    <w:rsid w:val="0067215A"/>
    <w:rsid w:val="00673A89"/>
    <w:rsid w:val="0067456E"/>
    <w:rsid w:val="006748EE"/>
    <w:rsid w:val="00675122"/>
    <w:rsid w:val="00675F26"/>
    <w:rsid w:val="00682B7E"/>
    <w:rsid w:val="006859BA"/>
    <w:rsid w:val="00690C93"/>
    <w:rsid w:val="0069122E"/>
    <w:rsid w:val="00691D14"/>
    <w:rsid w:val="00691FBD"/>
    <w:rsid w:val="00694585"/>
    <w:rsid w:val="00694624"/>
    <w:rsid w:val="00695441"/>
    <w:rsid w:val="00695980"/>
    <w:rsid w:val="00696388"/>
    <w:rsid w:val="006970E9"/>
    <w:rsid w:val="006A01A0"/>
    <w:rsid w:val="006A0819"/>
    <w:rsid w:val="006A114D"/>
    <w:rsid w:val="006A5321"/>
    <w:rsid w:val="006A62EE"/>
    <w:rsid w:val="006A656A"/>
    <w:rsid w:val="006A687C"/>
    <w:rsid w:val="006A6BFF"/>
    <w:rsid w:val="006B166E"/>
    <w:rsid w:val="006B19C3"/>
    <w:rsid w:val="006B1EB1"/>
    <w:rsid w:val="006B394A"/>
    <w:rsid w:val="006B3D25"/>
    <w:rsid w:val="006B792C"/>
    <w:rsid w:val="006C08FA"/>
    <w:rsid w:val="006C28D8"/>
    <w:rsid w:val="006C2AC0"/>
    <w:rsid w:val="006C2DAB"/>
    <w:rsid w:val="006C534C"/>
    <w:rsid w:val="006C6752"/>
    <w:rsid w:val="006C7116"/>
    <w:rsid w:val="006C7B04"/>
    <w:rsid w:val="006C7BEF"/>
    <w:rsid w:val="006D2660"/>
    <w:rsid w:val="006D2D96"/>
    <w:rsid w:val="006D3877"/>
    <w:rsid w:val="006D4E8F"/>
    <w:rsid w:val="006D518C"/>
    <w:rsid w:val="006D579F"/>
    <w:rsid w:val="006E0830"/>
    <w:rsid w:val="006E4B4F"/>
    <w:rsid w:val="006E5760"/>
    <w:rsid w:val="006E608A"/>
    <w:rsid w:val="006E621A"/>
    <w:rsid w:val="006E69A7"/>
    <w:rsid w:val="006E6EAA"/>
    <w:rsid w:val="006F060A"/>
    <w:rsid w:val="006F0678"/>
    <w:rsid w:val="006F1876"/>
    <w:rsid w:val="006F1B14"/>
    <w:rsid w:val="006F3E36"/>
    <w:rsid w:val="006F49C7"/>
    <w:rsid w:val="006F4DB7"/>
    <w:rsid w:val="006F58B0"/>
    <w:rsid w:val="006F6733"/>
    <w:rsid w:val="006F7FB2"/>
    <w:rsid w:val="00700166"/>
    <w:rsid w:val="00701D95"/>
    <w:rsid w:val="00703D80"/>
    <w:rsid w:val="007062B8"/>
    <w:rsid w:val="00707B5E"/>
    <w:rsid w:val="007102D3"/>
    <w:rsid w:val="007110AF"/>
    <w:rsid w:val="00714B74"/>
    <w:rsid w:val="00720E64"/>
    <w:rsid w:val="00724C08"/>
    <w:rsid w:val="0072697B"/>
    <w:rsid w:val="00730BC7"/>
    <w:rsid w:val="00730C3D"/>
    <w:rsid w:val="007329E1"/>
    <w:rsid w:val="0073598E"/>
    <w:rsid w:val="00735CBB"/>
    <w:rsid w:val="007361CC"/>
    <w:rsid w:val="00737D58"/>
    <w:rsid w:val="00740863"/>
    <w:rsid w:val="0074137C"/>
    <w:rsid w:val="00741DA8"/>
    <w:rsid w:val="00742E84"/>
    <w:rsid w:val="00743683"/>
    <w:rsid w:val="00743A12"/>
    <w:rsid w:val="00746558"/>
    <w:rsid w:val="00753854"/>
    <w:rsid w:val="0075479C"/>
    <w:rsid w:val="00755B70"/>
    <w:rsid w:val="00756248"/>
    <w:rsid w:val="00756A49"/>
    <w:rsid w:val="007602B9"/>
    <w:rsid w:val="007618D6"/>
    <w:rsid w:val="00761D36"/>
    <w:rsid w:val="0076272C"/>
    <w:rsid w:val="007635CE"/>
    <w:rsid w:val="0076678E"/>
    <w:rsid w:val="0076717F"/>
    <w:rsid w:val="0077027E"/>
    <w:rsid w:val="00770759"/>
    <w:rsid w:val="00772342"/>
    <w:rsid w:val="007736DF"/>
    <w:rsid w:val="00773AC4"/>
    <w:rsid w:val="00773B5B"/>
    <w:rsid w:val="00773E0E"/>
    <w:rsid w:val="007740D3"/>
    <w:rsid w:val="007768C7"/>
    <w:rsid w:val="00776A56"/>
    <w:rsid w:val="007807DE"/>
    <w:rsid w:val="00782F5F"/>
    <w:rsid w:val="00783BA9"/>
    <w:rsid w:val="0078488C"/>
    <w:rsid w:val="0079151F"/>
    <w:rsid w:val="00791F5C"/>
    <w:rsid w:val="007929C4"/>
    <w:rsid w:val="007929DB"/>
    <w:rsid w:val="00792E5D"/>
    <w:rsid w:val="007939CA"/>
    <w:rsid w:val="00795053"/>
    <w:rsid w:val="00795569"/>
    <w:rsid w:val="00795ECE"/>
    <w:rsid w:val="0079609A"/>
    <w:rsid w:val="007962F0"/>
    <w:rsid w:val="007A0574"/>
    <w:rsid w:val="007A05AD"/>
    <w:rsid w:val="007A0E93"/>
    <w:rsid w:val="007A4896"/>
    <w:rsid w:val="007A4A4B"/>
    <w:rsid w:val="007A5255"/>
    <w:rsid w:val="007A770A"/>
    <w:rsid w:val="007A7FCF"/>
    <w:rsid w:val="007B0C0E"/>
    <w:rsid w:val="007B0FB5"/>
    <w:rsid w:val="007B178B"/>
    <w:rsid w:val="007B3A9E"/>
    <w:rsid w:val="007B4191"/>
    <w:rsid w:val="007B5780"/>
    <w:rsid w:val="007B5CA1"/>
    <w:rsid w:val="007B7D73"/>
    <w:rsid w:val="007C1E79"/>
    <w:rsid w:val="007C4944"/>
    <w:rsid w:val="007C54CB"/>
    <w:rsid w:val="007C5517"/>
    <w:rsid w:val="007C659E"/>
    <w:rsid w:val="007D4FF9"/>
    <w:rsid w:val="007E1BB9"/>
    <w:rsid w:val="007E321E"/>
    <w:rsid w:val="007E3ED3"/>
    <w:rsid w:val="007E45F6"/>
    <w:rsid w:val="007E4E9D"/>
    <w:rsid w:val="007E5B14"/>
    <w:rsid w:val="007E7320"/>
    <w:rsid w:val="007E76B7"/>
    <w:rsid w:val="007F04AE"/>
    <w:rsid w:val="007F1968"/>
    <w:rsid w:val="007F34A5"/>
    <w:rsid w:val="007F58C3"/>
    <w:rsid w:val="007F590E"/>
    <w:rsid w:val="007F5A38"/>
    <w:rsid w:val="007F5D12"/>
    <w:rsid w:val="007F67C3"/>
    <w:rsid w:val="0080028D"/>
    <w:rsid w:val="0080052B"/>
    <w:rsid w:val="008048AD"/>
    <w:rsid w:val="00805C12"/>
    <w:rsid w:val="0080666E"/>
    <w:rsid w:val="00811606"/>
    <w:rsid w:val="00811FA7"/>
    <w:rsid w:val="008129B2"/>
    <w:rsid w:val="00813396"/>
    <w:rsid w:val="00814E45"/>
    <w:rsid w:val="008155BA"/>
    <w:rsid w:val="008162B7"/>
    <w:rsid w:val="00816313"/>
    <w:rsid w:val="00816C0F"/>
    <w:rsid w:val="0081792D"/>
    <w:rsid w:val="00817CD9"/>
    <w:rsid w:val="00822038"/>
    <w:rsid w:val="00822897"/>
    <w:rsid w:val="00822A02"/>
    <w:rsid w:val="00823A4E"/>
    <w:rsid w:val="00823E2B"/>
    <w:rsid w:val="00826AE7"/>
    <w:rsid w:val="00826F0B"/>
    <w:rsid w:val="00830D32"/>
    <w:rsid w:val="00831041"/>
    <w:rsid w:val="00831E7B"/>
    <w:rsid w:val="008339F4"/>
    <w:rsid w:val="00833A07"/>
    <w:rsid w:val="00835434"/>
    <w:rsid w:val="00835D2E"/>
    <w:rsid w:val="00835D9E"/>
    <w:rsid w:val="00836176"/>
    <w:rsid w:val="00836E7F"/>
    <w:rsid w:val="00837DF2"/>
    <w:rsid w:val="00842094"/>
    <w:rsid w:val="0084463F"/>
    <w:rsid w:val="00844A75"/>
    <w:rsid w:val="0084528D"/>
    <w:rsid w:val="00850A64"/>
    <w:rsid w:val="00855A46"/>
    <w:rsid w:val="00855C4E"/>
    <w:rsid w:val="008564EA"/>
    <w:rsid w:val="00857079"/>
    <w:rsid w:val="00860631"/>
    <w:rsid w:val="00860D54"/>
    <w:rsid w:val="00860EAF"/>
    <w:rsid w:val="008636F9"/>
    <w:rsid w:val="0086476C"/>
    <w:rsid w:val="00865CE8"/>
    <w:rsid w:val="008664EB"/>
    <w:rsid w:val="00867D68"/>
    <w:rsid w:val="00870469"/>
    <w:rsid w:val="00873466"/>
    <w:rsid w:val="008744EA"/>
    <w:rsid w:val="00874DE9"/>
    <w:rsid w:val="00875F25"/>
    <w:rsid w:val="0087715C"/>
    <w:rsid w:val="008778A9"/>
    <w:rsid w:val="00877D3C"/>
    <w:rsid w:val="00880496"/>
    <w:rsid w:val="00882483"/>
    <w:rsid w:val="00882E60"/>
    <w:rsid w:val="00882F96"/>
    <w:rsid w:val="008844A2"/>
    <w:rsid w:val="008845A9"/>
    <w:rsid w:val="008860FC"/>
    <w:rsid w:val="00886D3A"/>
    <w:rsid w:val="008874C1"/>
    <w:rsid w:val="00890513"/>
    <w:rsid w:val="0089070C"/>
    <w:rsid w:val="00890B68"/>
    <w:rsid w:val="008925BC"/>
    <w:rsid w:val="0089260E"/>
    <w:rsid w:val="00892D49"/>
    <w:rsid w:val="008932A3"/>
    <w:rsid w:val="00893CB8"/>
    <w:rsid w:val="00894434"/>
    <w:rsid w:val="00894CA7"/>
    <w:rsid w:val="00894FB2"/>
    <w:rsid w:val="00895002"/>
    <w:rsid w:val="00895BD8"/>
    <w:rsid w:val="0089655B"/>
    <w:rsid w:val="00896C0D"/>
    <w:rsid w:val="00896D03"/>
    <w:rsid w:val="00896EB1"/>
    <w:rsid w:val="008972D1"/>
    <w:rsid w:val="00897BC8"/>
    <w:rsid w:val="008A0838"/>
    <w:rsid w:val="008A13E7"/>
    <w:rsid w:val="008A252E"/>
    <w:rsid w:val="008A3F35"/>
    <w:rsid w:val="008A581A"/>
    <w:rsid w:val="008A5F7F"/>
    <w:rsid w:val="008A63E2"/>
    <w:rsid w:val="008A6630"/>
    <w:rsid w:val="008A6DB9"/>
    <w:rsid w:val="008A7107"/>
    <w:rsid w:val="008A7D83"/>
    <w:rsid w:val="008B0154"/>
    <w:rsid w:val="008B1963"/>
    <w:rsid w:val="008B20D0"/>
    <w:rsid w:val="008B24F2"/>
    <w:rsid w:val="008B2769"/>
    <w:rsid w:val="008B3356"/>
    <w:rsid w:val="008B37F0"/>
    <w:rsid w:val="008B3E4E"/>
    <w:rsid w:val="008B41BC"/>
    <w:rsid w:val="008B4702"/>
    <w:rsid w:val="008B65B4"/>
    <w:rsid w:val="008C0F54"/>
    <w:rsid w:val="008C1C56"/>
    <w:rsid w:val="008C5503"/>
    <w:rsid w:val="008C5726"/>
    <w:rsid w:val="008C798A"/>
    <w:rsid w:val="008D1615"/>
    <w:rsid w:val="008D1C86"/>
    <w:rsid w:val="008D3255"/>
    <w:rsid w:val="008D47F6"/>
    <w:rsid w:val="008D6371"/>
    <w:rsid w:val="008D69DA"/>
    <w:rsid w:val="008E1296"/>
    <w:rsid w:val="008E270A"/>
    <w:rsid w:val="008E2DC7"/>
    <w:rsid w:val="008E672E"/>
    <w:rsid w:val="008E72E3"/>
    <w:rsid w:val="008F1FD4"/>
    <w:rsid w:val="008F3BF2"/>
    <w:rsid w:val="008F4B7D"/>
    <w:rsid w:val="008F4B82"/>
    <w:rsid w:val="00905C9B"/>
    <w:rsid w:val="00912398"/>
    <w:rsid w:val="009130AF"/>
    <w:rsid w:val="00913825"/>
    <w:rsid w:val="009140B9"/>
    <w:rsid w:val="009141C1"/>
    <w:rsid w:val="009148CA"/>
    <w:rsid w:val="00914EA8"/>
    <w:rsid w:val="0091664E"/>
    <w:rsid w:val="009169A4"/>
    <w:rsid w:val="009170B7"/>
    <w:rsid w:val="00920236"/>
    <w:rsid w:val="009206A6"/>
    <w:rsid w:val="00920AB5"/>
    <w:rsid w:val="009219D9"/>
    <w:rsid w:val="00922197"/>
    <w:rsid w:val="0092287E"/>
    <w:rsid w:val="00922A9D"/>
    <w:rsid w:val="0092347C"/>
    <w:rsid w:val="0092472D"/>
    <w:rsid w:val="00925F58"/>
    <w:rsid w:val="009262AA"/>
    <w:rsid w:val="00926438"/>
    <w:rsid w:val="009323CA"/>
    <w:rsid w:val="0093291C"/>
    <w:rsid w:val="00932DD8"/>
    <w:rsid w:val="00933213"/>
    <w:rsid w:val="00933E80"/>
    <w:rsid w:val="009343D3"/>
    <w:rsid w:val="00937D2C"/>
    <w:rsid w:val="00937FF2"/>
    <w:rsid w:val="00940DF6"/>
    <w:rsid w:val="009411C1"/>
    <w:rsid w:val="00942366"/>
    <w:rsid w:val="00943329"/>
    <w:rsid w:val="00943ED3"/>
    <w:rsid w:val="009443D6"/>
    <w:rsid w:val="009445E7"/>
    <w:rsid w:val="0094654A"/>
    <w:rsid w:val="0094736B"/>
    <w:rsid w:val="0095004D"/>
    <w:rsid w:val="009515AA"/>
    <w:rsid w:val="00951DAA"/>
    <w:rsid w:val="009524D9"/>
    <w:rsid w:val="009526E8"/>
    <w:rsid w:val="00952AF7"/>
    <w:rsid w:val="00952E0A"/>
    <w:rsid w:val="00953DDB"/>
    <w:rsid w:val="00953DF2"/>
    <w:rsid w:val="00955094"/>
    <w:rsid w:val="00960B49"/>
    <w:rsid w:val="009648C3"/>
    <w:rsid w:val="00964DD4"/>
    <w:rsid w:val="009669F1"/>
    <w:rsid w:val="00966BA6"/>
    <w:rsid w:val="0096732C"/>
    <w:rsid w:val="009675A9"/>
    <w:rsid w:val="00967B10"/>
    <w:rsid w:val="009714E6"/>
    <w:rsid w:val="00971553"/>
    <w:rsid w:val="009717A1"/>
    <w:rsid w:val="00976765"/>
    <w:rsid w:val="00976B7D"/>
    <w:rsid w:val="009774D1"/>
    <w:rsid w:val="00977737"/>
    <w:rsid w:val="00981947"/>
    <w:rsid w:val="00981BE4"/>
    <w:rsid w:val="00981C70"/>
    <w:rsid w:val="00982654"/>
    <w:rsid w:val="00982B60"/>
    <w:rsid w:val="009839F3"/>
    <w:rsid w:val="00983A76"/>
    <w:rsid w:val="009878F0"/>
    <w:rsid w:val="00987AB7"/>
    <w:rsid w:val="00987FB6"/>
    <w:rsid w:val="00990761"/>
    <w:rsid w:val="00992467"/>
    <w:rsid w:val="009972A2"/>
    <w:rsid w:val="0099783F"/>
    <w:rsid w:val="009A0B29"/>
    <w:rsid w:val="009A106A"/>
    <w:rsid w:val="009A13D9"/>
    <w:rsid w:val="009A15D9"/>
    <w:rsid w:val="009A1711"/>
    <w:rsid w:val="009A181B"/>
    <w:rsid w:val="009A1C23"/>
    <w:rsid w:val="009A36DD"/>
    <w:rsid w:val="009A3EEC"/>
    <w:rsid w:val="009A4508"/>
    <w:rsid w:val="009A6788"/>
    <w:rsid w:val="009A6A40"/>
    <w:rsid w:val="009B1B6B"/>
    <w:rsid w:val="009B2A0E"/>
    <w:rsid w:val="009B462A"/>
    <w:rsid w:val="009B52AF"/>
    <w:rsid w:val="009B5606"/>
    <w:rsid w:val="009B603A"/>
    <w:rsid w:val="009B7956"/>
    <w:rsid w:val="009C057C"/>
    <w:rsid w:val="009C0789"/>
    <w:rsid w:val="009C0945"/>
    <w:rsid w:val="009C0F33"/>
    <w:rsid w:val="009C125D"/>
    <w:rsid w:val="009C143E"/>
    <w:rsid w:val="009C1E6B"/>
    <w:rsid w:val="009C4651"/>
    <w:rsid w:val="009C53E4"/>
    <w:rsid w:val="009C5CDE"/>
    <w:rsid w:val="009C6162"/>
    <w:rsid w:val="009C74AB"/>
    <w:rsid w:val="009D05E3"/>
    <w:rsid w:val="009D26B5"/>
    <w:rsid w:val="009D3151"/>
    <w:rsid w:val="009D42AA"/>
    <w:rsid w:val="009D5A7B"/>
    <w:rsid w:val="009D7CB0"/>
    <w:rsid w:val="009E013E"/>
    <w:rsid w:val="009E14E6"/>
    <w:rsid w:val="009E2682"/>
    <w:rsid w:val="009E44F2"/>
    <w:rsid w:val="009E4A2E"/>
    <w:rsid w:val="009E4D8D"/>
    <w:rsid w:val="009E6453"/>
    <w:rsid w:val="009E7A0A"/>
    <w:rsid w:val="009F19E8"/>
    <w:rsid w:val="009F1C9C"/>
    <w:rsid w:val="009F272A"/>
    <w:rsid w:val="009F2830"/>
    <w:rsid w:val="009F3181"/>
    <w:rsid w:val="009F6EB6"/>
    <w:rsid w:val="009F790B"/>
    <w:rsid w:val="009F7EB5"/>
    <w:rsid w:val="00A01E81"/>
    <w:rsid w:val="00A04AD3"/>
    <w:rsid w:val="00A073CB"/>
    <w:rsid w:val="00A07D5A"/>
    <w:rsid w:val="00A1037F"/>
    <w:rsid w:val="00A11CAC"/>
    <w:rsid w:val="00A1419D"/>
    <w:rsid w:val="00A14458"/>
    <w:rsid w:val="00A14C86"/>
    <w:rsid w:val="00A14CD4"/>
    <w:rsid w:val="00A1734E"/>
    <w:rsid w:val="00A17C3A"/>
    <w:rsid w:val="00A202A9"/>
    <w:rsid w:val="00A223EC"/>
    <w:rsid w:val="00A262DF"/>
    <w:rsid w:val="00A2684A"/>
    <w:rsid w:val="00A26A65"/>
    <w:rsid w:val="00A27EB6"/>
    <w:rsid w:val="00A30440"/>
    <w:rsid w:val="00A325AB"/>
    <w:rsid w:val="00A37DC4"/>
    <w:rsid w:val="00A40BC8"/>
    <w:rsid w:val="00A41316"/>
    <w:rsid w:val="00A43008"/>
    <w:rsid w:val="00A45F59"/>
    <w:rsid w:val="00A5218C"/>
    <w:rsid w:val="00A52469"/>
    <w:rsid w:val="00A52E02"/>
    <w:rsid w:val="00A537B6"/>
    <w:rsid w:val="00A54ACF"/>
    <w:rsid w:val="00A57EA4"/>
    <w:rsid w:val="00A60213"/>
    <w:rsid w:val="00A6114B"/>
    <w:rsid w:val="00A615E8"/>
    <w:rsid w:val="00A61C0E"/>
    <w:rsid w:val="00A645D8"/>
    <w:rsid w:val="00A66F9B"/>
    <w:rsid w:val="00A670FB"/>
    <w:rsid w:val="00A702F9"/>
    <w:rsid w:val="00A72343"/>
    <w:rsid w:val="00A730DC"/>
    <w:rsid w:val="00A73A66"/>
    <w:rsid w:val="00A75687"/>
    <w:rsid w:val="00A762AA"/>
    <w:rsid w:val="00A768DC"/>
    <w:rsid w:val="00A76F02"/>
    <w:rsid w:val="00A77399"/>
    <w:rsid w:val="00A77981"/>
    <w:rsid w:val="00A82B9E"/>
    <w:rsid w:val="00A82D0D"/>
    <w:rsid w:val="00A83597"/>
    <w:rsid w:val="00A83C79"/>
    <w:rsid w:val="00A841DE"/>
    <w:rsid w:val="00A8559D"/>
    <w:rsid w:val="00A931A3"/>
    <w:rsid w:val="00A9408A"/>
    <w:rsid w:val="00A94F52"/>
    <w:rsid w:val="00A96584"/>
    <w:rsid w:val="00A96795"/>
    <w:rsid w:val="00A96A6A"/>
    <w:rsid w:val="00A96E27"/>
    <w:rsid w:val="00A97343"/>
    <w:rsid w:val="00AA1DAF"/>
    <w:rsid w:val="00AA236F"/>
    <w:rsid w:val="00AA2E90"/>
    <w:rsid w:val="00AA37BC"/>
    <w:rsid w:val="00AA4A29"/>
    <w:rsid w:val="00AA651C"/>
    <w:rsid w:val="00AA74C1"/>
    <w:rsid w:val="00AA7A1B"/>
    <w:rsid w:val="00AB236A"/>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3D01"/>
    <w:rsid w:val="00AE4E03"/>
    <w:rsid w:val="00AE53C0"/>
    <w:rsid w:val="00AE64EF"/>
    <w:rsid w:val="00AE7215"/>
    <w:rsid w:val="00AF2763"/>
    <w:rsid w:val="00AF2BA7"/>
    <w:rsid w:val="00AF306C"/>
    <w:rsid w:val="00AF4095"/>
    <w:rsid w:val="00AF420E"/>
    <w:rsid w:val="00AF6040"/>
    <w:rsid w:val="00AF60A5"/>
    <w:rsid w:val="00AF653C"/>
    <w:rsid w:val="00AF7938"/>
    <w:rsid w:val="00B0030B"/>
    <w:rsid w:val="00B00681"/>
    <w:rsid w:val="00B00A5E"/>
    <w:rsid w:val="00B00E83"/>
    <w:rsid w:val="00B0395F"/>
    <w:rsid w:val="00B0457A"/>
    <w:rsid w:val="00B064A0"/>
    <w:rsid w:val="00B071DB"/>
    <w:rsid w:val="00B135D7"/>
    <w:rsid w:val="00B1388C"/>
    <w:rsid w:val="00B1397B"/>
    <w:rsid w:val="00B13CE7"/>
    <w:rsid w:val="00B13FE9"/>
    <w:rsid w:val="00B14691"/>
    <w:rsid w:val="00B162CD"/>
    <w:rsid w:val="00B23279"/>
    <w:rsid w:val="00B23443"/>
    <w:rsid w:val="00B2531F"/>
    <w:rsid w:val="00B2585A"/>
    <w:rsid w:val="00B25898"/>
    <w:rsid w:val="00B25B77"/>
    <w:rsid w:val="00B2629D"/>
    <w:rsid w:val="00B31011"/>
    <w:rsid w:val="00B316F7"/>
    <w:rsid w:val="00B34926"/>
    <w:rsid w:val="00B36811"/>
    <w:rsid w:val="00B370B2"/>
    <w:rsid w:val="00B371D4"/>
    <w:rsid w:val="00B377D4"/>
    <w:rsid w:val="00B401C1"/>
    <w:rsid w:val="00B403A1"/>
    <w:rsid w:val="00B40456"/>
    <w:rsid w:val="00B40AF8"/>
    <w:rsid w:val="00B426A5"/>
    <w:rsid w:val="00B426C6"/>
    <w:rsid w:val="00B432FD"/>
    <w:rsid w:val="00B44219"/>
    <w:rsid w:val="00B445C8"/>
    <w:rsid w:val="00B45117"/>
    <w:rsid w:val="00B45F40"/>
    <w:rsid w:val="00B524BD"/>
    <w:rsid w:val="00B53037"/>
    <w:rsid w:val="00B5315D"/>
    <w:rsid w:val="00B55FC5"/>
    <w:rsid w:val="00B60178"/>
    <w:rsid w:val="00B60EC4"/>
    <w:rsid w:val="00B61DE8"/>
    <w:rsid w:val="00B634D4"/>
    <w:rsid w:val="00B64313"/>
    <w:rsid w:val="00B64829"/>
    <w:rsid w:val="00B650A2"/>
    <w:rsid w:val="00B6548E"/>
    <w:rsid w:val="00B65667"/>
    <w:rsid w:val="00B6639B"/>
    <w:rsid w:val="00B66C70"/>
    <w:rsid w:val="00B66CB7"/>
    <w:rsid w:val="00B66CC0"/>
    <w:rsid w:val="00B7053E"/>
    <w:rsid w:val="00B71FC4"/>
    <w:rsid w:val="00B73CC4"/>
    <w:rsid w:val="00B748E1"/>
    <w:rsid w:val="00B7512F"/>
    <w:rsid w:val="00B767AE"/>
    <w:rsid w:val="00B76BDF"/>
    <w:rsid w:val="00B76D6D"/>
    <w:rsid w:val="00B80D2B"/>
    <w:rsid w:val="00B82663"/>
    <w:rsid w:val="00B82B8B"/>
    <w:rsid w:val="00B82E0D"/>
    <w:rsid w:val="00B84330"/>
    <w:rsid w:val="00B84DED"/>
    <w:rsid w:val="00B860AC"/>
    <w:rsid w:val="00B875CA"/>
    <w:rsid w:val="00B87F2A"/>
    <w:rsid w:val="00B91356"/>
    <w:rsid w:val="00B922C3"/>
    <w:rsid w:val="00B92952"/>
    <w:rsid w:val="00B92E54"/>
    <w:rsid w:val="00B94E68"/>
    <w:rsid w:val="00B973A1"/>
    <w:rsid w:val="00B97C78"/>
    <w:rsid w:val="00BA05F4"/>
    <w:rsid w:val="00BA13A5"/>
    <w:rsid w:val="00BA1931"/>
    <w:rsid w:val="00BA1CC0"/>
    <w:rsid w:val="00BA5F96"/>
    <w:rsid w:val="00BA7A2C"/>
    <w:rsid w:val="00BB096A"/>
    <w:rsid w:val="00BB142E"/>
    <w:rsid w:val="00BB226D"/>
    <w:rsid w:val="00BB24FD"/>
    <w:rsid w:val="00BB34CA"/>
    <w:rsid w:val="00BB3B00"/>
    <w:rsid w:val="00BB3B04"/>
    <w:rsid w:val="00BB4123"/>
    <w:rsid w:val="00BB5A8E"/>
    <w:rsid w:val="00BB5FF4"/>
    <w:rsid w:val="00BC00A7"/>
    <w:rsid w:val="00BC04D5"/>
    <w:rsid w:val="00BC13CC"/>
    <w:rsid w:val="00BC2F02"/>
    <w:rsid w:val="00BC32F2"/>
    <w:rsid w:val="00BC4BE2"/>
    <w:rsid w:val="00BC6211"/>
    <w:rsid w:val="00BC7E45"/>
    <w:rsid w:val="00BD0BA8"/>
    <w:rsid w:val="00BD1AF4"/>
    <w:rsid w:val="00BD32FB"/>
    <w:rsid w:val="00BD3693"/>
    <w:rsid w:val="00BD3FA1"/>
    <w:rsid w:val="00BD4FA3"/>
    <w:rsid w:val="00BD7409"/>
    <w:rsid w:val="00BD7CA7"/>
    <w:rsid w:val="00BE1260"/>
    <w:rsid w:val="00BE3AB7"/>
    <w:rsid w:val="00BE41AA"/>
    <w:rsid w:val="00BE4FA9"/>
    <w:rsid w:val="00BE7F85"/>
    <w:rsid w:val="00BF0B27"/>
    <w:rsid w:val="00BF33EF"/>
    <w:rsid w:val="00BF363C"/>
    <w:rsid w:val="00BF5CE2"/>
    <w:rsid w:val="00BF6CA6"/>
    <w:rsid w:val="00BF72BA"/>
    <w:rsid w:val="00C01B26"/>
    <w:rsid w:val="00C01B39"/>
    <w:rsid w:val="00C01ECD"/>
    <w:rsid w:val="00C02783"/>
    <w:rsid w:val="00C042DD"/>
    <w:rsid w:val="00C04D0B"/>
    <w:rsid w:val="00C05052"/>
    <w:rsid w:val="00C07579"/>
    <w:rsid w:val="00C10F0A"/>
    <w:rsid w:val="00C12EFE"/>
    <w:rsid w:val="00C14310"/>
    <w:rsid w:val="00C1528C"/>
    <w:rsid w:val="00C16A86"/>
    <w:rsid w:val="00C17C3A"/>
    <w:rsid w:val="00C21192"/>
    <w:rsid w:val="00C21AE0"/>
    <w:rsid w:val="00C228CA"/>
    <w:rsid w:val="00C22EE7"/>
    <w:rsid w:val="00C253A1"/>
    <w:rsid w:val="00C27776"/>
    <w:rsid w:val="00C27961"/>
    <w:rsid w:val="00C27E06"/>
    <w:rsid w:val="00C328EF"/>
    <w:rsid w:val="00C35B2B"/>
    <w:rsid w:val="00C36857"/>
    <w:rsid w:val="00C40E95"/>
    <w:rsid w:val="00C41006"/>
    <w:rsid w:val="00C427E3"/>
    <w:rsid w:val="00C44C76"/>
    <w:rsid w:val="00C45B53"/>
    <w:rsid w:val="00C4790A"/>
    <w:rsid w:val="00C47DFF"/>
    <w:rsid w:val="00C50538"/>
    <w:rsid w:val="00C50E71"/>
    <w:rsid w:val="00C54129"/>
    <w:rsid w:val="00C5430F"/>
    <w:rsid w:val="00C56AE3"/>
    <w:rsid w:val="00C610B0"/>
    <w:rsid w:val="00C6227C"/>
    <w:rsid w:val="00C64C77"/>
    <w:rsid w:val="00C66CC9"/>
    <w:rsid w:val="00C675E2"/>
    <w:rsid w:val="00C70B5F"/>
    <w:rsid w:val="00C70EAC"/>
    <w:rsid w:val="00C70F5B"/>
    <w:rsid w:val="00C737DC"/>
    <w:rsid w:val="00C742C8"/>
    <w:rsid w:val="00C7535D"/>
    <w:rsid w:val="00C77196"/>
    <w:rsid w:val="00C82545"/>
    <w:rsid w:val="00C825EE"/>
    <w:rsid w:val="00C828B0"/>
    <w:rsid w:val="00C83561"/>
    <w:rsid w:val="00C84709"/>
    <w:rsid w:val="00C86473"/>
    <w:rsid w:val="00C879D3"/>
    <w:rsid w:val="00C90043"/>
    <w:rsid w:val="00C90C6F"/>
    <w:rsid w:val="00C91D90"/>
    <w:rsid w:val="00C91F35"/>
    <w:rsid w:val="00C9379B"/>
    <w:rsid w:val="00C937ED"/>
    <w:rsid w:val="00C93FDB"/>
    <w:rsid w:val="00C94CE9"/>
    <w:rsid w:val="00C9694F"/>
    <w:rsid w:val="00C978AB"/>
    <w:rsid w:val="00CA07E7"/>
    <w:rsid w:val="00CA112C"/>
    <w:rsid w:val="00CA260F"/>
    <w:rsid w:val="00CA2DA3"/>
    <w:rsid w:val="00CA2F0C"/>
    <w:rsid w:val="00CA4851"/>
    <w:rsid w:val="00CA74AC"/>
    <w:rsid w:val="00CB0612"/>
    <w:rsid w:val="00CB0C8A"/>
    <w:rsid w:val="00CB10F1"/>
    <w:rsid w:val="00CB1375"/>
    <w:rsid w:val="00CB2772"/>
    <w:rsid w:val="00CB3DAF"/>
    <w:rsid w:val="00CB5D37"/>
    <w:rsid w:val="00CB60B6"/>
    <w:rsid w:val="00CB629F"/>
    <w:rsid w:val="00CB6A6E"/>
    <w:rsid w:val="00CB6EF4"/>
    <w:rsid w:val="00CB7F52"/>
    <w:rsid w:val="00CC118C"/>
    <w:rsid w:val="00CC1275"/>
    <w:rsid w:val="00CC1966"/>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2402"/>
    <w:rsid w:val="00CF3496"/>
    <w:rsid w:val="00CF3C9B"/>
    <w:rsid w:val="00CF4274"/>
    <w:rsid w:val="00CF5A27"/>
    <w:rsid w:val="00CF5CE8"/>
    <w:rsid w:val="00CF63FE"/>
    <w:rsid w:val="00CF666C"/>
    <w:rsid w:val="00CF6B8A"/>
    <w:rsid w:val="00D01E9D"/>
    <w:rsid w:val="00D02679"/>
    <w:rsid w:val="00D0278F"/>
    <w:rsid w:val="00D029B3"/>
    <w:rsid w:val="00D03164"/>
    <w:rsid w:val="00D038EC"/>
    <w:rsid w:val="00D03C98"/>
    <w:rsid w:val="00D03F0F"/>
    <w:rsid w:val="00D04964"/>
    <w:rsid w:val="00D04F3A"/>
    <w:rsid w:val="00D078B9"/>
    <w:rsid w:val="00D148FE"/>
    <w:rsid w:val="00D20BA9"/>
    <w:rsid w:val="00D22722"/>
    <w:rsid w:val="00D22BFC"/>
    <w:rsid w:val="00D22D6A"/>
    <w:rsid w:val="00D24C85"/>
    <w:rsid w:val="00D25461"/>
    <w:rsid w:val="00D30343"/>
    <w:rsid w:val="00D31166"/>
    <w:rsid w:val="00D31480"/>
    <w:rsid w:val="00D325EC"/>
    <w:rsid w:val="00D36137"/>
    <w:rsid w:val="00D3650D"/>
    <w:rsid w:val="00D36CBD"/>
    <w:rsid w:val="00D377A4"/>
    <w:rsid w:val="00D37EF8"/>
    <w:rsid w:val="00D40A47"/>
    <w:rsid w:val="00D413C2"/>
    <w:rsid w:val="00D42A9D"/>
    <w:rsid w:val="00D44649"/>
    <w:rsid w:val="00D44971"/>
    <w:rsid w:val="00D465D5"/>
    <w:rsid w:val="00D501BC"/>
    <w:rsid w:val="00D5040E"/>
    <w:rsid w:val="00D50A07"/>
    <w:rsid w:val="00D5240C"/>
    <w:rsid w:val="00D54945"/>
    <w:rsid w:val="00D55969"/>
    <w:rsid w:val="00D567AB"/>
    <w:rsid w:val="00D571C6"/>
    <w:rsid w:val="00D5786C"/>
    <w:rsid w:val="00D57C94"/>
    <w:rsid w:val="00D57F60"/>
    <w:rsid w:val="00D6175A"/>
    <w:rsid w:val="00D6213A"/>
    <w:rsid w:val="00D62169"/>
    <w:rsid w:val="00D62DD0"/>
    <w:rsid w:val="00D63AB3"/>
    <w:rsid w:val="00D644B7"/>
    <w:rsid w:val="00D647F2"/>
    <w:rsid w:val="00D651FB"/>
    <w:rsid w:val="00D66022"/>
    <w:rsid w:val="00D6636B"/>
    <w:rsid w:val="00D67161"/>
    <w:rsid w:val="00D67485"/>
    <w:rsid w:val="00D7058E"/>
    <w:rsid w:val="00D708F8"/>
    <w:rsid w:val="00D70A1E"/>
    <w:rsid w:val="00D70F48"/>
    <w:rsid w:val="00D74F6D"/>
    <w:rsid w:val="00D75AA6"/>
    <w:rsid w:val="00D76538"/>
    <w:rsid w:val="00D76D32"/>
    <w:rsid w:val="00D770CE"/>
    <w:rsid w:val="00D80300"/>
    <w:rsid w:val="00D822BB"/>
    <w:rsid w:val="00D8327E"/>
    <w:rsid w:val="00D839AA"/>
    <w:rsid w:val="00D848EE"/>
    <w:rsid w:val="00D851AB"/>
    <w:rsid w:val="00D8538D"/>
    <w:rsid w:val="00D86638"/>
    <w:rsid w:val="00D92313"/>
    <w:rsid w:val="00D928C8"/>
    <w:rsid w:val="00D93550"/>
    <w:rsid w:val="00D93A8B"/>
    <w:rsid w:val="00D9587F"/>
    <w:rsid w:val="00D961EB"/>
    <w:rsid w:val="00D976F9"/>
    <w:rsid w:val="00DA23B0"/>
    <w:rsid w:val="00DA394E"/>
    <w:rsid w:val="00DA3959"/>
    <w:rsid w:val="00DA5A96"/>
    <w:rsid w:val="00DB12EF"/>
    <w:rsid w:val="00DB45D8"/>
    <w:rsid w:val="00DB663A"/>
    <w:rsid w:val="00DC072B"/>
    <w:rsid w:val="00DC1920"/>
    <w:rsid w:val="00DC79F9"/>
    <w:rsid w:val="00DD00AF"/>
    <w:rsid w:val="00DD1434"/>
    <w:rsid w:val="00DD1D52"/>
    <w:rsid w:val="00DD257B"/>
    <w:rsid w:val="00DE2554"/>
    <w:rsid w:val="00DE61F3"/>
    <w:rsid w:val="00DE7623"/>
    <w:rsid w:val="00DF482B"/>
    <w:rsid w:val="00DF57C7"/>
    <w:rsid w:val="00DF5EBC"/>
    <w:rsid w:val="00DF67C7"/>
    <w:rsid w:val="00DF6838"/>
    <w:rsid w:val="00DF7314"/>
    <w:rsid w:val="00E04D6B"/>
    <w:rsid w:val="00E13679"/>
    <w:rsid w:val="00E14E12"/>
    <w:rsid w:val="00E16DF8"/>
    <w:rsid w:val="00E171BC"/>
    <w:rsid w:val="00E2212C"/>
    <w:rsid w:val="00E2217E"/>
    <w:rsid w:val="00E2306A"/>
    <w:rsid w:val="00E23394"/>
    <w:rsid w:val="00E23CA2"/>
    <w:rsid w:val="00E24CD9"/>
    <w:rsid w:val="00E24F81"/>
    <w:rsid w:val="00E2557A"/>
    <w:rsid w:val="00E2559D"/>
    <w:rsid w:val="00E26E3C"/>
    <w:rsid w:val="00E27261"/>
    <w:rsid w:val="00E274D8"/>
    <w:rsid w:val="00E342CC"/>
    <w:rsid w:val="00E36C66"/>
    <w:rsid w:val="00E36DC4"/>
    <w:rsid w:val="00E37950"/>
    <w:rsid w:val="00E37A8F"/>
    <w:rsid w:val="00E4039F"/>
    <w:rsid w:val="00E40C93"/>
    <w:rsid w:val="00E4247E"/>
    <w:rsid w:val="00E42B68"/>
    <w:rsid w:val="00E43703"/>
    <w:rsid w:val="00E43C26"/>
    <w:rsid w:val="00E43FA8"/>
    <w:rsid w:val="00E44639"/>
    <w:rsid w:val="00E46AEC"/>
    <w:rsid w:val="00E46B99"/>
    <w:rsid w:val="00E46CEA"/>
    <w:rsid w:val="00E4702E"/>
    <w:rsid w:val="00E474F0"/>
    <w:rsid w:val="00E47A9A"/>
    <w:rsid w:val="00E50993"/>
    <w:rsid w:val="00E50A6B"/>
    <w:rsid w:val="00E516F3"/>
    <w:rsid w:val="00E52311"/>
    <w:rsid w:val="00E528F7"/>
    <w:rsid w:val="00E528F9"/>
    <w:rsid w:val="00E536DC"/>
    <w:rsid w:val="00E55684"/>
    <w:rsid w:val="00E602D0"/>
    <w:rsid w:val="00E603C8"/>
    <w:rsid w:val="00E64DB8"/>
    <w:rsid w:val="00E64EB9"/>
    <w:rsid w:val="00E64F4D"/>
    <w:rsid w:val="00E6613F"/>
    <w:rsid w:val="00E6698E"/>
    <w:rsid w:val="00E6770F"/>
    <w:rsid w:val="00E70CF0"/>
    <w:rsid w:val="00E71440"/>
    <w:rsid w:val="00E72196"/>
    <w:rsid w:val="00E72615"/>
    <w:rsid w:val="00E73654"/>
    <w:rsid w:val="00E736EF"/>
    <w:rsid w:val="00E742A9"/>
    <w:rsid w:val="00E742C0"/>
    <w:rsid w:val="00E753C8"/>
    <w:rsid w:val="00E75858"/>
    <w:rsid w:val="00E75ECD"/>
    <w:rsid w:val="00E76F05"/>
    <w:rsid w:val="00E848E3"/>
    <w:rsid w:val="00E86A90"/>
    <w:rsid w:val="00E87E60"/>
    <w:rsid w:val="00E9112A"/>
    <w:rsid w:val="00E933EB"/>
    <w:rsid w:val="00E94C91"/>
    <w:rsid w:val="00E95F9A"/>
    <w:rsid w:val="00E97314"/>
    <w:rsid w:val="00E976A2"/>
    <w:rsid w:val="00E97CBF"/>
    <w:rsid w:val="00EA0EFF"/>
    <w:rsid w:val="00EA2DEB"/>
    <w:rsid w:val="00EA4ED3"/>
    <w:rsid w:val="00EA58FE"/>
    <w:rsid w:val="00EA63F2"/>
    <w:rsid w:val="00EA6897"/>
    <w:rsid w:val="00EA6EF0"/>
    <w:rsid w:val="00EA79E3"/>
    <w:rsid w:val="00EB0855"/>
    <w:rsid w:val="00EB0FF8"/>
    <w:rsid w:val="00EB1C37"/>
    <w:rsid w:val="00EB3490"/>
    <w:rsid w:val="00EB4F0F"/>
    <w:rsid w:val="00EC1B0C"/>
    <w:rsid w:val="00EC2B2F"/>
    <w:rsid w:val="00EC41C3"/>
    <w:rsid w:val="00EC7CB1"/>
    <w:rsid w:val="00EC7DBC"/>
    <w:rsid w:val="00EC7F7D"/>
    <w:rsid w:val="00ED2780"/>
    <w:rsid w:val="00ED3258"/>
    <w:rsid w:val="00ED3491"/>
    <w:rsid w:val="00ED4F2C"/>
    <w:rsid w:val="00ED61FF"/>
    <w:rsid w:val="00ED6446"/>
    <w:rsid w:val="00ED688E"/>
    <w:rsid w:val="00EE17DC"/>
    <w:rsid w:val="00EE18B8"/>
    <w:rsid w:val="00EE2870"/>
    <w:rsid w:val="00EE48CC"/>
    <w:rsid w:val="00EE617F"/>
    <w:rsid w:val="00EF008E"/>
    <w:rsid w:val="00EF14EE"/>
    <w:rsid w:val="00EF1834"/>
    <w:rsid w:val="00EF1A73"/>
    <w:rsid w:val="00EF1F20"/>
    <w:rsid w:val="00EF589B"/>
    <w:rsid w:val="00EF62C0"/>
    <w:rsid w:val="00EF66C8"/>
    <w:rsid w:val="00EF6CF6"/>
    <w:rsid w:val="00EF7D2D"/>
    <w:rsid w:val="00F02B3A"/>
    <w:rsid w:val="00F03302"/>
    <w:rsid w:val="00F03716"/>
    <w:rsid w:val="00F048C4"/>
    <w:rsid w:val="00F04A88"/>
    <w:rsid w:val="00F04BC9"/>
    <w:rsid w:val="00F051F3"/>
    <w:rsid w:val="00F0586B"/>
    <w:rsid w:val="00F11B2B"/>
    <w:rsid w:val="00F13C1C"/>
    <w:rsid w:val="00F14BBD"/>
    <w:rsid w:val="00F151F3"/>
    <w:rsid w:val="00F179C0"/>
    <w:rsid w:val="00F205E9"/>
    <w:rsid w:val="00F20F1B"/>
    <w:rsid w:val="00F22E71"/>
    <w:rsid w:val="00F24605"/>
    <w:rsid w:val="00F253B2"/>
    <w:rsid w:val="00F25470"/>
    <w:rsid w:val="00F27237"/>
    <w:rsid w:val="00F277D7"/>
    <w:rsid w:val="00F2792C"/>
    <w:rsid w:val="00F27E28"/>
    <w:rsid w:val="00F307A2"/>
    <w:rsid w:val="00F3248D"/>
    <w:rsid w:val="00F32C8E"/>
    <w:rsid w:val="00F32D41"/>
    <w:rsid w:val="00F333DD"/>
    <w:rsid w:val="00F34226"/>
    <w:rsid w:val="00F34E7B"/>
    <w:rsid w:val="00F361C0"/>
    <w:rsid w:val="00F3628D"/>
    <w:rsid w:val="00F363E0"/>
    <w:rsid w:val="00F36E63"/>
    <w:rsid w:val="00F36E82"/>
    <w:rsid w:val="00F376E4"/>
    <w:rsid w:val="00F404DF"/>
    <w:rsid w:val="00F417FC"/>
    <w:rsid w:val="00F424B0"/>
    <w:rsid w:val="00F436D8"/>
    <w:rsid w:val="00F43F3B"/>
    <w:rsid w:val="00F44A8F"/>
    <w:rsid w:val="00F546BC"/>
    <w:rsid w:val="00F56A37"/>
    <w:rsid w:val="00F60507"/>
    <w:rsid w:val="00F60736"/>
    <w:rsid w:val="00F61C69"/>
    <w:rsid w:val="00F62F17"/>
    <w:rsid w:val="00F63839"/>
    <w:rsid w:val="00F6459B"/>
    <w:rsid w:val="00F66850"/>
    <w:rsid w:val="00F66FF2"/>
    <w:rsid w:val="00F67FB8"/>
    <w:rsid w:val="00F70A8F"/>
    <w:rsid w:val="00F7139A"/>
    <w:rsid w:val="00F71D53"/>
    <w:rsid w:val="00F72052"/>
    <w:rsid w:val="00F72263"/>
    <w:rsid w:val="00F74174"/>
    <w:rsid w:val="00F7497B"/>
    <w:rsid w:val="00F75079"/>
    <w:rsid w:val="00F76A99"/>
    <w:rsid w:val="00F77FAF"/>
    <w:rsid w:val="00F80395"/>
    <w:rsid w:val="00F81F49"/>
    <w:rsid w:val="00F8456D"/>
    <w:rsid w:val="00F8763E"/>
    <w:rsid w:val="00F90D02"/>
    <w:rsid w:val="00F92FD1"/>
    <w:rsid w:val="00F93467"/>
    <w:rsid w:val="00F94484"/>
    <w:rsid w:val="00F953DC"/>
    <w:rsid w:val="00F96716"/>
    <w:rsid w:val="00F97AF0"/>
    <w:rsid w:val="00F97E01"/>
    <w:rsid w:val="00FA1D86"/>
    <w:rsid w:val="00FA283E"/>
    <w:rsid w:val="00FA3F38"/>
    <w:rsid w:val="00FA62A0"/>
    <w:rsid w:val="00FA71AC"/>
    <w:rsid w:val="00FB02AC"/>
    <w:rsid w:val="00FB0F9F"/>
    <w:rsid w:val="00FB2D2D"/>
    <w:rsid w:val="00FB35E9"/>
    <w:rsid w:val="00FB4C93"/>
    <w:rsid w:val="00FB5FB0"/>
    <w:rsid w:val="00FB745B"/>
    <w:rsid w:val="00FB7EF9"/>
    <w:rsid w:val="00FC013E"/>
    <w:rsid w:val="00FC2844"/>
    <w:rsid w:val="00FC293A"/>
    <w:rsid w:val="00FC3BE2"/>
    <w:rsid w:val="00FC4EEE"/>
    <w:rsid w:val="00FC7974"/>
    <w:rsid w:val="00FD0160"/>
    <w:rsid w:val="00FD0B0D"/>
    <w:rsid w:val="00FD1259"/>
    <w:rsid w:val="00FD23DE"/>
    <w:rsid w:val="00FD2C77"/>
    <w:rsid w:val="00FD35EB"/>
    <w:rsid w:val="00FD3700"/>
    <w:rsid w:val="00FD4516"/>
    <w:rsid w:val="00FD4C3E"/>
    <w:rsid w:val="00FD6064"/>
    <w:rsid w:val="00FD6E1A"/>
    <w:rsid w:val="00FE0A5A"/>
    <w:rsid w:val="00FE184D"/>
    <w:rsid w:val="00FE3845"/>
    <w:rsid w:val="00FE3C8B"/>
    <w:rsid w:val="00FE4D42"/>
    <w:rsid w:val="00FE5113"/>
    <w:rsid w:val="00FE5B60"/>
    <w:rsid w:val="00FE67AA"/>
    <w:rsid w:val="00FF0317"/>
    <w:rsid w:val="00FF0934"/>
    <w:rsid w:val="00FF1401"/>
    <w:rsid w:val="00FF3086"/>
    <w:rsid w:val="00FF568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30031645">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79716338">
      <w:bodyDiv w:val="1"/>
      <w:marLeft w:val="0"/>
      <w:marRight w:val="0"/>
      <w:marTop w:val="0"/>
      <w:marBottom w:val="0"/>
      <w:divBdr>
        <w:top w:val="none" w:sz="0" w:space="0" w:color="auto"/>
        <w:left w:val="none" w:sz="0" w:space="0" w:color="auto"/>
        <w:bottom w:val="none" w:sz="0" w:space="0" w:color="auto"/>
        <w:right w:val="none" w:sz="0" w:space="0" w:color="auto"/>
      </w:divBdr>
    </w:div>
    <w:div w:id="8022607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70607531">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45317164">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65185324">
      <w:bodyDiv w:val="1"/>
      <w:marLeft w:val="0"/>
      <w:marRight w:val="0"/>
      <w:marTop w:val="0"/>
      <w:marBottom w:val="0"/>
      <w:divBdr>
        <w:top w:val="none" w:sz="0" w:space="0" w:color="auto"/>
        <w:left w:val="none" w:sz="0" w:space="0" w:color="auto"/>
        <w:bottom w:val="none" w:sz="0" w:space="0" w:color="auto"/>
        <w:right w:val="none" w:sz="0" w:space="0" w:color="auto"/>
      </w:divBdr>
    </w:div>
    <w:div w:id="585456076">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6501779">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45160764">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07339193">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28525220">
      <w:bodyDiv w:val="1"/>
      <w:marLeft w:val="0"/>
      <w:marRight w:val="0"/>
      <w:marTop w:val="0"/>
      <w:marBottom w:val="0"/>
      <w:divBdr>
        <w:top w:val="none" w:sz="0" w:space="0" w:color="auto"/>
        <w:left w:val="none" w:sz="0" w:space="0" w:color="auto"/>
        <w:bottom w:val="none" w:sz="0" w:space="0" w:color="auto"/>
        <w:right w:val="none" w:sz="0" w:space="0" w:color="auto"/>
      </w:divBdr>
      <w:divsChild>
        <w:div w:id="901452873">
          <w:marLeft w:val="0"/>
          <w:marRight w:val="0"/>
          <w:marTop w:val="0"/>
          <w:marBottom w:val="0"/>
          <w:divBdr>
            <w:top w:val="none" w:sz="0" w:space="0" w:color="auto"/>
            <w:left w:val="none" w:sz="0" w:space="0" w:color="auto"/>
            <w:bottom w:val="none" w:sz="0" w:space="0" w:color="auto"/>
            <w:right w:val="none" w:sz="0" w:space="0" w:color="auto"/>
          </w:divBdr>
          <w:divsChild>
            <w:div w:id="392242213">
              <w:marLeft w:val="0"/>
              <w:marRight w:val="0"/>
              <w:marTop w:val="0"/>
              <w:marBottom w:val="0"/>
              <w:divBdr>
                <w:top w:val="none" w:sz="0" w:space="0" w:color="auto"/>
                <w:left w:val="none" w:sz="0" w:space="0" w:color="auto"/>
                <w:bottom w:val="none" w:sz="0" w:space="0" w:color="auto"/>
                <w:right w:val="none" w:sz="0" w:space="0" w:color="auto"/>
              </w:divBdr>
              <w:divsChild>
                <w:div w:id="1383749035">
                  <w:marLeft w:val="0"/>
                  <w:marRight w:val="0"/>
                  <w:marTop w:val="0"/>
                  <w:marBottom w:val="0"/>
                  <w:divBdr>
                    <w:top w:val="none" w:sz="0" w:space="0" w:color="auto"/>
                    <w:left w:val="none" w:sz="0" w:space="0" w:color="auto"/>
                    <w:bottom w:val="none" w:sz="0" w:space="0" w:color="auto"/>
                    <w:right w:val="none" w:sz="0" w:space="0" w:color="auto"/>
                  </w:divBdr>
                  <w:divsChild>
                    <w:div w:id="1048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899751794">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26172496">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54350867">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47548262">
      <w:bodyDiv w:val="1"/>
      <w:marLeft w:val="0"/>
      <w:marRight w:val="0"/>
      <w:marTop w:val="0"/>
      <w:marBottom w:val="0"/>
      <w:divBdr>
        <w:top w:val="none" w:sz="0" w:space="0" w:color="auto"/>
        <w:left w:val="none" w:sz="0" w:space="0" w:color="auto"/>
        <w:bottom w:val="none" w:sz="0" w:space="0" w:color="auto"/>
        <w:right w:val="none" w:sz="0" w:space="0" w:color="auto"/>
      </w:divBdr>
      <w:divsChild>
        <w:div w:id="1657340860">
          <w:marLeft w:val="0"/>
          <w:marRight w:val="0"/>
          <w:marTop w:val="0"/>
          <w:marBottom w:val="0"/>
          <w:divBdr>
            <w:top w:val="none" w:sz="0" w:space="0" w:color="auto"/>
            <w:left w:val="none" w:sz="0" w:space="0" w:color="auto"/>
            <w:bottom w:val="none" w:sz="0" w:space="0" w:color="auto"/>
            <w:right w:val="none" w:sz="0" w:space="0" w:color="auto"/>
          </w:divBdr>
          <w:divsChild>
            <w:div w:id="236289129">
              <w:marLeft w:val="0"/>
              <w:marRight w:val="0"/>
              <w:marTop w:val="0"/>
              <w:marBottom w:val="0"/>
              <w:divBdr>
                <w:top w:val="none" w:sz="0" w:space="0" w:color="auto"/>
                <w:left w:val="none" w:sz="0" w:space="0" w:color="auto"/>
                <w:bottom w:val="none" w:sz="0" w:space="0" w:color="auto"/>
                <w:right w:val="none" w:sz="0" w:space="0" w:color="auto"/>
              </w:divBdr>
              <w:divsChild>
                <w:div w:id="1114862390">
                  <w:marLeft w:val="0"/>
                  <w:marRight w:val="0"/>
                  <w:marTop w:val="0"/>
                  <w:marBottom w:val="0"/>
                  <w:divBdr>
                    <w:top w:val="none" w:sz="0" w:space="0" w:color="auto"/>
                    <w:left w:val="none" w:sz="0" w:space="0" w:color="auto"/>
                    <w:bottom w:val="none" w:sz="0" w:space="0" w:color="auto"/>
                    <w:right w:val="none" w:sz="0" w:space="0" w:color="auto"/>
                  </w:divBdr>
                  <w:divsChild>
                    <w:div w:id="9702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0699333">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137557">
      <w:bodyDiv w:val="1"/>
      <w:marLeft w:val="0"/>
      <w:marRight w:val="0"/>
      <w:marTop w:val="0"/>
      <w:marBottom w:val="0"/>
      <w:divBdr>
        <w:top w:val="none" w:sz="0" w:space="0" w:color="auto"/>
        <w:left w:val="none" w:sz="0" w:space="0" w:color="auto"/>
        <w:bottom w:val="none" w:sz="0" w:space="0" w:color="auto"/>
        <w:right w:val="none" w:sz="0" w:space="0" w:color="auto"/>
      </w:divBdr>
      <w:divsChild>
        <w:div w:id="484589314">
          <w:marLeft w:val="0"/>
          <w:marRight w:val="0"/>
          <w:marTop w:val="0"/>
          <w:marBottom w:val="0"/>
          <w:divBdr>
            <w:top w:val="none" w:sz="0" w:space="0" w:color="auto"/>
            <w:left w:val="none" w:sz="0" w:space="0" w:color="auto"/>
            <w:bottom w:val="none" w:sz="0" w:space="0" w:color="auto"/>
            <w:right w:val="none" w:sz="0" w:space="0" w:color="auto"/>
          </w:divBdr>
          <w:divsChild>
            <w:div w:id="1035738428">
              <w:marLeft w:val="0"/>
              <w:marRight w:val="0"/>
              <w:marTop w:val="0"/>
              <w:marBottom w:val="0"/>
              <w:divBdr>
                <w:top w:val="none" w:sz="0" w:space="0" w:color="auto"/>
                <w:left w:val="none" w:sz="0" w:space="0" w:color="auto"/>
                <w:bottom w:val="none" w:sz="0" w:space="0" w:color="auto"/>
                <w:right w:val="none" w:sz="0" w:space="0" w:color="auto"/>
              </w:divBdr>
              <w:divsChild>
                <w:div w:id="1480880815">
                  <w:marLeft w:val="0"/>
                  <w:marRight w:val="0"/>
                  <w:marTop w:val="0"/>
                  <w:marBottom w:val="0"/>
                  <w:divBdr>
                    <w:top w:val="none" w:sz="0" w:space="0" w:color="auto"/>
                    <w:left w:val="none" w:sz="0" w:space="0" w:color="auto"/>
                    <w:bottom w:val="none" w:sz="0" w:space="0" w:color="auto"/>
                    <w:right w:val="none" w:sz="0" w:space="0" w:color="auto"/>
                  </w:divBdr>
                  <w:divsChild>
                    <w:div w:id="2112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215633">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01262882">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73245143">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49916422">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series/FEDFUNDS" TargetMode="External"/><Relationship Id="rId18" Type="http://schemas.openxmlformats.org/officeDocument/2006/relationships/hyperlink" Target="https://fred.stlouisfed.org/series/CLF16OV" TargetMode="External"/><Relationship Id="rId26" Type="http://schemas.openxmlformats.org/officeDocument/2006/relationships/hyperlink" Target="https://fred.stlouisfed.org/series/CPILEGSL" TargetMode="External"/><Relationship Id="rId39" Type="http://schemas.openxmlformats.org/officeDocument/2006/relationships/hyperlink" Target="https://fred.stlouisfed.org/series/GDPC1CTM" TargetMode="External"/><Relationship Id="rId21" Type="http://schemas.openxmlformats.org/officeDocument/2006/relationships/hyperlink" Target="https://fred.stlouisfed.org/series/JTSQUL" TargetMode="External"/><Relationship Id="rId34" Type="http://schemas.openxmlformats.org/officeDocument/2006/relationships/hyperlink" Target="https://fred.stlouisfed.org/series/PCE" TargetMode="External"/><Relationship Id="rId7" Type="http://schemas.openxmlformats.org/officeDocument/2006/relationships/hyperlink" Target="https://fred.stlouisfed.org/series/DPCERY2Q224SBEA"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DAAA" TargetMode="External"/><Relationship Id="rId20" Type="http://schemas.openxmlformats.org/officeDocument/2006/relationships/hyperlink" Target="https://www.philadelphiafed.org/surveys-and-data/real-time-data-research/livingston-survey" TargetMode="External"/><Relationship Id="rId29" Type="http://schemas.openxmlformats.org/officeDocument/2006/relationships/hyperlink" Target="https://fred.stlouisfed.org/series/T5YIE" TargetMode="External"/><Relationship Id="rId41" Type="http://schemas.openxmlformats.org/officeDocument/2006/relationships/hyperlink" Target="https://fred.stlouisfed.org/series/UNRATECTM"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019RY2Q224SBEA" TargetMode="External"/><Relationship Id="rId11" Type="http://schemas.openxmlformats.org/officeDocument/2006/relationships/hyperlink" Target="https://fred.stlouisfed.org/release/tables?rid=18&amp;eid=289&amp;od=2022-06-30" TargetMode="External"/><Relationship Id="rId24" Type="http://schemas.openxmlformats.org/officeDocument/2006/relationships/hyperlink" Target="https://fred.stlouisfed.org/series/PAYEMS" TargetMode="External"/><Relationship Id="rId32" Type="http://schemas.openxmlformats.org/officeDocument/2006/relationships/hyperlink" Target="https://fred.stlouisfed.org/series/MORTGAGE30US" TargetMode="External"/><Relationship Id="rId37" Type="http://schemas.openxmlformats.org/officeDocument/2006/relationships/hyperlink" Target="https://fred.stlouisfed.org/series/UMCSENT" TargetMode="External"/><Relationship Id="rId40" Type="http://schemas.openxmlformats.org/officeDocument/2006/relationships/hyperlink" Target="https://fred.stlouisfed.org/series/PCECTPICTM" TargetMode="External"/><Relationship Id="rId5" Type="http://schemas.openxmlformats.org/officeDocument/2006/relationships/hyperlink" Target="https://fred.stlouisfed.org/series/A822RY2Q224SBEA" TargetMode="External"/><Relationship Id="rId15" Type="http://schemas.openxmlformats.org/officeDocument/2006/relationships/hyperlink" Target="https://fred.stlouisfed.org/series/DBAA" TargetMode="External"/><Relationship Id="rId23" Type="http://schemas.openxmlformats.org/officeDocument/2006/relationships/hyperlink" Target="https://fred.stlouisfed.org/series/U6RATE" TargetMode="External"/><Relationship Id="rId28" Type="http://schemas.openxmlformats.org/officeDocument/2006/relationships/hyperlink" Target="https://fred.stlouisfed.org/series/PPIACO" TargetMode="External"/><Relationship Id="rId36" Type="http://schemas.openxmlformats.org/officeDocument/2006/relationships/hyperlink" Target="https://fred.stlouisfed.org/series/CUSR0000SETA02" TargetMode="External"/><Relationship Id="rId10" Type="http://schemas.openxmlformats.org/officeDocument/2006/relationships/hyperlink" Target="https://fred.stlouisfed.org/series/FEDFUNDS" TargetMode="External"/><Relationship Id="rId19" Type="http://schemas.openxmlformats.org/officeDocument/2006/relationships/hyperlink" Target="https://fred.stlouisfed.org/series/CIVPART" TargetMode="External"/><Relationship Id="rId31" Type="http://schemas.openxmlformats.org/officeDocument/2006/relationships/hyperlink" Target="https://fred.stlouisfed.org/series/HOUST" TargetMode="External"/><Relationship Id="rId4" Type="http://schemas.openxmlformats.org/officeDocument/2006/relationships/hyperlink" Target="https://fred.stlouisfed.org/series/A006RY2Q224SBEA" TargetMode="External"/><Relationship Id="rId9" Type="http://schemas.openxmlformats.org/officeDocument/2006/relationships/hyperlink" Target="https://fred.stlouisfed.org/series/MCUMFN" TargetMode="External"/><Relationship Id="rId14" Type="http://schemas.openxmlformats.org/officeDocument/2006/relationships/hyperlink" Target="https://fred.stlouisfed.org/series/DGS10" TargetMode="External"/><Relationship Id="rId22" Type="http://schemas.openxmlformats.org/officeDocument/2006/relationships/hyperlink" Target="https://fred.stlouisfed.org/series/JTSJOL" TargetMode="External"/><Relationship Id="rId27" Type="http://schemas.openxmlformats.org/officeDocument/2006/relationships/hyperlink" Target="https://fred.stlouisfed.org/series/APU000074714" TargetMode="External"/><Relationship Id="rId30" Type="http://schemas.openxmlformats.org/officeDocument/2006/relationships/hyperlink" Target="https://fred.stlouisfed.org/series/DCOILWTICO" TargetMode="External"/><Relationship Id="rId35" Type="http://schemas.openxmlformats.org/officeDocument/2006/relationships/hyperlink" Target="https://fred.stlouisfed.org/series/CUUR0000SETA01" TargetMode="External"/><Relationship Id="rId8" Type="http://schemas.openxmlformats.org/officeDocument/2006/relationships/hyperlink" Target="https://fred.stlouisfed.org/series/INDPRO" TargetMode="External"/><Relationship Id="rId3" Type="http://schemas.openxmlformats.org/officeDocument/2006/relationships/hyperlink" Target="https://fred.stlouisfed.org/series/GDPC1" TargetMode="External"/><Relationship Id="rId12" Type="http://schemas.openxmlformats.org/officeDocument/2006/relationships/hyperlink" Target="https://fred.stlouisfed.org/series/DFEDTARU" TargetMode="External"/><Relationship Id="rId17" Type="http://schemas.openxmlformats.org/officeDocument/2006/relationships/hyperlink" Target="https://fred.stlouisfed.org/series/UNRATE" TargetMode="External"/><Relationship Id="rId25" Type="http://schemas.openxmlformats.org/officeDocument/2006/relationships/hyperlink" Target="https://fred.stlouisfed.org/series/CPIAUCSL" TargetMode="External"/><Relationship Id="rId33" Type="http://schemas.openxmlformats.org/officeDocument/2006/relationships/hyperlink" Target="https://fred.stlouisfed.org/series/SPCS20RSA" TargetMode="External"/><Relationship Id="rId38" Type="http://schemas.openxmlformats.org/officeDocument/2006/relationships/hyperlink" Target="https://fred.stlouisfed.org/series/VIXC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3049</Words>
  <Characters>17381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3</cp:revision>
  <cp:lastPrinted>2022-08-07T19:26:00Z</cp:lastPrinted>
  <dcterms:created xsi:type="dcterms:W3CDTF">2022-08-07T19:26:00Z</dcterms:created>
  <dcterms:modified xsi:type="dcterms:W3CDTF">2022-08-08T00:07:00Z</dcterms:modified>
</cp:coreProperties>
</file>