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Pr="00B76A73" w:rsidRDefault="008B2769" w:rsidP="002E6FDE">
          <w:pPr>
            <w:jc w:val="right"/>
          </w:pPr>
          <w:r w:rsidRPr="00B76A73">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Pr="00B76A73" w:rsidRDefault="006663D0" w:rsidP="002E6FDE">
          <w:pPr>
            <w:jc w:val="right"/>
          </w:pPr>
        </w:p>
        <w:p w14:paraId="61E7189B" w14:textId="5A4E226B" w:rsidR="006663D0" w:rsidRPr="00B76A73" w:rsidRDefault="00361E70" w:rsidP="00696388">
          <w:pPr>
            <w:jc w:val="right"/>
          </w:pPr>
          <w:r w:rsidRPr="00B76A73">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rsidRPr="00B76A73">
            <w:br/>
          </w:r>
        </w:p>
        <w:p w14:paraId="149D5EEE" w14:textId="3BE1B0C0" w:rsidR="00005111" w:rsidRPr="00B76A73" w:rsidRDefault="006663D0" w:rsidP="002E6FDE">
          <w:pPr>
            <w:jc w:val="right"/>
            <w:rPr>
              <w:color w:val="008FD5"/>
              <w:sz w:val="64"/>
              <w:szCs w:val="64"/>
            </w:rPr>
          </w:pPr>
          <w:r w:rsidRPr="00B76A73">
            <w:rPr>
              <w:color w:val="008FD5"/>
              <w:sz w:val="64"/>
              <w:szCs w:val="64"/>
            </w:rPr>
            <w:t>QUARTERLY ECONOMIC UPDATE</w:t>
          </w:r>
        </w:p>
        <w:p w14:paraId="7ADB2944" w14:textId="6B6015ED" w:rsidR="006663D0" w:rsidRPr="00B76A73" w:rsidRDefault="006663D0" w:rsidP="002E6FDE">
          <w:pPr>
            <w:jc w:val="right"/>
            <w:rPr>
              <w:sz w:val="36"/>
              <w:szCs w:val="36"/>
            </w:rPr>
          </w:pPr>
          <w:r w:rsidRPr="00B76A73">
            <w:rPr>
              <w:sz w:val="36"/>
              <w:szCs w:val="36"/>
            </w:rPr>
            <w:t xml:space="preserve">For the </w:t>
          </w:r>
          <w:r w:rsidR="00802507" w:rsidRPr="00B76A73">
            <w:rPr>
              <w:sz w:val="36"/>
              <w:szCs w:val="36"/>
            </w:rPr>
            <w:t>3</w:t>
          </w:r>
          <w:r w:rsidR="00802507" w:rsidRPr="00B76A73">
            <w:rPr>
              <w:sz w:val="36"/>
              <w:szCs w:val="36"/>
              <w:vertAlign w:val="superscript"/>
            </w:rPr>
            <w:t>r</w:t>
          </w:r>
          <w:r w:rsidR="00B73CC4" w:rsidRPr="00B76A73">
            <w:rPr>
              <w:sz w:val="36"/>
              <w:szCs w:val="36"/>
              <w:vertAlign w:val="superscript"/>
            </w:rPr>
            <w:t>d</w:t>
          </w:r>
          <w:r w:rsidR="00B73CC4" w:rsidRPr="00B76A73">
            <w:rPr>
              <w:sz w:val="36"/>
              <w:szCs w:val="36"/>
            </w:rPr>
            <w:t xml:space="preserve"> </w:t>
          </w:r>
          <w:r w:rsidR="00795ECE" w:rsidRPr="00B76A73">
            <w:rPr>
              <w:sz w:val="36"/>
              <w:szCs w:val="36"/>
            </w:rPr>
            <w:t>Quarter of 202</w:t>
          </w:r>
          <w:r w:rsidR="00121A39" w:rsidRPr="00B76A73">
            <w:rPr>
              <w:sz w:val="36"/>
              <w:szCs w:val="36"/>
            </w:rPr>
            <w:t>2</w:t>
          </w:r>
        </w:p>
        <w:p w14:paraId="45CA5FB6" w14:textId="7FC6A9D9" w:rsidR="006663D0" w:rsidRPr="00B76A73" w:rsidRDefault="006663D0" w:rsidP="002E6FDE">
          <w:pPr>
            <w:jc w:val="right"/>
            <w:rPr>
              <w:sz w:val="36"/>
              <w:szCs w:val="36"/>
            </w:rPr>
          </w:pPr>
        </w:p>
        <w:p w14:paraId="036ED6C8" w14:textId="5EC9A59D" w:rsidR="006663D0" w:rsidRPr="00B76A73" w:rsidRDefault="006663D0" w:rsidP="002E6FDE">
          <w:pPr>
            <w:jc w:val="right"/>
            <w:rPr>
              <w:color w:val="008FD5"/>
              <w:sz w:val="28"/>
              <w:szCs w:val="28"/>
            </w:rPr>
          </w:pPr>
          <w:r w:rsidRPr="00B76A73">
            <w:rPr>
              <w:color w:val="008FD5"/>
              <w:sz w:val="28"/>
              <w:szCs w:val="28"/>
            </w:rPr>
            <w:t>Abstract</w:t>
          </w:r>
        </w:p>
        <w:p w14:paraId="78E365CD" w14:textId="1DCB5F6C" w:rsidR="006663D0" w:rsidRPr="00B76A73" w:rsidRDefault="006663D0" w:rsidP="006663D0">
          <w:pPr>
            <w:jc w:val="right"/>
            <w:rPr>
              <w:sz w:val="20"/>
              <w:szCs w:val="20"/>
            </w:rPr>
          </w:pPr>
          <w:r w:rsidRPr="00B76A73">
            <w:rPr>
              <w:sz w:val="20"/>
              <w:szCs w:val="20"/>
            </w:rPr>
            <w:t xml:space="preserve">Designed for business valuation professionals, </w:t>
          </w:r>
          <w:proofErr w:type="spellStart"/>
          <w:r w:rsidRPr="00B76A73">
            <w:rPr>
              <w:sz w:val="20"/>
              <w:szCs w:val="20"/>
            </w:rPr>
            <w:t>TagniFi’s</w:t>
          </w:r>
          <w:proofErr w:type="spellEnd"/>
          <w:r w:rsidRPr="00B76A73">
            <w:rPr>
              <w:sz w:val="20"/>
              <w:szCs w:val="20"/>
            </w:rPr>
            <w:t xml:space="preserve"> Quarterly Economic </w:t>
          </w:r>
          <w:r w:rsidRPr="00B76A73">
            <w:rPr>
              <w:sz w:val="20"/>
              <w:szCs w:val="20"/>
            </w:rPr>
            <w:br/>
            <w:t>Update provides timely economic data to satisfy Revenue Ruling 56-60.</w:t>
          </w:r>
        </w:p>
        <w:p w14:paraId="149D5EEF" w14:textId="0F932CBB" w:rsidR="00005111" w:rsidRPr="00B76A73" w:rsidRDefault="00005111" w:rsidP="000F1648">
          <w:pPr>
            <w:ind w:hanging="900"/>
          </w:pPr>
          <w:r w:rsidRPr="00B76A73">
            <w:br w:type="page"/>
          </w:r>
        </w:p>
      </w:sdtContent>
    </w:sdt>
    <w:p w14:paraId="149D5EF0" w14:textId="77777777" w:rsidR="00217AD5" w:rsidRPr="00B76A73" w:rsidRDefault="00005111" w:rsidP="00005111">
      <w:pPr>
        <w:pStyle w:val="Heading1"/>
      </w:pPr>
      <w:r w:rsidRPr="00B76A73">
        <w:lastRenderedPageBreak/>
        <w:t>Summary</w:t>
      </w:r>
    </w:p>
    <w:p w14:paraId="1E8B4F1C" w14:textId="2595F872" w:rsidR="00B73CC4" w:rsidRPr="00B76A73" w:rsidRDefault="00B73CC4" w:rsidP="00B73CC4">
      <w:r w:rsidRPr="00B76A73">
        <w:t xml:space="preserve">In the </w:t>
      </w:r>
      <w:r w:rsidR="002366E1" w:rsidRPr="00B76A73">
        <w:t>3</w:t>
      </w:r>
      <w:r w:rsidR="002366E1" w:rsidRPr="00B76A73">
        <w:rPr>
          <w:vertAlign w:val="superscript"/>
        </w:rPr>
        <w:t>rd</w:t>
      </w:r>
      <w:r w:rsidR="002366E1" w:rsidRPr="00B76A73">
        <w:t xml:space="preserve"> </w:t>
      </w:r>
      <w:r w:rsidRPr="00B76A73">
        <w:t xml:space="preserve">quarter of 2022, inflation </w:t>
      </w:r>
      <w:r w:rsidR="002366E1" w:rsidRPr="00B76A73">
        <w:t>continued to be</w:t>
      </w:r>
      <w:r w:rsidRPr="00B76A73">
        <w:t xml:space="preserve"> the focal point of the U.S. economic picture. </w:t>
      </w:r>
      <w:r w:rsidR="00A070BE" w:rsidRPr="00B76A73">
        <w:t>T</w:t>
      </w:r>
      <w:r w:rsidR="002366E1" w:rsidRPr="00B76A73">
        <w:t>he Federal Reserve’s hawkish interest rate hikes and quantitative tightening plan</w:t>
      </w:r>
      <w:r w:rsidR="00A070BE" w:rsidRPr="00B76A73">
        <w:t>s</w:t>
      </w:r>
      <w:r w:rsidR="002366E1" w:rsidRPr="00B76A73">
        <w:t xml:space="preserve"> </w:t>
      </w:r>
      <w:r w:rsidR="00A070BE" w:rsidRPr="00B76A73">
        <w:t>have</w:t>
      </w:r>
      <w:r w:rsidR="002366E1" w:rsidRPr="00B76A73">
        <w:t xml:space="preserve"> </w:t>
      </w:r>
      <w:r w:rsidR="000346C8" w:rsidRPr="00B76A73">
        <w:t xml:space="preserve">thus far </w:t>
      </w:r>
      <w:r w:rsidR="00A070BE" w:rsidRPr="00B76A73">
        <w:t>underperformed expectations to temper blazing inflation</w:t>
      </w:r>
      <w:r w:rsidRPr="00B76A73">
        <w:t xml:space="preserve">. </w:t>
      </w:r>
      <w:r w:rsidR="00EC08F5" w:rsidRPr="00B76A73">
        <w:t>Further, volatile energy costs are no longer at the forefront</w:t>
      </w:r>
      <w:r w:rsidR="000346C8" w:rsidRPr="00B76A73">
        <w:t xml:space="preserve"> of price increases</w:t>
      </w:r>
      <w:r w:rsidR="000B487C" w:rsidRPr="00B76A73">
        <w:t xml:space="preserve">; while inflation among all items fades slightly, “core” inflation, which sets aside traditionally volatile </w:t>
      </w:r>
      <w:r w:rsidR="000346C8" w:rsidRPr="00B76A73">
        <w:t>categories</w:t>
      </w:r>
      <w:r w:rsidR="000B487C" w:rsidRPr="00B76A73">
        <w:t>, is accelerating.</w:t>
      </w:r>
      <w:r w:rsidR="00EC08F5" w:rsidRPr="00B76A73">
        <w:t xml:space="preserve"> </w:t>
      </w:r>
      <w:r w:rsidRPr="00B76A73">
        <w:t>Meanwhile,</w:t>
      </w:r>
      <w:r w:rsidR="00A070BE" w:rsidRPr="00B76A73">
        <w:t xml:space="preserve"> elevated interest rates have taken a</w:t>
      </w:r>
      <w:r w:rsidR="000346C8" w:rsidRPr="00B76A73">
        <w:t xml:space="preserve"> heavy</w:t>
      </w:r>
      <w:r w:rsidR="00A070BE" w:rsidRPr="00B76A73">
        <w:t xml:space="preserve"> toll on capital markets and </w:t>
      </w:r>
      <w:r w:rsidR="002216F6">
        <w:t>slowed</w:t>
      </w:r>
      <w:r w:rsidR="00A070BE" w:rsidRPr="00B76A73">
        <w:t xml:space="preserve"> the housing industry’s </w:t>
      </w:r>
      <w:r w:rsidR="00674475" w:rsidRPr="00B76A73">
        <w:t>seemingly unstoppable momentum</w:t>
      </w:r>
      <w:r w:rsidRPr="00B76A73">
        <w:t>.</w:t>
      </w:r>
    </w:p>
    <w:p w14:paraId="6166A2C3" w14:textId="2293EF9A" w:rsidR="00B73CC4" w:rsidRPr="00B76A73" w:rsidRDefault="00B73CC4" w:rsidP="00B73CC4">
      <w:r w:rsidRPr="00B76A73">
        <w:t xml:space="preserve">The Federal Reserve has </w:t>
      </w:r>
      <w:r w:rsidR="00674475" w:rsidRPr="00B76A73">
        <w:t xml:space="preserve">repeatedly declared their intent to </w:t>
      </w:r>
      <w:r w:rsidR="000346C8" w:rsidRPr="00B76A73">
        <w:t>continue</w:t>
      </w:r>
      <w:r w:rsidR="00674475" w:rsidRPr="00B76A73">
        <w:t xml:space="preserve"> aggressive counter-inflationary policies, particularly interest rate raises, despite the constraints such policies are placing on the U.S. economy</w:t>
      </w:r>
      <w:r w:rsidRPr="00B76A73">
        <w:t xml:space="preserve">. </w:t>
      </w:r>
      <w:r w:rsidR="00674475" w:rsidRPr="00B76A73">
        <w:t xml:space="preserve">In the view of the Fed, the need to contain inflation exceeds the </w:t>
      </w:r>
      <w:r w:rsidR="00C479D5" w:rsidRPr="00B76A73">
        <w:t>need to keep the economy from the grips of recession</w:t>
      </w:r>
      <w:r w:rsidRPr="00B76A73">
        <w:t>.</w:t>
      </w:r>
    </w:p>
    <w:p w14:paraId="397EF885" w14:textId="49FE5F01" w:rsidR="00B73CC4" w:rsidRPr="00B76A73" w:rsidRDefault="00C479D5" w:rsidP="00B73CC4">
      <w:r w:rsidRPr="00B76A73">
        <w:t xml:space="preserve">Concerns of recession abated slightly with the first positive real GDP reading of 2022; however, the major factor behind the boosted production numbers, a narrowing trade deficit, is expected to be short-lived. </w:t>
      </w:r>
      <w:r w:rsidR="00B73CC4" w:rsidRPr="00B76A73">
        <w:t xml:space="preserve">The labor market </w:t>
      </w:r>
      <w:r w:rsidRPr="00B76A73">
        <w:t>continued to be a bright spot in the 3</w:t>
      </w:r>
      <w:r w:rsidRPr="00B76A73">
        <w:rPr>
          <w:vertAlign w:val="superscript"/>
        </w:rPr>
        <w:t>rd</w:t>
      </w:r>
      <w:r w:rsidRPr="00B76A73">
        <w:t xml:space="preserve"> </w:t>
      </w:r>
      <w:r w:rsidR="00B73CC4" w:rsidRPr="00B76A73">
        <w:t xml:space="preserve">quarter of 2022, with the unemployment rate </w:t>
      </w:r>
      <w:r w:rsidRPr="00B76A73">
        <w:t>finally reaching its pre-pandemic level</w:t>
      </w:r>
      <w:r w:rsidR="00EC08F5" w:rsidRPr="00B76A73">
        <w:t xml:space="preserve"> and the labor force participation rate continuing to slowly recover as well</w:t>
      </w:r>
      <w:r w:rsidR="00B73CC4" w:rsidRPr="00B76A73">
        <w:t xml:space="preserve">. </w:t>
      </w:r>
    </w:p>
    <w:p w14:paraId="5317DA1B" w14:textId="361C320F" w:rsidR="000346C8" w:rsidRPr="00B76A73" w:rsidRDefault="00C479D5" w:rsidP="00224BBF">
      <w:r w:rsidRPr="00B76A73">
        <w:t>R</w:t>
      </w:r>
      <w:r w:rsidR="00D96764" w:rsidRPr="00B76A73">
        <w:t>ecorded COVID-19 cases waned throughout the 3</w:t>
      </w:r>
      <w:r w:rsidR="00D96764" w:rsidRPr="00B76A73">
        <w:rPr>
          <w:vertAlign w:val="superscript"/>
        </w:rPr>
        <w:t>rd</w:t>
      </w:r>
      <w:r w:rsidR="00D96764" w:rsidRPr="00B76A73">
        <w:t xml:space="preserve"> quarter </w:t>
      </w:r>
      <w:r w:rsidR="000346C8" w:rsidRPr="00B76A73">
        <w:t xml:space="preserve">of </w:t>
      </w:r>
      <w:r w:rsidR="00D96764" w:rsidRPr="00B76A73">
        <w:t>2022. With widely available at-home test</w:t>
      </w:r>
      <w:r w:rsidR="00DF14A6" w:rsidRPr="00B76A73">
        <w:t>s</w:t>
      </w:r>
      <w:r w:rsidR="00D96764" w:rsidRPr="00B76A73">
        <w:t xml:space="preserve"> and relaxed testing policies </w:t>
      </w:r>
      <w:r w:rsidR="00CA1E58" w:rsidRPr="00B76A73">
        <w:t>in</w:t>
      </w:r>
      <w:r w:rsidR="00D96764" w:rsidRPr="00B76A73">
        <w:t xml:space="preserve"> </w:t>
      </w:r>
      <w:r w:rsidR="00DF14A6" w:rsidRPr="00B76A73">
        <w:t xml:space="preserve">public and private spaces across the U.S., official COVID case rates </w:t>
      </w:r>
      <w:r w:rsidR="00CA1E58" w:rsidRPr="00B76A73">
        <w:t>likely</w:t>
      </w:r>
      <w:r w:rsidR="00DF14A6" w:rsidRPr="00B76A73">
        <w:t xml:space="preserve"> no longer give an accurate picture of the virus’s reach</w:t>
      </w:r>
      <w:r w:rsidR="00224BBF" w:rsidRPr="00B76A73">
        <w:t>.</w:t>
      </w:r>
    </w:p>
    <w:p w14:paraId="045703EE" w14:textId="73991822" w:rsidR="00224BBF" w:rsidRPr="00B76A73" w:rsidRDefault="000E0FA4" w:rsidP="00224BBF">
      <w:r w:rsidRPr="00B76A73">
        <w:t>Vaccines have been established as a reliable way to limit serious illness and death from COVID-19</w:t>
      </w:r>
      <w:r w:rsidR="000346C8" w:rsidRPr="00B76A73">
        <w:t xml:space="preserve">; </w:t>
      </w:r>
      <w:r w:rsidRPr="00B76A73">
        <w:t>4.29 million people were newly vaccinated in the U.S. during the 3</w:t>
      </w:r>
      <w:r w:rsidRPr="00B76A73">
        <w:rPr>
          <w:vertAlign w:val="superscript"/>
        </w:rPr>
        <w:t>rd</w:t>
      </w:r>
      <w:r w:rsidRPr="00B76A73">
        <w:t xml:space="preserve"> quarter. Additionally, 11.1 million booster doses were distributed, including bivalent vaccines authorized for use as booster doses on August 31, 2022</w:t>
      </w:r>
      <w:r w:rsidR="00224BBF" w:rsidRPr="00B76A73">
        <w:t xml:space="preserve">. </w:t>
      </w:r>
      <w:r w:rsidR="003F469F" w:rsidRPr="00B76A73">
        <w:t xml:space="preserve">While speculation continues as to when COVID-19 will reach an endemic phase in the U.S., a combination of vaccination and prior infection has allowed </w:t>
      </w:r>
      <w:r w:rsidR="002366E1" w:rsidRPr="00B76A73">
        <w:t>many aspects of life and commerce to return close</w:t>
      </w:r>
      <w:r w:rsidR="00CA1E58" w:rsidRPr="00B76A73">
        <w:t>r</w:t>
      </w:r>
      <w:r w:rsidR="002366E1" w:rsidRPr="00B76A73">
        <w:t xml:space="preserve"> to normal, a situation reflected by </w:t>
      </w:r>
      <w:r w:rsidR="00FA0EAC" w:rsidRPr="00B76A73">
        <w:t>increased spending on</w:t>
      </w:r>
      <w:r w:rsidR="002366E1" w:rsidRPr="00B76A73">
        <w:t xml:space="preserve"> travel-related services in the 3</w:t>
      </w:r>
      <w:r w:rsidR="002366E1" w:rsidRPr="00B76A73">
        <w:rPr>
          <w:vertAlign w:val="superscript"/>
        </w:rPr>
        <w:t>rd</w:t>
      </w:r>
      <w:r w:rsidR="002366E1" w:rsidRPr="00B76A73">
        <w:t xml:space="preserve"> quarter.</w:t>
      </w:r>
    </w:p>
    <w:p w14:paraId="380DE2B2" w14:textId="5A9BC212" w:rsidR="00F03302" w:rsidRPr="00B76A73" w:rsidRDefault="00B36811" w:rsidP="001E26E8">
      <w:pPr>
        <w:spacing w:before="160"/>
        <w:rPr>
          <w:strike/>
        </w:rPr>
      </w:pPr>
      <w:r w:rsidRPr="00B76A73">
        <w:t>A multifactor indicator of economic strength, the</w:t>
      </w:r>
      <w:r w:rsidR="00A615E8" w:rsidRPr="00B76A73">
        <w:t xml:space="preserve"> Philadelphia Fed’s coincident index</w:t>
      </w:r>
      <w:r w:rsidR="00EC7CB1" w:rsidRPr="00B76A73">
        <w:rPr>
          <w:rStyle w:val="FootnoteReference"/>
        </w:rPr>
        <w:footnoteReference w:id="1"/>
      </w:r>
      <w:r w:rsidR="00A615E8" w:rsidRPr="00B76A73">
        <w:t xml:space="preserve"> of economic activity in the U.S. </w:t>
      </w:r>
      <w:r w:rsidR="003A390C" w:rsidRPr="00B76A73">
        <w:t xml:space="preserve">rose </w:t>
      </w:r>
      <w:r w:rsidR="00795ECE" w:rsidRPr="00B76A73">
        <w:t>0.</w:t>
      </w:r>
      <w:r w:rsidR="00802507" w:rsidRPr="00B76A73">
        <w:t>4</w:t>
      </w:r>
      <w:r w:rsidR="003A390C" w:rsidRPr="00B76A73">
        <w:t xml:space="preserve">% in </w:t>
      </w:r>
      <w:r w:rsidR="00802507" w:rsidRPr="00B76A73">
        <w:t>September</w:t>
      </w:r>
      <w:r w:rsidR="00795ECE" w:rsidRPr="00B76A73">
        <w:t xml:space="preserve"> 202</w:t>
      </w:r>
      <w:r w:rsidR="00121A39" w:rsidRPr="00B76A73">
        <w:t>2</w:t>
      </w:r>
      <w:r w:rsidR="00795ECE" w:rsidRPr="00B76A73">
        <w:t xml:space="preserve"> </w:t>
      </w:r>
      <w:r w:rsidR="00C10F0A" w:rsidRPr="00B76A73">
        <w:t xml:space="preserve">and </w:t>
      </w:r>
      <w:r w:rsidR="00802507" w:rsidRPr="00B76A73">
        <w:t>1.0</w:t>
      </w:r>
      <w:r w:rsidR="00C10F0A" w:rsidRPr="00B76A73">
        <w:t xml:space="preserve">% </w:t>
      </w:r>
      <w:r w:rsidR="00EC7CB1" w:rsidRPr="00B76A73">
        <w:t>during</w:t>
      </w:r>
      <w:r w:rsidR="00A615E8" w:rsidRPr="00B76A73">
        <w:t xml:space="preserve"> the </w:t>
      </w:r>
      <w:r w:rsidR="00802507" w:rsidRPr="00B76A73">
        <w:t>3</w:t>
      </w:r>
      <w:r w:rsidR="00802507" w:rsidRPr="00B76A73">
        <w:rPr>
          <w:vertAlign w:val="superscript"/>
        </w:rPr>
        <w:t>rd</w:t>
      </w:r>
      <w:r w:rsidR="00802507" w:rsidRPr="00B76A73">
        <w:t xml:space="preserve"> </w:t>
      </w:r>
      <w:r w:rsidR="00A615E8" w:rsidRPr="00B76A73">
        <w:t>quarter</w:t>
      </w:r>
      <w:r w:rsidR="00AF420E" w:rsidRPr="00B76A73">
        <w:t xml:space="preserve">. </w:t>
      </w:r>
      <w:r w:rsidR="00EC7CB1" w:rsidRPr="00B76A73">
        <w:t>For the quarter</w:t>
      </w:r>
      <w:r w:rsidR="00A615E8" w:rsidRPr="00B76A73">
        <w:t xml:space="preserve">, coincident indexes </w:t>
      </w:r>
      <w:r w:rsidR="00C10F0A" w:rsidRPr="00B76A73">
        <w:t>increased</w:t>
      </w:r>
      <w:r w:rsidR="003A390C" w:rsidRPr="00B76A73">
        <w:t xml:space="preserve"> in </w:t>
      </w:r>
      <w:r w:rsidR="00B73CC4" w:rsidRPr="00B76A73">
        <w:t>4</w:t>
      </w:r>
      <w:r w:rsidR="00802507" w:rsidRPr="00B76A73">
        <w:t>4</w:t>
      </w:r>
      <w:r w:rsidR="00BD7409" w:rsidRPr="00B76A73">
        <w:t xml:space="preserve"> </w:t>
      </w:r>
      <w:r w:rsidR="003A390C" w:rsidRPr="00B76A73">
        <w:t>state</w:t>
      </w:r>
      <w:r w:rsidR="005B7A7E" w:rsidRPr="00B76A73">
        <w:t>s</w:t>
      </w:r>
      <w:r w:rsidR="00802507" w:rsidRPr="00B76A73">
        <w:t>,</w:t>
      </w:r>
      <w:r w:rsidR="00B73CC4" w:rsidRPr="00B76A73">
        <w:t xml:space="preserve"> decreased</w:t>
      </w:r>
      <w:r w:rsidR="00F22E71" w:rsidRPr="00B76A73">
        <w:t xml:space="preserve"> in </w:t>
      </w:r>
      <w:r w:rsidR="00B06916" w:rsidRPr="00B76A73">
        <w:t>3</w:t>
      </w:r>
      <w:r w:rsidR="00F22E71" w:rsidRPr="00B76A73">
        <w:t xml:space="preserve"> states</w:t>
      </w:r>
      <w:r w:rsidR="00802507" w:rsidRPr="00B76A73">
        <w:t xml:space="preserve">, and </w:t>
      </w:r>
      <w:r w:rsidR="00CA1E58" w:rsidRPr="00B76A73">
        <w:t>were</w:t>
      </w:r>
      <w:r w:rsidR="00802507" w:rsidRPr="00B76A73">
        <w:t xml:space="preserve"> unchanged in </w:t>
      </w:r>
      <w:r w:rsidR="00B06916" w:rsidRPr="00B76A73">
        <w:t>3</w:t>
      </w:r>
      <w:r w:rsidR="00802507" w:rsidRPr="00B76A73">
        <w:t xml:space="preserve"> states</w:t>
      </w:r>
      <w:r w:rsidR="00A615E8" w:rsidRPr="00B76A73">
        <w:t xml:space="preserve">. Coincident indexes reflect </w:t>
      </w:r>
      <w:r w:rsidR="00714B74" w:rsidRPr="00B76A73">
        <w:t>unemployment, payroll employment, manufacturing hours, and wages and salaries</w:t>
      </w:r>
      <w:r w:rsidR="00A14CD4" w:rsidRPr="00B76A73">
        <w:t>.</w:t>
      </w:r>
      <w:r w:rsidR="00714B74" w:rsidRPr="00B76A73">
        <w:t xml:space="preserve"> </w:t>
      </w:r>
    </w:p>
    <w:p w14:paraId="7739DC43" w14:textId="2F759998" w:rsidR="00A96A6A" w:rsidRPr="00B76A73" w:rsidRDefault="0027585A" w:rsidP="006D4E8F">
      <w:pPr>
        <w:jc w:val="center"/>
      </w:pPr>
      <w:r w:rsidRPr="00B76A73">
        <w:rPr>
          <w:noProof/>
        </w:rPr>
        <w:lastRenderedPageBreak/>
        <w:t xml:space="preserve"> </w:t>
      </w:r>
      <w:r w:rsidR="00B06916" w:rsidRPr="00B76A73">
        <w:rPr>
          <w:noProof/>
        </w:rPr>
        <w:drawing>
          <wp:inline distT="0" distB="0" distL="0" distR="0" wp14:anchorId="1A2F9950" wp14:editId="501868F9">
            <wp:extent cx="5943600" cy="3265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p w14:paraId="022CFF26" w14:textId="15DC16AB" w:rsidR="003477B7" w:rsidRPr="00B76A73" w:rsidRDefault="00CA4851" w:rsidP="008C0F54">
      <w:pPr>
        <w:spacing w:before="160"/>
      </w:pPr>
      <w:r w:rsidRPr="00B76A73">
        <w:t>T</w:t>
      </w:r>
      <w:r w:rsidR="009E4D8D" w:rsidRPr="00B76A73">
        <w:t>he U.S. dollar index</w:t>
      </w:r>
      <w:r w:rsidR="00DA3959" w:rsidRPr="00B76A73">
        <w:t xml:space="preserve"> for goods and services</w:t>
      </w:r>
      <w:r w:rsidR="00053E46" w:rsidRPr="00B76A73">
        <w:rPr>
          <w:rStyle w:val="FootnoteReference"/>
        </w:rPr>
        <w:footnoteReference w:id="2"/>
      </w:r>
      <w:r w:rsidR="009E4D8D" w:rsidRPr="00B76A73">
        <w:t xml:space="preserve"> </w:t>
      </w:r>
      <w:r w:rsidR="004903C9" w:rsidRPr="00B76A73">
        <w:t xml:space="preserve">rose </w:t>
      </w:r>
      <w:r w:rsidR="001E203A" w:rsidRPr="00B76A73">
        <w:t>5.44</w:t>
      </w:r>
      <w:r w:rsidR="004903C9" w:rsidRPr="00B76A73">
        <w:t>%</w:t>
      </w:r>
      <w:r w:rsidR="00442565" w:rsidRPr="00B76A73">
        <w:t xml:space="preserve"> during</w:t>
      </w:r>
      <w:r w:rsidR="00DA3959" w:rsidRPr="00B76A73">
        <w:t xml:space="preserve"> the </w:t>
      </w:r>
      <w:r w:rsidR="001E203A" w:rsidRPr="00B76A73">
        <w:t>3</w:t>
      </w:r>
      <w:r w:rsidR="001E203A" w:rsidRPr="00B76A73">
        <w:rPr>
          <w:vertAlign w:val="superscript"/>
        </w:rPr>
        <w:t>rd</w:t>
      </w:r>
      <w:r w:rsidR="001E203A" w:rsidRPr="00B76A73">
        <w:t xml:space="preserve"> </w:t>
      </w:r>
      <w:r w:rsidR="00D5040E" w:rsidRPr="00B76A73">
        <w:t>quarter of 202</w:t>
      </w:r>
      <w:r w:rsidR="003D52B8" w:rsidRPr="00B76A73">
        <w:t>2</w:t>
      </w:r>
      <w:r w:rsidR="004903C9" w:rsidRPr="00B76A73">
        <w:t xml:space="preserve"> and</w:t>
      </w:r>
      <w:r w:rsidR="000A6B19" w:rsidRPr="00B76A73">
        <w:t xml:space="preserve"> </w:t>
      </w:r>
      <w:r w:rsidR="001E203A" w:rsidRPr="00B76A73">
        <w:t>11.3</w:t>
      </w:r>
      <w:r w:rsidR="007939CA" w:rsidRPr="00B76A73">
        <w:t xml:space="preserve">% </w:t>
      </w:r>
      <w:r w:rsidR="004903C9" w:rsidRPr="00B76A73">
        <w:t>since</w:t>
      </w:r>
      <w:r w:rsidR="007939CA" w:rsidRPr="00B76A73">
        <w:t xml:space="preserve"> </w:t>
      </w:r>
      <w:r w:rsidR="001E203A" w:rsidRPr="00B76A73">
        <w:t>September</w:t>
      </w:r>
      <w:r w:rsidR="003D52B8" w:rsidRPr="00B76A73">
        <w:t xml:space="preserve"> 2021</w:t>
      </w:r>
      <w:r w:rsidR="009E4D8D" w:rsidRPr="00B76A73">
        <w:t>.</w:t>
      </w:r>
      <w:r w:rsidR="002857FD" w:rsidRPr="00B76A73">
        <w:t xml:space="preserve"> </w:t>
      </w:r>
      <w:r w:rsidR="000B43C0" w:rsidRPr="00B76A73">
        <w:t>The dollar</w:t>
      </w:r>
      <w:r w:rsidR="00E46B99" w:rsidRPr="00B76A73">
        <w:t xml:space="preserve">, a common safe-haven investment when the world economy shows signs of weakness, </w:t>
      </w:r>
      <w:r w:rsidR="002E782B" w:rsidRPr="00B76A73">
        <w:t xml:space="preserve">soared past its pandemic-era apex as the Federal Reserve continued </w:t>
      </w:r>
      <w:r w:rsidR="00FA2FDA" w:rsidRPr="00B76A73">
        <w:t xml:space="preserve">enacting </w:t>
      </w:r>
      <w:r w:rsidR="002E782B" w:rsidRPr="00B76A73">
        <w:t>aggressive</w:t>
      </w:r>
      <w:r w:rsidR="006C534C" w:rsidRPr="00B76A73">
        <w:t xml:space="preserve"> interest rate hike</w:t>
      </w:r>
      <w:r w:rsidR="002E782B" w:rsidRPr="00B76A73">
        <w:t>s</w:t>
      </w:r>
      <w:r w:rsidR="00FA2FDA" w:rsidRPr="00B76A73">
        <w:t xml:space="preserve">, which raised target rates </w:t>
      </w:r>
      <w:r w:rsidR="002E782B" w:rsidRPr="00B76A73">
        <w:t>300 basis points from March to September</w:t>
      </w:r>
      <w:r w:rsidR="0079151F" w:rsidRPr="00B76A73">
        <w:t>.</w:t>
      </w:r>
      <w:r w:rsidR="006C534C" w:rsidRPr="00B76A73">
        <w:t xml:space="preserve"> </w:t>
      </w:r>
      <w:r w:rsidR="00FA2FDA" w:rsidRPr="00B76A73">
        <w:t>The dollar’s strength amplified inflationary pressures elsewhere in the global economy, especially as England</w:t>
      </w:r>
      <w:r w:rsidR="00530EFD" w:rsidRPr="00B76A73">
        <w:t xml:space="preserve"> unveiled dovish plans despite its own high inflation</w:t>
      </w:r>
      <w:r w:rsidR="00E46B99" w:rsidRPr="00B76A73">
        <w:t>.</w:t>
      </w:r>
      <w:r w:rsidR="00530EFD" w:rsidRPr="00B76A73">
        <w:t xml:space="preserve"> Historically, dollar surges this strong have heralded troubled economic waters.</w:t>
      </w:r>
    </w:p>
    <w:p w14:paraId="5FD9C9E3" w14:textId="19D58F79" w:rsidR="004D1C9D" w:rsidRPr="00B76A73" w:rsidRDefault="00B06916" w:rsidP="006D4E8F">
      <w:pPr>
        <w:jc w:val="center"/>
      </w:pPr>
      <w:r w:rsidRPr="00B76A73">
        <w:rPr>
          <w:noProof/>
        </w:rPr>
        <w:lastRenderedPageBreak/>
        <w:drawing>
          <wp:inline distT="0" distB="0" distL="0" distR="0" wp14:anchorId="1E6F544C" wp14:editId="22D328EB">
            <wp:extent cx="4097020" cy="2658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EF9" w14:textId="3A55D645" w:rsidR="002731EF" w:rsidRPr="00B76A73" w:rsidRDefault="001058D4" w:rsidP="001475FF">
      <w:pPr>
        <w:pStyle w:val="Heading1"/>
      </w:pPr>
      <w:r w:rsidRPr="00B76A73">
        <w:t>Q</w:t>
      </w:r>
      <w:r w:rsidR="0010377C">
        <w:t>3</w:t>
      </w:r>
      <w:r w:rsidRPr="00B76A73">
        <w:t xml:space="preserve"> </w:t>
      </w:r>
      <w:r w:rsidR="002731EF" w:rsidRPr="00B76A73">
        <w:t>Economic Highlights</w:t>
      </w:r>
    </w:p>
    <w:p w14:paraId="7FCBE057" w14:textId="52BF2A6F" w:rsidR="00540D2B" w:rsidRPr="00B76A73" w:rsidRDefault="00540D2B" w:rsidP="00E528F7">
      <w:pPr>
        <w:pStyle w:val="ListParagraph"/>
        <w:numPr>
          <w:ilvl w:val="0"/>
          <w:numId w:val="3"/>
        </w:numPr>
      </w:pPr>
      <w:r w:rsidRPr="00B76A73">
        <w:t xml:space="preserve">The Philadelphia Fed’s coincident index of economic activity in the U.S. </w:t>
      </w:r>
      <w:r w:rsidR="007618D6" w:rsidRPr="00B76A73">
        <w:t>rose 0.</w:t>
      </w:r>
      <w:r w:rsidR="00530EFD" w:rsidRPr="00B76A73">
        <w:t>4</w:t>
      </w:r>
      <w:r w:rsidR="007618D6" w:rsidRPr="00B76A73">
        <w:t xml:space="preserve">% in </w:t>
      </w:r>
      <w:r w:rsidR="00530EFD" w:rsidRPr="00B76A73">
        <w:t>September</w:t>
      </w:r>
      <w:r w:rsidR="007618D6" w:rsidRPr="00B76A73">
        <w:t xml:space="preserve"> 2022 and </w:t>
      </w:r>
      <w:r w:rsidR="00530EFD" w:rsidRPr="00B76A73">
        <w:t>1.0</w:t>
      </w:r>
      <w:r w:rsidR="007618D6" w:rsidRPr="00B76A73">
        <w:t xml:space="preserve">% during the </w:t>
      </w:r>
      <w:r w:rsidR="00530EFD" w:rsidRPr="00B76A73">
        <w:t>3</w:t>
      </w:r>
      <w:r w:rsidR="00530EFD" w:rsidRPr="00B76A73">
        <w:rPr>
          <w:vertAlign w:val="superscript"/>
        </w:rPr>
        <w:t>rd</w:t>
      </w:r>
      <w:r w:rsidR="00530EFD" w:rsidRPr="00B76A73">
        <w:t xml:space="preserve"> </w:t>
      </w:r>
      <w:r w:rsidR="007618D6" w:rsidRPr="00B76A73">
        <w:t>quarter</w:t>
      </w:r>
      <w:r w:rsidRPr="00B76A73">
        <w:t>.</w:t>
      </w:r>
    </w:p>
    <w:p w14:paraId="149D5EFA" w14:textId="6F56DD65" w:rsidR="002608F3" w:rsidRPr="00B76A73" w:rsidRDefault="006C2DAB" w:rsidP="00E528F7">
      <w:pPr>
        <w:pStyle w:val="ListParagraph"/>
        <w:numPr>
          <w:ilvl w:val="0"/>
          <w:numId w:val="3"/>
        </w:numPr>
      </w:pPr>
      <w:r w:rsidRPr="00B76A73">
        <w:t xml:space="preserve">Real GDP </w:t>
      </w:r>
      <w:r w:rsidR="006449AC" w:rsidRPr="00B76A73">
        <w:t>for the 3</w:t>
      </w:r>
      <w:r w:rsidR="006449AC" w:rsidRPr="00B76A73">
        <w:rPr>
          <w:vertAlign w:val="superscript"/>
        </w:rPr>
        <w:t>rd</w:t>
      </w:r>
      <w:r w:rsidR="006449AC" w:rsidRPr="00B76A73">
        <w:t xml:space="preserve"> quarter of 2022 grew at an annualized rate of 2.6%, following a 0.6% decrease in the 2</w:t>
      </w:r>
      <w:r w:rsidR="006449AC" w:rsidRPr="00B76A73">
        <w:rPr>
          <w:vertAlign w:val="superscript"/>
        </w:rPr>
        <w:t>nd</w:t>
      </w:r>
      <w:r w:rsidR="006449AC" w:rsidRPr="00B76A73">
        <w:t xml:space="preserve"> quarter of 2022</w:t>
      </w:r>
      <w:r w:rsidR="00D93A8B" w:rsidRPr="00B76A73">
        <w:t>.</w:t>
      </w:r>
    </w:p>
    <w:p w14:paraId="149D5EFC" w14:textId="388C9E0F" w:rsidR="00E24F81" w:rsidRPr="00B76A73" w:rsidRDefault="00E24F81" w:rsidP="00E528F7">
      <w:pPr>
        <w:pStyle w:val="ListParagraph"/>
        <w:numPr>
          <w:ilvl w:val="0"/>
          <w:numId w:val="3"/>
        </w:numPr>
      </w:pPr>
      <w:r w:rsidRPr="00B76A73">
        <w:t xml:space="preserve">The U.S. dollar index </w:t>
      </w:r>
      <w:r w:rsidR="007618D6" w:rsidRPr="00B76A73">
        <w:t xml:space="preserve">rose </w:t>
      </w:r>
      <w:r w:rsidR="00530EFD" w:rsidRPr="00B76A73">
        <w:t>5.44</w:t>
      </w:r>
      <w:r w:rsidR="007618D6" w:rsidRPr="00B76A73">
        <w:t xml:space="preserve">% during the </w:t>
      </w:r>
      <w:r w:rsidR="00530EFD" w:rsidRPr="00B76A73">
        <w:t>3</w:t>
      </w:r>
      <w:r w:rsidR="00530EFD" w:rsidRPr="00B76A73">
        <w:rPr>
          <w:vertAlign w:val="superscript"/>
        </w:rPr>
        <w:t>rd</w:t>
      </w:r>
      <w:r w:rsidR="00530EFD" w:rsidRPr="00B76A73">
        <w:t xml:space="preserve"> </w:t>
      </w:r>
      <w:r w:rsidR="007618D6" w:rsidRPr="00B76A73">
        <w:t xml:space="preserve">quarter of 2022 and </w:t>
      </w:r>
      <w:r w:rsidR="00530EFD" w:rsidRPr="00B76A73">
        <w:t>11.3</w:t>
      </w:r>
      <w:r w:rsidR="007618D6" w:rsidRPr="00B76A73">
        <w:t xml:space="preserve">% since </w:t>
      </w:r>
      <w:r w:rsidR="00530EFD" w:rsidRPr="00B76A73">
        <w:t>September</w:t>
      </w:r>
      <w:r w:rsidR="007618D6" w:rsidRPr="00B76A73">
        <w:t xml:space="preserve"> of 2021</w:t>
      </w:r>
      <w:r w:rsidRPr="00B76A73">
        <w:t>.</w:t>
      </w:r>
    </w:p>
    <w:p w14:paraId="149D5EFD" w14:textId="18761717" w:rsidR="0076717F" w:rsidRPr="00B76A73" w:rsidRDefault="00591A62" w:rsidP="00E528F7">
      <w:pPr>
        <w:pStyle w:val="ListParagraph"/>
        <w:numPr>
          <w:ilvl w:val="0"/>
          <w:numId w:val="3"/>
        </w:numPr>
      </w:pPr>
      <w:r w:rsidRPr="00B76A73">
        <w:t xml:space="preserve">The effective federal funds rate </w:t>
      </w:r>
      <w:r w:rsidR="006449AC" w:rsidRPr="00B76A73">
        <w:t>rose 1.35 percentage point</w:t>
      </w:r>
      <w:r w:rsidR="00455043" w:rsidRPr="00B76A73">
        <w:t>s</w:t>
      </w:r>
      <w:r w:rsidR="006449AC" w:rsidRPr="00B76A73">
        <w:t xml:space="preserve"> to 2.56% during the 3</w:t>
      </w:r>
      <w:r w:rsidR="006449AC" w:rsidRPr="00B76A73">
        <w:rPr>
          <w:vertAlign w:val="superscript"/>
        </w:rPr>
        <w:t>rd</w:t>
      </w:r>
      <w:r w:rsidR="006449AC" w:rsidRPr="00B76A73">
        <w:t xml:space="preserve"> quarter, continuing </w:t>
      </w:r>
      <w:r w:rsidR="00D03C98" w:rsidRPr="00B76A73">
        <w:t>the climb from near-zero levels in March</w:t>
      </w:r>
      <w:r w:rsidR="00D93A8B" w:rsidRPr="00B76A73">
        <w:t xml:space="preserve">. </w:t>
      </w:r>
    </w:p>
    <w:p w14:paraId="6AA929FC" w14:textId="1379CCF7" w:rsidR="00591A62" w:rsidRPr="00B76A73" w:rsidRDefault="006449AC" w:rsidP="0069122E">
      <w:pPr>
        <w:pStyle w:val="ListParagraph"/>
        <w:numPr>
          <w:ilvl w:val="0"/>
          <w:numId w:val="3"/>
        </w:numPr>
      </w:pPr>
      <w:r w:rsidRPr="00B76A73">
        <w:t xml:space="preserve">The 1-year and 2-year annual treasury yields ended the </w:t>
      </w:r>
      <w:r w:rsidR="00C35489" w:rsidRPr="00B76A73">
        <w:t>3</w:t>
      </w:r>
      <w:r w:rsidR="00C35489" w:rsidRPr="00B76A73">
        <w:rPr>
          <w:vertAlign w:val="superscript"/>
        </w:rPr>
        <w:t>rd</w:t>
      </w:r>
      <w:r w:rsidR="00C35489" w:rsidRPr="00B76A73">
        <w:t xml:space="preserve"> </w:t>
      </w:r>
      <w:r w:rsidRPr="00B76A73">
        <w:t>quarter at 4.05% and 4.22%, respectively. The benchmark 10-year treasury yielded 3.83% at the end of the quarter, while the 30-year treasury yielded 3.79%</w:t>
      </w:r>
      <w:r w:rsidRPr="00B76A73">
        <w:rPr>
          <w:color w:val="000000" w:themeColor="text1"/>
        </w:rPr>
        <w:t>.</w:t>
      </w:r>
    </w:p>
    <w:p w14:paraId="2A4826B3" w14:textId="31E8EE56" w:rsidR="0069122E" w:rsidRPr="00B76A73" w:rsidRDefault="0069122E" w:rsidP="0069122E">
      <w:pPr>
        <w:pStyle w:val="ListParagraph"/>
        <w:numPr>
          <w:ilvl w:val="0"/>
          <w:numId w:val="3"/>
        </w:numPr>
      </w:pPr>
      <w:r w:rsidRPr="00B76A73">
        <w:t xml:space="preserve">Unemployment </w:t>
      </w:r>
      <w:r w:rsidR="006449AC" w:rsidRPr="00B76A73">
        <w:t>inched down to 3.5% during the 3</w:t>
      </w:r>
      <w:r w:rsidR="006449AC" w:rsidRPr="00B76A73">
        <w:rPr>
          <w:vertAlign w:val="superscript"/>
        </w:rPr>
        <w:t>rd</w:t>
      </w:r>
      <w:r w:rsidR="006449AC" w:rsidRPr="00B76A73">
        <w:t xml:space="preserve"> quarter of 2022. </w:t>
      </w:r>
      <w:r w:rsidR="00F051F3" w:rsidRPr="00B76A73">
        <w:t xml:space="preserve">Nonfarm payrolls </w:t>
      </w:r>
      <w:r w:rsidR="006449AC" w:rsidRPr="00B76A73">
        <w:t>grew by 1.1 million jobs in the 3</w:t>
      </w:r>
      <w:r w:rsidR="006449AC" w:rsidRPr="00B76A73">
        <w:rPr>
          <w:vertAlign w:val="superscript"/>
        </w:rPr>
        <w:t>rd</w:t>
      </w:r>
      <w:r w:rsidR="006449AC" w:rsidRPr="00B76A73">
        <w:t xml:space="preserve"> quarter</w:t>
      </w:r>
      <w:r w:rsidR="00CF666C" w:rsidRPr="00B76A73">
        <w:rPr>
          <w:color w:val="000000" w:themeColor="text1"/>
        </w:rPr>
        <w:t>.</w:t>
      </w:r>
      <w:r w:rsidR="00C328EF" w:rsidRPr="00B76A73">
        <w:t xml:space="preserve"> </w:t>
      </w:r>
    </w:p>
    <w:p w14:paraId="149D5EFF" w14:textId="4B4DA922" w:rsidR="003E4ACB" w:rsidRPr="00B76A73" w:rsidRDefault="007A4896" w:rsidP="00E528F7">
      <w:pPr>
        <w:pStyle w:val="ListParagraph"/>
        <w:numPr>
          <w:ilvl w:val="0"/>
          <w:numId w:val="3"/>
        </w:numPr>
      </w:pPr>
      <w:r w:rsidRPr="00B76A73">
        <w:t>The Consumer Price Index</w:t>
      </w:r>
      <w:r w:rsidR="006E4B4F" w:rsidRPr="00B76A73">
        <w:t xml:space="preserve"> </w:t>
      </w:r>
      <w:r w:rsidR="006449AC" w:rsidRPr="00B76A73">
        <w:t>rose 8.2% year-over-year in September, down from its 40-year high of 9.0% in June. Excluding volatile energy prices, the annual increase was 7.3%</w:t>
      </w:r>
      <w:r w:rsidR="00880496" w:rsidRPr="00B76A73">
        <w:t xml:space="preserve">. </w:t>
      </w:r>
    </w:p>
    <w:p w14:paraId="02DFF80C" w14:textId="24F66798" w:rsidR="0069122E" w:rsidRPr="00B76A73" w:rsidRDefault="00D04F3A" w:rsidP="0069122E">
      <w:pPr>
        <w:pStyle w:val="ListParagraph"/>
        <w:numPr>
          <w:ilvl w:val="0"/>
          <w:numId w:val="3"/>
        </w:numPr>
      </w:pPr>
      <w:r w:rsidRPr="00B76A73">
        <w:t xml:space="preserve">Crude </w:t>
      </w:r>
      <w:r w:rsidR="0024113D" w:rsidRPr="00B76A73">
        <w:t xml:space="preserve">oil </w:t>
      </w:r>
      <w:r w:rsidRPr="00B76A73">
        <w:t xml:space="preserve">prices </w:t>
      </w:r>
      <w:r w:rsidR="006449AC" w:rsidRPr="00B76A73">
        <w:t>ended the quarter at $79.91 per barrel, 25.8% lower than one quarter earlier</w:t>
      </w:r>
      <w:r w:rsidR="0069122E" w:rsidRPr="00B76A73">
        <w:t>.</w:t>
      </w:r>
    </w:p>
    <w:p w14:paraId="149D5F00" w14:textId="30FCD0B1" w:rsidR="003E4ACB" w:rsidRPr="00B76A73" w:rsidRDefault="00D04F3A" w:rsidP="00E528F7">
      <w:pPr>
        <w:pStyle w:val="ListParagraph"/>
        <w:numPr>
          <w:ilvl w:val="0"/>
          <w:numId w:val="3"/>
        </w:numPr>
      </w:pPr>
      <w:r w:rsidRPr="00B76A73">
        <w:t xml:space="preserve">New home starts </w:t>
      </w:r>
      <w:r w:rsidR="006449AC" w:rsidRPr="00B76A73">
        <w:t>fell to 1.44 million in September, down 8.6% for the quarter and 7.7% for the year</w:t>
      </w:r>
      <w:r w:rsidR="0035542E" w:rsidRPr="00B76A73">
        <w:t>.</w:t>
      </w:r>
      <w:r w:rsidR="00BC13CC" w:rsidRPr="00B76A73">
        <w:t xml:space="preserve"> </w:t>
      </w:r>
    </w:p>
    <w:p w14:paraId="149D5F03" w14:textId="0D26D006" w:rsidR="00867D68" w:rsidRPr="00B76A73" w:rsidRDefault="006449AC" w:rsidP="00F94484">
      <w:pPr>
        <w:pStyle w:val="ListParagraph"/>
        <w:numPr>
          <w:ilvl w:val="0"/>
          <w:numId w:val="3"/>
        </w:numPr>
      </w:pPr>
      <w:r w:rsidRPr="00B76A73">
        <w:rPr>
          <w:noProof/>
        </w:rPr>
        <w:t>The Dow Jones Transportation Average dropped 8.4% during the 3</w:t>
      </w:r>
      <w:r w:rsidRPr="00B76A73">
        <w:rPr>
          <w:noProof/>
          <w:vertAlign w:val="superscript"/>
        </w:rPr>
        <w:t>rd</w:t>
      </w:r>
      <w:r w:rsidRPr="00B76A73">
        <w:rPr>
          <w:noProof/>
        </w:rPr>
        <w:t xml:space="preserve"> quarter of 2022, the Dow Jones Composite fell 7.4%, and the Dow Jones Industrial decreased 6.7%. The S&amp;P 500 was down 5.3%</w:t>
      </w:r>
      <w:r w:rsidR="00F051F3" w:rsidRPr="00B76A73">
        <w:rPr>
          <w:noProof/>
        </w:rPr>
        <w:t>.</w:t>
      </w:r>
    </w:p>
    <w:p w14:paraId="149D5F04" w14:textId="77777777" w:rsidR="00057711" w:rsidRPr="00B76A73" w:rsidRDefault="00057711" w:rsidP="00057711">
      <w:pPr>
        <w:pStyle w:val="Heading1"/>
      </w:pPr>
      <w:r w:rsidRPr="00B76A73">
        <w:lastRenderedPageBreak/>
        <w:t>Business Activity</w:t>
      </w:r>
    </w:p>
    <w:p w14:paraId="25413EE4" w14:textId="468049BE" w:rsidR="00A96A6A" w:rsidRPr="00B76A73" w:rsidRDefault="00142F71" w:rsidP="00057711">
      <w:r w:rsidRPr="00B76A73">
        <w:t>R</w:t>
      </w:r>
      <w:r w:rsidR="0080028D" w:rsidRPr="00B76A73">
        <w:t>eal gross domestic product (GDP)</w:t>
      </w:r>
      <w:r w:rsidR="00A8559D" w:rsidRPr="00B76A73">
        <w:rPr>
          <w:rStyle w:val="FootnoteReference"/>
        </w:rPr>
        <w:footnoteReference w:id="3"/>
      </w:r>
      <w:r w:rsidR="0080028D" w:rsidRPr="00B76A73">
        <w:t xml:space="preserve"> </w:t>
      </w:r>
      <w:r w:rsidR="00DD2ED8" w:rsidRPr="00B76A73">
        <w:t xml:space="preserve">exceeded expectations </w:t>
      </w:r>
      <w:r w:rsidR="002F57B6" w:rsidRPr="00B76A73">
        <w:t xml:space="preserve">for the </w:t>
      </w:r>
      <w:r w:rsidR="00D34B81" w:rsidRPr="00B76A73">
        <w:t>3</w:t>
      </w:r>
      <w:r w:rsidR="00D34B81" w:rsidRPr="00B76A73">
        <w:rPr>
          <w:vertAlign w:val="superscript"/>
        </w:rPr>
        <w:t>rd</w:t>
      </w:r>
      <w:r w:rsidR="00D34B81" w:rsidRPr="00B76A73">
        <w:t xml:space="preserve"> </w:t>
      </w:r>
      <w:r w:rsidR="002F57B6" w:rsidRPr="00B76A73">
        <w:t xml:space="preserve">quarter of 2022 </w:t>
      </w:r>
      <w:r w:rsidR="00DD2ED8" w:rsidRPr="00B76A73">
        <w:t>to grow</w:t>
      </w:r>
      <w:r w:rsidR="00D34B81" w:rsidRPr="00B76A73">
        <w:t xml:space="preserve"> at an annualized rate of 2.6%, following a 0.6% decrease in the </w:t>
      </w:r>
      <w:r w:rsidR="00FD75F3" w:rsidRPr="00B76A73">
        <w:t>2</w:t>
      </w:r>
      <w:r w:rsidR="00FD75F3" w:rsidRPr="00B76A73">
        <w:rPr>
          <w:vertAlign w:val="superscript"/>
        </w:rPr>
        <w:t>nd</w:t>
      </w:r>
      <w:r w:rsidR="00D34B81" w:rsidRPr="00B76A73">
        <w:t xml:space="preserve"> quarter of 2022. The </w:t>
      </w:r>
      <w:r w:rsidR="00FD75F3" w:rsidRPr="00B76A73">
        <w:t>3</w:t>
      </w:r>
      <w:r w:rsidR="00FD75F3" w:rsidRPr="00B76A73">
        <w:rPr>
          <w:vertAlign w:val="superscript"/>
        </w:rPr>
        <w:t>rd</w:t>
      </w:r>
      <w:r w:rsidR="0010377C">
        <w:t xml:space="preserve"> </w:t>
      </w:r>
      <w:r w:rsidR="00D34B81" w:rsidRPr="00B76A73">
        <w:t>quarter gain was the first positive quarterly reading of 2022; real GDP was virtually unchanged year-to-date</w:t>
      </w:r>
      <w:r w:rsidR="00FD75F3" w:rsidRPr="00B76A73">
        <w:t xml:space="preserve">. While the increase in real GDP reflected </w:t>
      </w:r>
      <w:r w:rsidR="000346C8" w:rsidRPr="00B76A73">
        <w:t>rises</w:t>
      </w:r>
      <w:r w:rsidR="00FD75F3" w:rsidRPr="00B76A73">
        <w:t xml:space="preserve"> in three of the four major contributing categories, the</w:t>
      </w:r>
      <w:r w:rsidR="00DD2ED8" w:rsidRPr="00B76A73">
        <w:t xml:space="preserve"> main factor</w:t>
      </w:r>
      <w:r w:rsidR="000346C8" w:rsidRPr="00B76A73">
        <w:t>,</w:t>
      </w:r>
      <w:r w:rsidR="00DD2ED8" w:rsidRPr="00B76A73">
        <w:t xml:space="preserve"> a narrowing trade deficit, </w:t>
      </w:r>
      <w:r w:rsidR="000346C8" w:rsidRPr="00B76A73">
        <w:t xml:space="preserve">was </w:t>
      </w:r>
      <w:r w:rsidR="00DD2ED8" w:rsidRPr="00B76A73">
        <w:t>widely expected to be temporary</w:t>
      </w:r>
      <w:r w:rsidR="00FD75F3" w:rsidRPr="00B76A73">
        <w:t>.</w:t>
      </w:r>
    </w:p>
    <w:p w14:paraId="7810A9C6" w14:textId="50104788" w:rsidR="00A96A6A" w:rsidRPr="00B76A73" w:rsidRDefault="006D3964" w:rsidP="005117CA">
      <w:pPr>
        <w:jc w:val="center"/>
      </w:pPr>
      <w:r w:rsidRPr="00B76A73">
        <w:rPr>
          <w:noProof/>
        </w:rPr>
        <w:drawing>
          <wp:inline distT="0" distB="0" distL="0" distR="0" wp14:anchorId="553EFDAB" wp14:editId="55C3B554">
            <wp:extent cx="4097020" cy="2603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03500"/>
                    </a:xfrm>
                    <a:prstGeom prst="rect">
                      <a:avLst/>
                    </a:prstGeom>
                    <a:noFill/>
                  </pic:spPr>
                </pic:pic>
              </a:graphicData>
            </a:graphic>
          </wp:inline>
        </w:drawing>
      </w:r>
    </w:p>
    <w:p w14:paraId="0D92AC13" w14:textId="7504B1C8" w:rsidR="00DD2ED8" w:rsidRPr="00B76A73" w:rsidRDefault="00DD2ED8" w:rsidP="00DD2ED8">
      <w:r w:rsidRPr="00B76A73">
        <w:t>Net exports</w:t>
      </w:r>
      <w:r w:rsidRPr="00B76A73">
        <w:rPr>
          <w:rStyle w:val="FootnoteReference"/>
        </w:rPr>
        <w:footnoteReference w:id="4"/>
      </w:r>
      <w:r w:rsidRPr="00B76A73">
        <w:t xml:space="preserve"> led the recent rebound in GDP with a positive 2.8% effect, as exports </w:t>
      </w:r>
      <w:proofErr w:type="gramStart"/>
      <w:r w:rsidRPr="00B76A73">
        <w:t>jumped</w:t>
      </w:r>
      <w:proofErr w:type="gramEnd"/>
      <w:r w:rsidRPr="00B76A73">
        <w:t xml:space="preserve"> and imports fell during the 3</w:t>
      </w:r>
      <w:r w:rsidRPr="00B76A73">
        <w:rPr>
          <w:vertAlign w:val="superscript"/>
        </w:rPr>
        <w:t>rd</w:t>
      </w:r>
      <w:r w:rsidRPr="00B76A73">
        <w:t xml:space="preserve"> quarter. The rise in exports was led by travel and financial business services. While exports have been inconsistent in recent years, the 3</w:t>
      </w:r>
      <w:r w:rsidRPr="00B76A73">
        <w:rPr>
          <w:vertAlign w:val="superscript"/>
        </w:rPr>
        <w:t>rd</w:t>
      </w:r>
      <w:r w:rsidRPr="00B76A73">
        <w:t xml:space="preserve"> quarter’s decline in imports broke a </w:t>
      </w:r>
      <w:r w:rsidR="000346C8" w:rsidRPr="00B76A73">
        <w:t>two</w:t>
      </w:r>
      <w:r w:rsidRPr="00B76A73">
        <w:t xml:space="preserve">-year streak of consecutive increases. Lowered imports of goods, especially consumer goods, more than offset </w:t>
      </w:r>
      <w:r w:rsidR="00682ADE" w:rsidRPr="00B76A73">
        <w:t>rising</w:t>
      </w:r>
      <w:r w:rsidRPr="00B76A73">
        <w:t xml:space="preserve"> imports of services, particularly travel. </w:t>
      </w:r>
    </w:p>
    <w:p w14:paraId="4EE006CE" w14:textId="77777777" w:rsidR="00DD2ED8" w:rsidRPr="00B76A73" w:rsidRDefault="00DD2ED8" w:rsidP="00DD2ED8">
      <w:r w:rsidRPr="00B76A73">
        <w:t>Personal consumption expenditures</w:t>
      </w:r>
      <w:r w:rsidRPr="00B76A73">
        <w:rPr>
          <w:rStyle w:val="FootnoteReference"/>
        </w:rPr>
        <w:footnoteReference w:id="5"/>
      </w:r>
      <w:r w:rsidRPr="00B76A73">
        <w:t xml:space="preserve"> (PCE) had a positive 1.0% effect on real GDP. Growth in personal spending was led by broad increases in services consumption, especially nonprofit institution output and health care services.</w:t>
      </w:r>
    </w:p>
    <w:p w14:paraId="0371E5A1" w14:textId="25C3EAE3" w:rsidR="00DD2ED8" w:rsidRPr="00B76A73" w:rsidRDefault="00DD2ED8" w:rsidP="00DD2ED8">
      <w:r w:rsidRPr="00B76A73">
        <w:t>Government expenditures</w:t>
      </w:r>
      <w:r w:rsidRPr="00B76A73">
        <w:rPr>
          <w:rStyle w:val="FootnoteReference"/>
        </w:rPr>
        <w:footnoteReference w:id="6"/>
      </w:r>
      <w:r w:rsidRPr="00B76A73">
        <w:t xml:space="preserve"> rose at both the federal level and the state and local level to contribute 0.4% to the 3</w:t>
      </w:r>
      <w:r w:rsidRPr="00B76A73">
        <w:rPr>
          <w:vertAlign w:val="superscript"/>
        </w:rPr>
        <w:t>rd</w:t>
      </w:r>
      <w:r w:rsidR="0010377C">
        <w:t xml:space="preserve"> </w:t>
      </w:r>
      <w:r w:rsidRPr="00B76A73">
        <w:t xml:space="preserve">quarter GDP gain. National defense consumption led the rise in </w:t>
      </w:r>
      <w:r w:rsidRPr="00B76A73">
        <w:lastRenderedPageBreak/>
        <w:t>federal spending. Higher state and local government spending primarily reflected increases in employee compensation.</w:t>
      </w:r>
    </w:p>
    <w:p w14:paraId="59E2FBC9" w14:textId="4CE7CD34" w:rsidR="00E24CD9" w:rsidRPr="00B76A73" w:rsidRDefault="00DD2ED8" w:rsidP="006B1EB1">
      <w:r w:rsidRPr="00B76A73">
        <w:t>Gross domestic private investment</w:t>
      </w:r>
      <w:r w:rsidRPr="00B76A73">
        <w:rPr>
          <w:rStyle w:val="FootnoteReference"/>
        </w:rPr>
        <w:footnoteReference w:id="7"/>
      </w:r>
      <w:r w:rsidRPr="00B76A73">
        <w:t xml:space="preserve"> moderated the 3</w:t>
      </w:r>
      <w:r w:rsidRPr="00B76A73">
        <w:rPr>
          <w:vertAlign w:val="superscript"/>
        </w:rPr>
        <w:t>rd</w:t>
      </w:r>
      <w:r w:rsidRPr="00B76A73">
        <w:t xml:space="preserve"> quarter’s rally with a negative 1.6% effect. Residential fixed investment, primarily in new single-family construction and brokers’ commissions, led the 3</w:t>
      </w:r>
      <w:r w:rsidRPr="00B76A73">
        <w:rPr>
          <w:vertAlign w:val="superscript"/>
        </w:rPr>
        <w:t>rd</w:t>
      </w:r>
      <w:r w:rsidR="0010377C">
        <w:t xml:space="preserve"> </w:t>
      </w:r>
      <w:r w:rsidRPr="00B76A73">
        <w:t xml:space="preserve">quarter decline. </w:t>
      </w:r>
      <w:r w:rsidR="00F42310" w:rsidRPr="00B76A73">
        <w:t>An additional</w:t>
      </w:r>
      <w:r w:rsidRPr="00B76A73">
        <w:t xml:space="preserve"> decrease in nonfarm inventories primarily reflected lower retail trade. </w:t>
      </w:r>
    </w:p>
    <w:p w14:paraId="3014DE71" w14:textId="66720F25" w:rsidR="00B66CB7" w:rsidRPr="00B76A73" w:rsidRDefault="006D3964" w:rsidP="005117CA">
      <w:pPr>
        <w:jc w:val="center"/>
      </w:pPr>
      <w:r w:rsidRPr="00B76A73">
        <w:rPr>
          <w:noProof/>
        </w:rPr>
        <w:drawing>
          <wp:inline distT="0" distB="0" distL="0" distR="0" wp14:anchorId="4F4B0665" wp14:editId="0F66665F">
            <wp:extent cx="4224655" cy="332232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322320"/>
                    </a:xfrm>
                    <a:prstGeom prst="rect">
                      <a:avLst/>
                    </a:prstGeom>
                    <a:noFill/>
                  </pic:spPr>
                </pic:pic>
              </a:graphicData>
            </a:graphic>
          </wp:inline>
        </w:drawing>
      </w:r>
    </w:p>
    <w:p w14:paraId="31033888" w14:textId="783C8E26" w:rsidR="004D1C9D" w:rsidRPr="00B76A73" w:rsidRDefault="00D03164" w:rsidP="00174BCD">
      <w:pPr>
        <w:rPr>
          <w:strike/>
        </w:rPr>
      </w:pPr>
      <w:r w:rsidRPr="00B76A73">
        <w:t>The Industrial Production Index</w:t>
      </w:r>
      <w:r w:rsidRPr="00B76A73">
        <w:rPr>
          <w:rStyle w:val="FootnoteReference"/>
        </w:rPr>
        <w:footnoteReference w:id="8"/>
      </w:r>
      <w:r w:rsidRPr="00B76A73">
        <w:t xml:space="preserve"> is an economic indicator that measures real output for all facilities located in the United States manufacturing, mining, and electric, and gas utilities. The index stood at 10</w:t>
      </w:r>
      <w:r w:rsidR="00720F25" w:rsidRPr="00B76A73">
        <w:t>5</w:t>
      </w:r>
      <w:r w:rsidR="00EF14EE" w:rsidRPr="00B76A73">
        <w:t>.</w:t>
      </w:r>
      <w:r w:rsidR="00720F25" w:rsidRPr="00B76A73">
        <w:t>2</w:t>
      </w:r>
      <w:r w:rsidRPr="00B76A73">
        <w:t xml:space="preserve"> at the end of </w:t>
      </w:r>
      <w:r w:rsidR="006B1EB1" w:rsidRPr="00B76A73">
        <w:t xml:space="preserve">the </w:t>
      </w:r>
      <w:r w:rsidR="00720F25" w:rsidRPr="00B76A73">
        <w:t>3</w:t>
      </w:r>
      <w:r w:rsidR="00720F25" w:rsidRPr="00B76A73">
        <w:rPr>
          <w:vertAlign w:val="superscript"/>
        </w:rPr>
        <w:t>rd</w:t>
      </w:r>
      <w:r w:rsidR="00720F25" w:rsidRPr="00B76A73">
        <w:t xml:space="preserve"> </w:t>
      </w:r>
      <w:r w:rsidR="006B1EB1" w:rsidRPr="00B76A73">
        <w:t>quarter</w:t>
      </w:r>
      <w:r w:rsidRPr="00B76A73">
        <w:t xml:space="preserve">, </w:t>
      </w:r>
      <w:r w:rsidR="00720F25" w:rsidRPr="00B76A73">
        <w:t>up</w:t>
      </w:r>
      <w:r w:rsidR="00967B10" w:rsidRPr="00B76A73">
        <w:t xml:space="preserve"> </w:t>
      </w:r>
      <w:r w:rsidR="00720F25" w:rsidRPr="00B76A73">
        <w:t>1.0</w:t>
      </w:r>
      <w:r w:rsidRPr="00B76A73">
        <w:t xml:space="preserve">% </w:t>
      </w:r>
      <w:r w:rsidR="00EF14EE" w:rsidRPr="00B76A73">
        <w:t>from</w:t>
      </w:r>
      <w:r w:rsidR="006B1EB1" w:rsidRPr="00B76A73">
        <w:t xml:space="preserve"> the previous quarter</w:t>
      </w:r>
      <w:r w:rsidRPr="00B76A73">
        <w:t>.</w:t>
      </w:r>
    </w:p>
    <w:p w14:paraId="149D5F1F" w14:textId="1407F31F" w:rsidR="00172307" w:rsidRPr="00B76A73" w:rsidRDefault="006D3964" w:rsidP="00BA7A2C">
      <w:pPr>
        <w:jc w:val="center"/>
      </w:pPr>
      <w:r w:rsidRPr="00B76A73">
        <w:rPr>
          <w:noProof/>
        </w:rPr>
        <w:lastRenderedPageBreak/>
        <w:drawing>
          <wp:inline distT="0" distB="0" distL="0" distR="0" wp14:anchorId="0B9F97FB" wp14:editId="2E8088AC">
            <wp:extent cx="3816350" cy="259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5A38C44B" w14:textId="76850E6E" w:rsidR="007A05AD" w:rsidRPr="00B76A73" w:rsidRDefault="007A05AD" w:rsidP="007A05AD">
      <w:r w:rsidRPr="00B76A73">
        <w:t>The Capacity Utilization Index</w:t>
      </w:r>
      <w:r w:rsidRPr="00B76A73">
        <w:rPr>
          <w:rStyle w:val="FootnoteReference"/>
        </w:rPr>
        <w:footnoteReference w:id="9"/>
      </w:r>
      <w:r w:rsidRPr="00B76A73">
        <w:t xml:space="preserve">, which attempts to capture industrial output as a percentage of the economy’s maximum production capacity, </w:t>
      </w:r>
      <w:r w:rsidR="00720F25" w:rsidRPr="00B76A73">
        <w:t>rose</w:t>
      </w:r>
      <w:r w:rsidRPr="00B76A73">
        <w:t xml:space="preserve"> to </w:t>
      </w:r>
      <w:r w:rsidR="00720F25" w:rsidRPr="00B76A73">
        <w:t>80.0</w:t>
      </w:r>
      <w:r w:rsidRPr="00B76A73">
        <w:t>%</w:t>
      </w:r>
      <w:r w:rsidR="00137248" w:rsidRPr="00B76A73">
        <w:t xml:space="preserve"> during the </w:t>
      </w:r>
      <w:r w:rsidR="00720F25" w:rsidRPr="00B76A73">
        <w:t>3</w:t>
      </w:r>
      <w:r w:rsidR="00720F25" w:rsidRPr="00B76A73">
        <w:rPr>
          <w:vertAlign w:val="superscript"/>
        </w:rPr>
        <w:t>rd</w:t>
      </w:r>
      <w:r w:rsidR="00720F25" w:rsidRPr="00B76A73">
        <w:t xml:space="preserve"> </w:t>
      </w:r>
      <w:r w:rsidR="00137248" w:rsidRPr="00B76A73">
        <w:t>quarter</w:t>
      </w:r>
      <w:r w:rsidR="00953DF2" w:rsidRPr="00B76A73">
        <w:t xml:space="preserve"> of 2022</w:t>
      </w:r>
      <w:r w:rsidRPr="00B76A73">
        <w:t xml:space="preserve">. </w:t>
      </w:r>
      <w:r w:rsidR="00720F25" w:rsidRPr="00B76A73">
        <w:t>September</w:t>
      </w:r>
      <w:r w:rsidR="00273DCA" w:rsidRPr="00B76A73">
        <w:t xml:space="preserve"> 2022’s level was above the</w:t>
      </w:r>
      <w:r w:rsidRPr="00B76A73">
        <w:t xml:space="preserve"> </w:t>
      </w:r>
      <w:r w:rsidR="00953DF2" w:rsidRPr="00B76A73">
        <w:t>30-year average</w:t>
      </w:r>
      <w:r w:rsidR="00273DCA" w:rsidRPr="00B76A73">
        <w:t xml:space="preserve"> of 76.</w:t>
      </w:r>
      <w:r w:rsidR="00720F25" w:rsidRPr="00B76A73">
        <w:t>9</w:t>
      </w:r>
      <w:r w:rsidR="00273DCA" w:rsidRPr="00B76A73">
        <w:t>%</w:t>
      </w:r>
      <w:r w:rsidRPr="00B76A73">
        <w:t xml:space="preserve"> for th</w:t>
      </w:r>
      <w:r w:rsidR="00273DCA" w:rsidRPr="00B76A73">
        <w:t>is</w:t>
      </w:r>
      <w:r w:rsidRPr="00B76A73">
        <w:t xml:space="preserve"> metric</w:t>
      </w:r>
      <w:r w:rsidR="00B66C70" w:rsidRPr="00B76A73">
        <w:t xml:space="preserve"> and </w:t>
      </w:r>
      <w:r w:rsidR="00720F25" w:rsidRPr="00B76A73">
        <w:t>1.1</w:t>
      </w:r>
      <w:r w:rsidR="00B66C70" w:rsidRPr="00B76A73">
        <w:t xml:space="preserve">% higher than </w:t>
      </w:r>
      <w:r w:rsidR="003058BA" w:rsidRPr="00B76A73">
        <w:t>the previous quarter</w:t>
      </w:r>
      <w:r w:rsidRPr="00B76A73">
        <w:t>.</w:t>
      </w:r>
    </w:p>
    <w:p w14:paraId="2B52197D" w14:textId="1C258A14" w:rsidR="007A05AD" w:rsidRPr="00B76A73" w:rsidRDefault="006D3964" w:rsidP="00BA7A2C">
      <w:pPr>
        <w:jc w:val="center"/>
      </w:pPr>
      <w:r w:rsidRPr="00B76A73">
        <w:rPr>
          <w:noProof/>
        </w:rPr>
        <w:drawing>
          <wp:inline distT="0" distB="0" distL="0" distR="0" wp14:anchorId="1BE293D7" wp14:editId="21B44771">
            <wp:extent cx="3816350" cy="259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149D5F20" w14:textId="72147876" w:rsidR="00005111" w:rsidRPr="00B76A73" w:rsidRDefault="00005111" w:rsidP="005261C1">
      <w:pPr>
        <w:pStyle w:val="Heading1"/>
      </w:pPr>
      <w:r w:rsidRPr="00B76A73">
        <w:t>Interest Rates</w:t>
      </w:r>
    </w:p>
    <w:p w14:paraId="472CBB47" w14:textId="79BD93B5" w:rsidR="00A96A6A" w:rsidRPr="00B76A73" w:rsidRDefault="004005A4" w:rsidP="00952E0A">
      <w:pPr>
        <w:rPr>
          <w:color w:val="000000" w:themeColor="text1"/>
        </w:rPr>
      </w:pPr>
      <w:r w:rsidRPr="00B76A73">
        <w:t>T</w:t>
      </w:r>
      <w:r w:rsidR="00231BB2" w:rsidRPr="00B76A73">
        <w:t xml:space="preserve">he effective </w:t>
      </w:r>
      <w:r w:rsidR="00814E45" w:rsidRPr="00B76A73">
        <w:t>federal f</w:t>
      </w:r>
      <w:r w:rsidR="00231BB2" w:rsidRPr="00B76A73">
        <w:t>unds rate</w:t>
      </w:r>
      <w:r w:rsidR="00814E45" w:rsidRPr="00B76A73">
        <w:rPr>
          <w:rStyle w:val="FootnoteReference"/>
        </w:rPr>
        <w:footnoteReference w:id="10"/>
      </w:r>
      <w:r w:rsidR="00231BB2" w:rsidRPr="00B76A73">
        <w:t xml:space="preserve"> </w:t>
      </w:r>
      <w:r w:rsidR="00D03C98" w:rsidRPr="00B76A73">
        <w:t>rose 1.</w:t>
      </w:r>
      <w:r w:rsidR="005A5095" w:rsidRPr="00B76A73">
        <w:t>35</w:t>
      </w:r>
      <w:r w:rsidR="00D03C98" w:rsidRPr="00B76A73">
        <w:t xml:space="preserve"> percentage point</w:t>
      </w:r>
      <w:r w:rsidR="00455043" w:rsidRPr="00B76A73">
        <w:t>s</w:t>
      </w:r>
      <w:r w:rsidR="00D03C98" w:rsidRPr="00B76A73">
        <w:t xml:space="preserve"> to </w:t>
      </w:r>
      <w:r w:rsidR="005A5095" w:rsidRPr="00B76A73">
        <w:t>2.56</w:t>
      </w:r>
      <w:r w:rsidR="00D03C98" w:rsidRPr="00B76A73">
        <w:t xml:space="preserve">% during the </w:t>
      </w:r>
      <w:r w:rsidR="005A5095" w:rsidRPr="00B76A73">
        <w:t>3</w:t>
      </w:r>
      <w:r w:rsidR="005A5095" w:rsidRPr="00B76A73">
        <w:rPr>
          <w:vertAlign w:val="superscript"/>
        </w:rPr>
        <w:t>rd</w:t>
      </w:r>
      <w:r w:rsidR="005A5095" w:rsidRPr="00B76A73">
        <w:t xml:space="preserve"> </w:t>
      </w:r>
      <w:r w:rsidR="00D03C98" w:rsidRPr="00B76A73">
        <w:t>quarter</w:t>
      </w:r>
      <w:r w:rsidR="005A5095" w:rsidRPr="00B76A73">
        <w:t>, continuing</w:t>
      </w:r>
      <w:r w:rsidR="00D03C98" w:rsidRPr="00B76A73">
        <w:t xml:space="preserve"> the climb from near-zero levels </w:t>
      </w:r>
      <w:r w:rsidR="005A5095" w:rsidRPr="00B76A73">
        <w:t xml:space="preserve">that began </w:t>
      </w:r>
      <w:r w:rsidR="00D03C98" w:rsidRPr="00B76A73">
        <w:t>in March</w:t>
      </w:r>
      <w:r w:rsidR="00814E45" w:rsidRPr="00B76A73">
        <w:t xml:space="preserve">. </w:t>
      </w:r>
      <w:r w:rsidR="00A14458" w:rsidRPr="00B76A73">
        <w:t>S</w:t>
      </w:r>
      <w:r w:rsidR="00231BB2" w:rsidRPr="00B76A73">
        <w:t>hort-term</w:t>
      </w:r>
      <w:r w:rsidR="00A14458" w:rsidRPr="00B76A73">
        <w:t xml:space="preserve"> </w:t>
      </w:r>
      <w:r w:rsidR="00231BB2" w:rsidRPr="00B76A73">
        <w:t xml:space="preserve">treasury </w:t>
      </w:r>
      <w:r w:rsidR="003F4CDB" w:rsidRPr="00B76A73">
        <w:t>bond yields</w:t>
      </w:r>
      <w:r w:rsidR="005A0EC4" w:rsidRPr="00B76A73">
        <w:rPr>
          <w:rStyle w:val="FootnoteReference"/>
        </w:rPr>
        <w:footnoteReference w:id="11"/>
      </w:r>
      <w:r w:rsidR="00A73A66" w:rsidRPr="00B76A73">
        <w:t xml:space="preserve"> </w:t>
      </w:r>
      <w:r w:rsidR="00A14458" w:rsidRPr="00B76A73">
        <w:t xml:space="preserve">rose accordingly during the </w:t>
      </w:r>
      <w:r w:rsidR="005A5095" w:rsidRPr="00B76A73">
        <w:t>3</w:t>
      </w:r>
      <w:r w:rsidR="005A5095" w:rsidRPr="00B76A73">
        <w:rPr>
          <w:vertAlign w:val="superscript"/>
        </w:rPr>
        <w:t>rd</w:t>
      </w:r>
      <w:r w:rsidR="005A5095" w:rsidRPr="00B76A73">
        <w:t xml:space="preserve"> </w:t>
      </w:r>
      <w:r w:rsidR="00A14458" w:rsidRPr="00B76A73">
        <w:t xml:space="preserve">quarter. Long-term treasury yields </w:t>
      </w:r>
      <w:r w:rsidR="00376778" w:rsidRPr="00B76A73">
        <w:t xml:space="preserve">rose </w:t>
      </w:r>
      <w:r w:rsidR="00783BA9" w:rsidRPr="00B76A73">
        <w:t xml:space="preserve">as well, </w:t>
      </w:r>
      <w:r w:rsidR="00B17CFF" w:rsidRPr="00B76A73">
        <w:t xml:space="preserve">though </w:t>
      </w:r>
      <w:r w:rsidR="00B17CFF" w:rsidRPr="00B76A73">
        <w:lastRenderedPageBreak/>
        <w:t>not as strongly</w:t>
      </w:r>
      <w:r w:rsidR="00032178" w:rsidRPr="00B76A73">
        <w:t xml:space="preserve">, turning an already flattened yield curve slightly </w:t>
      </w:r>
      <w:r w:rsidR="0010377C">
        <w:t>inverted</w:t>
      </w:r>
      <w:r w:rsidR="00231BB2" w:rsidRPr="00B76A73">
        <w:t>.</w:t>
      </w:r>
      <w:r w:rsidR="00455043" w:rsidRPr="00B76A73">
        <w:t xml:space="preserve"> T</w:t>
      </w:r>
      <w:r w:rsidR="00032178" w:rsidRPr="00B76A73">
        <w:t>he</w:t>
      </w:r>
      <w:r w:rsidR="00376778" w:rsidRPr="00B76A73">
        <w:t xml:space="preserve"> </w:t>
      </w:r>
      <w:r w:rsidR="00981FF8" w:rsidRPr="00B76A73">
        <w:t>closely watched</w:t>
      </w:r>
      <w:r w:rsidR="00635C43" w:rsidRPr="00B76A73">
        <w:t xml:space="preserve"> </w:t>
      </w:r>
      <w:r w:rsidR="00376778" w:rsidRPr="00B76A73">
        <w:t xml:space="preserve">two- and ten-year rates </w:t>
      </w:r>
      <w:r w:rsidR="00032178" w:rsidRPr="00B76A73">
        <w:t xml:space="preserve">inverted early in </w:t>
      </w:r>
      <w:r w:rsidR="00981FF8" w:rsidRPr="00B76A73">
        <w:t>July</w:t>
      </w:r>
      <w:r w:rsidR="00032178" w:rsidRPr="00B76A73">
        <w:t xml:space="preserve"> and remained that way</w:t>
      </w:r>
      <w:r w:rsidR="00981FF8" w:rsidRPr="00B76A73">
        <w:t xml:space="preserve"> throughout the 3</w:t>
      </w:r>
      <w:r w:rsidR="00981FF8" w:rsidRPr="00B76A73">
        <w:rPr>
          <w:vertAlign w:val="superscript"/>
        </w:rPr>
        <w:t>rd</w:t>
      </w:r>
      <w:r w:rsidR="00981FF8" w:rsidRPr="00B76A73">
        <w:t xml:space="preserve"> quarter</w:t>
      </w:r>
      <w:r w:rsidR="005E1BD2" w:rsidRPr="00B76A73">
        <w:t xml:space="preserve">. </w:t>
      </w:r>
      <w:r w:rsidR="003F4CDB" w:rsidRPr="00B76A73">
        <w:t>The</w:t>
      </w:r>
      <w:r w:rsidR="008844A2" w:rsidRPr="00B76A73">
        <w:t xml:space="preserve"> 1</w:t>
      </w:r>
      <w:r w:rsidR="005E7A94" w:rsidRPr="00B76A73">
        <w:t xml:space="preserve">-year and 2-year annual treasury yields </w:t>
      </w:r>
      <w:r w:rsidR="00B65667" w:rsidRPr="00B76A73">
        <w:t xml:space="preserve">ended the </w:t>
      </w:r>
      <w:r w:rsidR="00C35489" w:rsidRPr="00B76A73">
        <w:t>3</w:t>
      </w:r>
      <w:r w:rsidR="00C35489" w:rsidRPr="00B76A73">
        <w:rPr>
          <w:vertAlign w:val="superscript"/>
        </w:rPr>
        <w:t>rd</w:t>
      </w:r>
      <w:r w:rsidR="00C35489" w:rsidRPr="00B76A73">
        <w:t xml:space="preserve"> </w:t>
      </w:r>
      <w:r w:rsidR="00B65667" w:rsidRPr="00B76A73">
        <w:t>quarter</w:t>
      </w:r>
      <w:r w:rsidR="005E7A94" w:rsidRPr="00B76A73">
        <w:t xml:space="preserve"> at </w:t>
      </w:r>
      <w:r w:rsidR="00981FF8" w:rsidRPr="00B76A73">
        <w:t>4.05</w:t>
      </w:r>
      <w:r w:rsidR="005E7A94" w:rsidRPr="00B76A73">
        <w:t>%</w:t>
      </w:r>
      <w:r w:rsidR="008844A2" w:rsidRPr="00B76A73">
        <w:t xml:space="preserve"> and </w:t>
      </w:r>
      <w:r w:rsidR="00981FF8" w:rsidRPr="00B76A73">
        <w:t>4.2</w:t>
      </w:r>
      <w:r w:rsidR="00635C43" w:rsidRPr="00B76A73">
        <w:t>2</w:t>
      </w:r>
      <w:r w:rsidR="006E6EAA" w:rsidRPr="00B76A73">
        <w:t>%, respectively</w:t>
      </w:r>
      <w:r w:rsidR="005E7A94" w:rsidRPr="00B76A73">
        <w:t>.</w:t>
      </w:r>
      <w:r w:rsidR="00231BB2" w:rsidRPr="00B76A73">
        <w:t xml:space="preserve"> The </w:t>
      </w:r>
      <w:r w:rsidR="005E7A94" w:rsidRPr="00B76A73">
        <w:t xml:space="preserve">benchmark </w:t>
      </w:r>
      <w:r w:rsidR="00022BB4" w:rsidRPr="00B76A73">
        <w:t>1</w:t>
      </w:r>
      <w:r w:rsidR="0061080D" w:rsidRPr="00B76A73">
        <w:t xml:space="preserve">0-year treasury </w:t>
      </w:r>
      <w:r w:rsidR="005E7A94" w:rsidRPr="00B76A73">
        <w:t>yielded</w:t>
      </w:r>
      <w:r w:rsidR="0061080D" w:rsidRPr="00B76A73">
        <w:t xml:space="preserve"> </w:t>
      </w:r>
      <w:r w:rsidR="00981FF8" w:rsidRPr="00B76A73">
        <w:t>3.83</w:t>
      </w:r>
      <w:r w:rsidR="0061080D" w:rsidRPr="00B76A73">
        <w:t>%</w:t>
      </w:r>
      <w:r w:rsidR="005E7A94" w:rsidRPr="00B76A73">
        <w:t xml:space="preserve"> at the</w:t>
      </w:r>
      <w:r w:rsidR="00B65667" w:rsidRPr="00B76A73">
        <w:t xml:space="preserve"> end of </w:t>
      </w:r>
      <w:r w:rsidR="008844A2" w:rsidRPr="00B76A73">
        <w:t>the quarter</w:t>
      </w:r>
      <w:r w:rsidR="005E7A94" w:rsidRPr="00B76A73">
        <w:t xml:space="preserve">, while </w:t>
      </w:r>
      <w:r w:rsidR="00D851AB" w:rsidRPr="00B76A73">
        <w:t xml:space="preserve">the </w:t>
      </w:r>
      <w:r w:rsidR="00022BB4" w:rsidRPr="00B76A73">
        <w:t>3</w:t>
      </w:r>
      <w:r w:rsidR="00D851AB" w:rsidRPr="00B76A73">
        <w:t xml:space="preserve">0-year treasury </w:t>
      </w:r>
      <w:r w:rsidR="00B65667" w:rsidRPr="00B76A73">
        <w:t>yielded</w:t>
      </w:r>
      <w:r w:rsidR="00D851AB" w:rsidRPr="00B76A73">
        <w:t xml:space="preserve"> </w:t>
      </w:r>
      <w:r w:rsidR="00635C43" w:rsidRPr="00B76A73">
        <w:t>3.</w:t>
      </w:r>
      <w:r w:rsidR="00981FF8" w:rsidRPr="00B76A73">
        <w:t>79</w:t>
      </w:r>
      <w:r w:rsidR="00D851AB" w:rsidRPr="00B76A73">
        <w:t>%</w:t>
      </w:r>
      <w:r w:rsidR="00AE64EF" w:rsidRPr="00B76A73">
        <w:rPr>
          <w:color w:val="000000" w:themeColor="text1"/>
        </w:rPr>
        <w:t>.</w:t>
      </w:r>
      <w:r w:rsidR="002301AB" w:rsidRPr="00B76A73">
        <w:rPr>
          <w:color w:val="000000" w:themeColor="text1"/>
        </w:rPr>
        <w:t xml:space="preserve"> See </w:t>
      </w:r>
      <w:r w:rsidR="002301AB" w:rsidRPr="00B76A73">
        <w:rPr>
          <w:i/>
          <w:iCs/>
          <w:color w:val="000000" w:themeColor="text1"/>
        </w:rPr>
        <w:t>Appendix – Selected Interest Rates</w:t>
      </w:r>
      <w:r w:rsidR="002301AB" w:rsidRPr="00B76A73">
        <w:rPr>
          <w:color w:val="000000" w:themeColor="text1"/>
        </w:rPr>
        <w:t xml:space="preserve"> for detailed interest rate data. </w:t>
      </w:r>
    </w:p>
    <w:p w14:paraId="0614E8BB" w14:textId="3AB0A880" w:rsidR="004D1C9D" w:rsidRPr="00B76A73" w:rsidRDefault="006D3964" w:rsidP="005117CA">
      <w:pPr>
        <w:jc w:val="center"/>
      </w:pPr>
      <w:r w:rsidRPr="00B76A73">
        <w:rPr>
          <w:noProof/>
        </w:rPr>
        <w:drawing>
          <wp:inline distT="0" distB="0" distL="0" distR="0" wp14:anchorId="2352347E" wp14:editId="7BA316DA">
            <wp:extent cx="3505200" cy="2627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inline>
        </w:drawing>
      </w:r>
    </w:p>
    <w:p w14:paraId="031CA932" w14:textId="5791D47F" w:rsidR="00B00681" w:rsidRPr="00B76A73" w:rsidRDefault="00171C8E" w:rsidP="00005111">
      <w:r w:rsidRPr="00B76A73">
        <w:t xml:space="preserve">In </w:t>
      </w:r>
      <w:r w:rsidR="00B34926" w:rsidRPr="00B76A73">
        <w:t xml:space="preserve">the </w:t>
      </w:r>
      <w:r w:rsidR="00981FF8" w:rsidRPr="00B76A73">
        <w:t>3</w:t>
      </w:r>
      <w:r w:rsidR="00981FF8" w:rsidRPr="00B76A73">
        <w:rPr>
          <w:vertAlign w:val="superscript"/>
        </w:rPr>
        <w:t>rd</w:t>
      </w:r>
      <w:r w:rsidR="00981FF8" w:rsidRPr="00B76A73">
        <w:t xml:space="preserve"> </w:t>
      </w:r>
      <w:r w:rsidR="00B34926" w:rsidRPr="00B76A73">
        <w:t>quarter of 202</w:t>
      </w:r>
      <w:r w:rsidR="005E1BD2" w:rsidRPr="00B76A73">
        <w:t>2</w:t>
      </w:r>
      <w:r w:rsidR="00FE4D42" w:rsidRPr="00B76A73">
        <w:t>,</w:t>
      </w:r>
      <w:r w:rsidRPr="00B76A73">
        <w:t xml:space="preserve"> the Federal Reserve </w:t>
      </w:r>
      <w:r w:rsidR="00635C43" w:rsidRPr="00B76A73">
        <w:t>continued the</w:t>
      </w:r>
      <w:r w:rsidR="00981FF8" w:rsidRPr="00B76A73">
        <w:t>ir</w:t>
      </w:r>
      <w:r w:rsidR="00635C43" w:rsidRPr="00B76A73">
        <w:t xml:space="preserve"> series of</w:t>
      </w:r>
      <w:r w:rsidR="00D851AB" w:rsidRPr="00B76A73">
        <w:t xml:space="preserve"> federal funds target rate</w:t>
      </w:r>
      <w:r w:rsidR="003A4C56" w:rsidRPr="00B76A73">
        <w:rPr>
          <w:rStyle w:val="FootnoteReference"/>
        </w:rPr>
        <w:footnoteReference w:id="12"/>
      </w:r>
      <w:r w:rsidR="00740863" w:rsidRPr="00B76A73">
        <w:t xml:space="preserve"> </w:t>
      </w:r>
      <w:r w:rsidR="005E1BD2" w:rsidRPr="00B76A73">
        <w:t>hike</w:t>
      </w:r>
      <w:r w:rsidR="00635C43" w:rsidRPr="00B76A73">
        <w:t>s</w:t>
      </w:r>
      <w:r w:rsidR="005E1BD2" w:rsidRPr="00B76A73">
        <w:t xml:space="preserve"> </w:t>
      </w:r>
      <w:r w:rsidR="00981FF8" w:rsidRPr="00B76A73">
        <w:t xml:space="preserve">with </w:t>
      </w:r>
      <w:r w:rsidR="00762921" w:rsidRPr="00B76A73">
        <w:t>two</w:t>
      </w:r>
      <w:r w:rsidR="00981FF8" w:rsidRPr="00B76A73">
        <w:t xml:space="preserve"> increases totaling 150 basis points, ending the quarter at a range of 3.00% to 3.25%</w:t>
      </w:r>
      <w:r w:rsidR="00455D78" w:rsidRPr="00B76A73">
        <w:t>.</w:t>
      </w:r>
      <w:r w:rsidR="000B0583" w:rsidRPr="00B76A73">
        <w:t xml:space="preserve"> </w:t>
      </w:r>
      <w:r w:rsidR="00C5430F" w:rsidRPr="00B76A73">
        <w:t xml:space="preserve">The committee </w:t>
      </w:r>
      <w:r w:rsidR="00175A46" w:rsidRPr="00B76A73">
        <w:t xml:space="preserve">indicated </w:t>
      </w:r>
      <w:r w:rsidR="00981FF8" w:rsidRPr="00B76A73">
        <w:t xml:space="preserve">its intent to continue raising </w:t>
      </w:r>
      <w:r w:rsidR="001A6B4E" w:rsidRPr="00B76A73">
        <w:t xml:space="preserve">target </w:t>
      </w:r>
      <w:r w:rsidR="00981FF8" w:rsidRPr="00B76A73">
        <w:t>rates</w:t>
      </w:r>
      <w:r w:rsidR="001A6B4E" w:rsidRPr="00B76A73">
        <w:t>, then hold at an elevated level as long as needed to fully contain inflation, despite dampening expectations for other areas of the economy and the real possibility of recession</w:t>
      </w:r>
      <w:r w:rsidR="00C5430F" w:rsidRPr="00B76A73">
        <w:t>.</w:t>
      </w:r>
    </w:p>
    <w:p w14:paraId="515AD2F7" w14:textId="49FC48EB" w:rsidR="004D1C9D" w:rsidRPr="00B76A73" w:rsidRDefault="006D3964" w:rsidP="00166C08">
      <w:pPr>
        <w:jc w:val="center"/>
      </w:pPr>
      <w:r w:rsidRPr="00B76A73">
        <w:rPr>
          <w:noProof/>
        </w:rPr>
        <w:lastRenderedPageBreak/>
        <w:drawing>
          <wp:inline distT="0" distB="0" distL="0" distR="0" wp14:anchorId="2DBCE20D" wp14:editId="3EDD4712">
            <wp:extent cx="3493135" cy="2603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54113481" w14:textId="77777777" w:rsidR="00B7512F" w:rsidRPr="00B76A73" w:rsidRDefault="00B7512F" w:rsidP="00166C08">
      <w:pPr>
        <w:jc w:val="center"/>
      </w:pPr>
    </w:p>
    <w:p w14:paraId="7D026DBE" w14:textId="249EC3AF" w:rsidR="004D1C9D" w:rsidRPr="00B76A73" w:rsidRDefault="005117CA" w:rsidP="005261C1">
      <w:r w:rsidRPr="00B76A73">
        <w:t>T</w:t>
      </w:r>
      <w:r w:rsidR="002978F9" w:rsidRPr="00B76A73">
        <w:t xml:space="preserve">he yield on the </w:t>
      </w:r>
      <w:r w:rsidR="0039196F" w:rsidRPr="00B76A73">
        <w:t xml:space="preserve">benchmark </w:t>
      </w:r>
      <w:r w:rsidR="002978F9" w:rsidRPr="00B76A73">
        <w:t>10-year U.S. treasury</w:t>
      </w:r>
      <w:r w:rsidR="004759DB" w:rsidRPr="00B76A73">
        <w:rPr>
          <w:rStyle w:val="FootnoteReference"/>
        </w:rPr>
        <w:footnoteReference w:id="13"/>
      </w:r>
      <w:r w:rsidR="002978F9" w:rsidRPr="00B76A73">
        <w:t xml:space="preserve"> </w:t>
      </w:r>
      <w:r w:rsidR="00455D78" w:rsidRPr="00B76A73">
        <w:t xml:space="preserve">ended the </w:t>
      </w:r>
      <w:r w:rsidR="007D42CD" w:rsidRPr="00B76A73">
        <w:t>3</w:t>
      </w:r>
      <w:r w:rsidR="007D42CD" w:rsidRPr="00B76A73">
        <w:rPr>
          <w:vertAlign w:val="superscript"/>
        </w:rPr>
        <w:t>rd</w:t>
      </w:r>
      <w:r w:rsidR="007D42CD" w:rsidRPr="00B76A73">
        <w:t xml:space="preserve"> </w:t>
      </w:r>
      <w:r w:rsidRPr="00B76A73">
        <w:t>quarter</w:t>
      </w:r>
      <w:r w:rsidR="00A73A66" w:rsidRPr="00B76A73">
        <w:t xml:space="preserve"> </w:t>
      </w:r>
      <w:r w:rsidR="00455D78" w:rsidRPr="00B76A73">
        <w:t>at</w:t>
      </w:r>
      <w:r w:rsidR="00A73A66" w:rsidRPr="00B76A73">
        <w:t xml:space="preserve"> </w:t>
      </w:r>
      <w:r w:rsidR="00B7512F" w:rsidRPr="00B76A73">
        <w:t>3.</w:t>
      </w:r>
      <w:r w:rsidR="007D42CD" w:rsidRPr="00B76A73">
        <w:t>83</w:t>
      </w:r>
      <w:r w:rsidR="00A73A66" w:rsidRPr="00B76A73">
        <w:t xml:space="preserve">%, </w:t>
      </w:r>
      <w:r w:rsidR="00C5430F" w:rsidRPr="00B76A73">
        <w:t xml:space="preserve">up </w:t>
      </w:r>
      <w:r w:rsidR="007D42CD" w:rsidRPr="00B76A73">
        <w:t>0.85</w:t>
      </w:r>
      <w:r w:rsidR="00C5430F" w:rsidRPr="00B76A73">
        <w:t xml:space="preserve"> percentage points</w:t>
      </w:r>
      <w:r w:rsidR="00455D78" w:rsidRPr="00B76A73">
        <w:t xml:space="preserve"> from the previous quarter, but </w:t>
      </w:r>
      <w:r w:rsidR="004B3D9F" w:rsidRPr="00B76A73">
        <w:t xml:space="preserve">still </w:t>
      </w:r>
      <w:r w:rsidR="00071875" w:rsidRPr="00B76A73">
        <w:t xml:space="preserve">below the average yield of </w:t>
      </w:r>
      <w:r w:rsidR="003A4C56" w:rsidRPr="00B76A73">
        <w:t>3.</w:t>
      </w:r>
      <w:r w:rsidR="00B7512F" w:rsidRPr="00B76A73">
        <w:t>9</w:t>
      </w:r>
      <w:r w:rsidR="0010377C">
        <w:t>4</w:t>
      </w:r>
      <w:r w:rsidR="004965CE" w:rsidRPr="00B76A73">
        <w:t>% over the last 30 years</w:t>
      </w:r>
      <w:r w:rsidR="00CB629F" w:rsidRPr="00B76A73">
        <w:t>.</w:t>
      </w:r>
      <w:r w:rsidR="00A73A66" w:rsidRPr="00B76A73">
        <w:t xml:space="preserve"> </w:t>
      </w:r>
    </w:p>
    <w:p w14:paraId="67433862" w14:textId="2C9E290A" w:rsidR="004D1C9D" w:rsidRPr="00B76A73" w:rsidRDefault="006D3964" w:rsidP="005117CA">
      <w:pPr>
        <w:jc w:val="center"/>
      </w:pPr>
      <w:r w:rsidRPr="00B76A73">
        <w:rPr>
          <w:noProof/>
        </w:rPr>
        <w:drawing>
          <wp:inline distT="0" distB="0" distL="0" distR="0" wp14:anchorId="00C9415D" wp14:editId="6A53D1A2">
            <wp:extent cx="3499485" cy="26035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75A11124" w14:textId="145AD232" w:rsidR="001945EC" w:rsidRPr="00B76A73" w:rsidRDefault="00F02B3A" w:rsidP="00460436">
      <w:r w:rsidRPr="00B76A73">
        <w:t>Moody’s Baa Corpor</w:t>
      </w:r>
      <w:r w:rsidR="00102080" w:rsidRPr="00B76A73">
        <w:t xml:space="preserve">ate Bond Yield </w:t>
      </w:r>
      <w:r w:rsidR="004E3393" w:rsidRPr="00B76A73">
        <w:t>Index</w:t>
      </w:r>
      <w:r w:rsidR="004E5EC0" w:rsidRPr="00B76A73">
        <w:rPr>
          <w:rStyle w:val="FootnoteReference"/>
        </w:rPr>
        <w:footnoteReference w:id="14"/>
      </w:r>
      <w:r w:rsidR="004E3393" w:rsidRPr="00B76A73">
        <w:t xml:space="preserve"> </w:t>
      </w:r>
      <w:r w:rsidR="009D42AA" w:rsidRPr="00B76A73">
        <w:t xml:space="preserve">ended the </w:t>
      </w:r>
      <w:r w:rsidR="007D42CD" w:rsidRPr="00B76A73">
        <w:t>3</w:t>
      </w:r>
      <w:r w:rsidR="007D42CD" w:rsidRPr="00B76A73">
        <w:rPr>
          <w:vertAlign w:val="superscript"/>
        </w:rPr>
        <w:t>rd</w:t>
      </w:r>
      <w:r w:rsidR="007D42CD" w:rsidRPr="00B76A73">
        <w:t xml:space="preserve"> </w:t>
      </w:r>
      <w:r w:rsidR="009D42AA" w:rsidRPr="00B76A73">
        <w:t xml:space="preserve">quarter </w:t>
      </w:r>
      <w:r w:rsidR="00551CFE" w:rsidRPr="00B76A73">
        <w:t xml:space="preserve">of 2022 </w:t>
      </w:r>
      <w:r w:rsidR="009D42AA" w:rsidRPr="00B76A73">
        <w:t xml:space="preserve">at </w:t>
      </w:r>
      <w:r w:rsidR="007D42CD" w:rsidRPr="00B76A73">
        <w:t>6.07</w:t>
      </w:r>
      <w:r w:rsidR="009D42AA" w:rsidRPr="00B76A73">
        <w:t>%</w:t>
      </w:r>
      <w:r w:rsidR="00F72263" w:rsidRPr="00B76A73">
        <w:t>,</w:t>
      </w:r>
      <w:r w:rsidR="009D42AA" w:rsidRPr="00B76A73">
        <w:t xml:space="preserve"> </w:t>
      </w:r>
      <w:r w:rsidR="00412C1A" w:rsidRPr="00B76A73">
        <w:t xml:space="preserve">up </w:t>
      </w:r>
      <w:r w:rsidR="00D61DD3" w:rsidRPr="00B76A73">
        <w:t>0.78 percentage points</w:t>
      </w:r>
      <w:r w:rsidR="00412C1A" w:rsidRPr="00B76A73">
        <w:t xml:space="preserve"> since the previous </w:t>
      </w:r>
      <w:r w:rsidR="009D42AA" w:rsidRPr="00B76A73">
        <w:t>quarter</w:t>
      </w:r>
      <w:r w:rsidR="00823E2B" w:rsidRPr="00B76A73">
        <w:t xml:space="preserve">. </w:t>
      </w:r>
      <w:r w:rsidR="00261A6E" w:rsidRPr="00B76A73">
        <w:t xml:space="preserve">Moody’s </w:t>
      </w:r>
      <w:r w:rsidR="00536AD4" w:rsidRPr="00B76A73">
        <w:t xml:space="preserve">less-risky </w:t>
      </w:r>
      <w:proofErr w:type="spellStart"/>
      <w:r w:rsidR="00261A6E" w:rsidRPr="00B76A73">
        <w:t>Aaa</w:t>
      </w:r>
      <w:proofErr w:type="spellEnd"/>
      <w:r w:rsidR="009D42AA" w:rsidRPr="00B76A73">
        <w:rPr>
          <w:rStyle w:val="FootnoteReference"/>
        </w:rPr>
        <w:footnoteReference w:id="15"/>
      </w:r>
      <w:r w:rsidR="00261A6E" w:rsidRPr="00B76A73">
        <w:t xml:space="preserve"> Index </w:t>
      </w:r>
      <w:r w:rsidR="00551CFE" w:rsidRPr="00B76A73">
        <w:t xml:space="preserve">rose </w:t>
      </w:r>
      <w:r w:rsidR="00ED4F2C" w:rsidRPr="00B76A73">
        <w:t>0.</w:t>
      </w:r>
      <w:r w:rsidR="00D61DD3" w:rsidRPr="00B76A73">
        <w:t>72 percentage points</w:t>
      </w:r>
      <w:r w:rsidR="00551CFE" w:rsidRPr="00B76A73">
        <w:t xml:space="preserve"> during the quarter to a level of </w:t>
      </w:r>
      <w:r w:rsidR="007D42CD" w:rsidRPr="00B76A73">
        <w:t>4.91</w:t>
      </w:r>
      <w:r w:rsidR="00261A6E" w:rsidRPr="00B76A73">
        <w:t>%.</w:t>
      </w:r>
    </w:p>
    <w:p w14:paraId="62B8B6AA" w14:textId="31E45530" w:rsidR="00A96A6A" w:rsidRPr="00B76A73" w:rsidRDefault="00D61DD3" w:rsidP="00460436">
      <w:r w:rsidRPr="00B76A73">
        <w:lastRenderedPageBreak/>
        <w:t>The upward pressure on corporate and treasury bond yields came as the Federal Reserve took a hawkish stance on the economy’s searing inflation, raising interest rate targets five times so far in 2022. Investor expectations have inspired widespread moves from riskier equities into the bond market in anticipation of the Fed rate hikes.</w:t>
      </w:r>
    </w:p>
    <w:p w14:paraId="7CE57D35" w14:textId="6B3B2646" w:rsidR="005117CA" w:rsidRPr="00B76A73" w:rsidRDefault="006D3964" w:rsidP="005117CA">
      <w:pPr>
        <w:jc w:val="center"/>
      </w:pPr>
      <w:r w:rsidRPr="00B76A73">
        <w:rPr>
          <w:noProof/>
        </w:rPr>
        <w:drawing>
          <wp:inline distT="0" distB="0" distL="0" distR="0" wp14:anchorId="78A72210" wp14:editId="17F9F510">
            <wp:extent cx="3493135" cy="2883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883535"/>
                    </a:xfrm>
                    <a:prstGeom prst="rect">
                      <a:avLst/>
                    </a:prstGeom>
                    <a:noFill/>
                  </pic:spPr>
                </pic:pic>
              </a:graphicData>
            </a:graphic>
          </wp:inline>
        </w:drawing>
      </w:r>
    </w:p>
    <w:p w14:paraId="149D5F2F" w14:textId="479C442E" w:rsidR="00005111" w:rsidRPr="00B76A73" w:rsidRDefault="00005111" w:rsidP="005261C1">
      <w:pPr>
        <w:pStyle w:val="Heading1"/>
      </w:pPr>
      <w:r w:rsidRPr="00B76A73">
        <w:t>Employment</w:t>
      </w:r>
    </w:p>
    <w:p w14:paraId="6A12E6BF" w14:textId="006AB388" w:rsidR="003412DA" w:rsidRPr="00B76A73" w:rsidRDefault="003412DA" w:rsidP="003412DA">
      <w:r w:rsidRPr="00B76A73">
        <w:t>The official unemployment rate</w:t>
      </w:r>
      <w:r w:rsidR="009D7CB0" w:rsidRPr="00B76A73">
        <w:rPr>
          <w:rStyle w:val="FootnoteReference"/>
        </w:rPr>
        <w:footnoteReference w:id="16"/>
      </w:r>
      <w:r w:rsidRPr="00B76A73">
        <w:t xml:space="preserve"> </w:t>
      </w:r>
      <w:r w:rsidR="00CE5A3E" w:rsidRPr="00B76A73">
        <w:t>inched down to 3.5% during the 3</w:t>
      </w:r>
      <w:r w:rsidR="00CE5A3E" w:rsidRPr="00B76A73">
        <w:rPr>
          <w:vertAlign w:val="superscript"/>
        </w:rPr>
        <w:t>rd</w:t>
      </w:r>
      <w:r w:rsidR="00CE5A3E" w:rsidRPr="00B76A73">
        <w:t xml:space="preserve"> quarter of 2022, equaling its pre-pandemic level </w:t>
      </w:r>
      <w:r w:rsidR="00F8588F" w:rsidRPr="00B76A73">
        <w:t xml:space="preserve">and </w:t>
      </w:r>
      <w:r w:rsidR="00CE5A3E" w:rsidRPr="00B76A73">
        <w:t>well below the 30-year historical average of 5.8%. T</w:t>
      </w:r>
      <w:r w:rsidR="0004341A" w:rsidRPr="00B76A73">
        <w:t>he labor force</w:t>
      </w:r>
      <w:r w:rsidR="007B4191" w:rsidRPr="00B76A73">
        <w:rPr>
          <w:rStyle w:val="FootnoteReference"/>
        </w:rPr>
        <w:footnoteReference w:id="17"/>
      </w:r>
      <w:r w:rsidR="0004341A" w:rsidRPr="00B76A73">
        <w:t xml:space="preserve"> </w:t>
      </w:r>
      <w:r w:rsidR="00CE5A3E" w:rsidRPr="00B76A73">
        <w:t>expanded by 0.7 million workers during the quarter. T</w:t>
      </w:r>
      <w:r w:rsidR="004D3A04" w:rsidRPr="00B76A73">
        <w:t xml:space="preserve">he </w:t>
      </w:r>
      <w:r w:rsidR="006859BA" w:rsidRPr="00B76A73">
        <w:t>labor force participation rate</w:t>
      </w:r>
      <w:r w:rsidR="006859BA" w:rsidRPr="00B76A73">
        <w:rPr>
          <w:rStyle w:val="FootnoteReference"/>
        </w:rPr>
        <w:footnoteReference w:id="18"/>
      </w:r>
      <w:r w:rsidR="006859BA" w:rsidRPr="00B76A73">
        <w:t xml:space="preserve"> </w:t>
      </w:r>
      <w:r w:rsidR="00CE5A3E" w:rsidRPr="00B76A73">
        <w:t>ticked up to 62.3% yet remain</w:t>
      </w:r>
      <w:r w:rsidR="00985656" w:rsidRPr="00B76A73">
        <w:t>ed</w:t>
      </w:r>
      <w:r w:rsidR="00CE5A3E" w:rsidRPr="00B76A73">
        <w:t xml:space="preserve"> 1.1 percentage point</w:t>
      </w:r>
      <w:r w:rsidR="00455043" w:rsidRPr="00B76A73">
        <w:t>s</w:t>
      </w:r>
      <w:r w:rsidR="00CE5A3E" w:rsidRPr="00B76A73">
        <w:t xml:space="preserve"> below its pre-pandemic level. </w:t>
      </w:r>
      <w:r w:rsidR="00D62169" w:rsidRPr="00B76A73">
        <w:t>E</w:t>
      </w:r>
      <w:r w:rsidRPr="00B76A73">
        <w:t xml:space="preserve">conomists </w:t>
      </w:r>
      <w:r w:rsidR="006859BA" w:rsidRPr="00B76A73">
        <w:t>polled by</w:t>
      </w:r>
      <w:r w:rsidR="00D62169" w:rsidRPr="00B76A73">
        <w:t xml:space="preserve"> </w:t>
      </w:r>
      <w:r w:rsidRPr="00B76A73">
        <w:t>the Livingston Survey</w:t>
      </w:r>
      <w:r w:rsidR="00C7535D" w:rsidRPr="00B76A73">
        <w:rPr>
          <w:rStyle w:val="FootnoteReference"/>
        </w:rPr>
        <w:footnoteReference w:id="19"/>
      </w:r>
      <w:r w:rsidRPr="00B76A73">
        <w:t xml:space="preserve"> </w:t>
      </w:r>
      <w:r w:rsidR="004D3A04" w:rsidRPr="00B76A73">
        <w:t>in June of 2022 projected an unemployment rate of 3.4% in December 2022, inching up to 3.5% in June of 2023</w:t>
      </w:r>
      <w:r w:rsidRPr="00B76A73">
        <w:t xml:space="preserve">. </w:t>
      </w:r>
    </w:p>
    <w:p w14:paraId="4B4FCC94" w14:textId="1E732BBB" w:rsidR="00D029B3" w:rsidRPr="00B76A73" w:rsidRDefault="009E7A0A" w:rsidP="003412DA">
      <w:r w:rsidRPr="00B76A73">
        <w:t xml:space="preserve">In </w:t>
      </w:r>
      <w:r w:rsidR="00CE5A3E" w:rsidRPr="00B76A73">
        <w:t>August</w:t>
      </w:r>
      <w:r w:rsidRPr="00B76A73">
        <w:t xml:space="preserve"> 2022, n</w:t>
      </w:r>
      <w:r w:rsidR="00D029B3" w:rsidRPr="00B76A73">
        <w:t>onfarm worker quits</w:t>
      </w:r>
      <w:r w:rsidR="00D029B3" w:rsidRPr="00B76A73">
        <w:rPr>
          <w:rStyle w:val="FootnoteReference"/>
        </w:rPr>
        <w:footnoteReference w:id="20"/>
      </w:r>
      <w:r w:rsidR="00D029B3" w:rsidRPr="00B76A73">
        <w:t xml:space="preserve"> </w:t>
      </w:r>
      <w:r w:rsidR="005505E0" w:rsidRPr="00B76A73">
        <w:t xml:space="preserve">stood at </w:t>
      </w:r>
      <w:r w:rsidR="00CE5A3E" w:rsidRPr="00B76A73">
        <w:t xml:space="preserve">4.2 million, up 0.8% since August 2021. The number of quits in August was 0.4 million lower than the record high in November 2021 yet </w:t>
      </w:r>
      <w:r w:rsidR="00985656" w:rsidRPr="00B76A73">
        <w:t xml:space="preserve">remained </w:t>
      </w:r>
      <w:r w:rsidR="00CE5A3E" w:rsidRPr="00B76A73">
        <w:t xml:space="preserve">0.7 million higher than their pre-pandemic level. The elevated level of quits, sometimes referred to as The Great Resignation, appears to be waning, but will leave in its wake potentially permanent changes to American work culture, including increased flexibility </w:t>
      </w:r>
      <w:r w:rsidR="00CE5A3E" w:rsidRPr="00B76A73">
        <w:lastRenderedPageBreak/>
        <w:t xml:space="preserve">and a focus on employee wellness. </w:t>
      </w:r>
      <w:r w:rsidR="007A4A4B" w:rsidRPr="00B76A73">
        <w:t>Job openings</w:t>
      </w:r>
      <w:r w:rsidR="007A4A4B" w:rsidRPr="00B76A73">
        <w:rPr>
          <w:rStyle w:val="FootnoteReference"/>
        </w:rPr>
        <w:footnoteReference w:id="21"/>
      </w:r>
      <w:r w:rsidR="007A4A4B" w:rsidRPr="00B76A73">
        <w:t xml:space="preserve"> totaled </w:t>
      </w:r>
      <w:r w:rsidR="00CE5A3E" w:rsidRPr="00B76A73">
        <w:t>10.1 million in August 2022, 1.8 million below their record high in March 2022 and 2.4 times the number of resignations</w:t>
      </w:r>
      <w:r w:rsidR="007A4A4B" w:rsidRPr="00B76A73">
        <w:t>.</w:t>
      </w:r>
      <w:r w:rsidR="007A4A4B" w:rsidRPr="00B76A73">
        <w:rPr>
          <w:rStyle w:val="CommentReference"/>
        </w:rPr>
        <w:t xml:space="preserve"> </w:t>
      </w:r>
    </w:p>
    <w:p w14:paraId="799A9D83" w14:textId="134DC4BE" w:rsidR="009526E8" w:rsidRPr="00B76A73" w:rsidRDefault="006D3964" w:rsidP="009526E8">
      <w:pPr>
        <w:jc w:val="center"/>
      </w:pPr>
      <w:r w:rsidRPr="00B76A73">
        <w:rPr>
          <w:noProof/>
        </w:rPr>
        <w:drawing>
          <wp:inline distT="0" distB="0" distL="0" distR="0" wp14:anchorId="30AAA3F9" wp14:editId="16108868">
            <wp:extent cx="3493135" cy="26035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51205F54" w14:textId="7A21C72C" w:rsidR="007A4896" w:rsidRPr="00B76A73" w:rsidRDefault="007A4896" w:rsidP="007A4896">
      <w:r w:rsidRPr="00B76A73">
        <w:t xml:space="preserve">The U-6 </w:t>
      </w:r>
      <w:r w:rsidR="00895002" w:rsidRPr="00B76A73">
        <w:t xml:space="preserve">unemployment </w:t>
      </w:r>
      <w:r w:rsidRPr="00B76A73">
        <w:t>rate</w:t>
      </w:r>
      <w:r w:rsidR="009D7CB0" w:rsidRPr="00B76A73">
        <w:rPr>
          <w:rStyle w:val="FootnoteReference"/>
        </w:rPr>
        <w:footnoteReference w:id="22"/>
      </w:r>
      <w:r w:rsidRPr="00B76A73">
        <w:t xml:space="preserve"> is an alternative measure of unemployment with a broader definition, </w:t>
      </w:r>
      <w:r w:rsidR="001F297B" w:rsidRPr="00B76A73">
        <w:t>including such groups</w:t>
      </w:r>
      <w:r w:rsidRPr="00B76A73">
        <w:t xml:space="preserve"> as discouraged workers who are not actively searching for jobs but want full-time work and part-time workers who want full-time work. The U</w:t>
      </w:r>
      <w:r w:rsidRPr="00B76A73">
        <w:noBreakHyphen/>
        <w:t xml:space="preserve">6 </w:t>
      </w:r>
      <w:r w:rsidR="00895002" w:rsidRPr="00B76A73">
        <w:t xml:space="preserve">unemployment </w:t>
      </w:r>
      <w:r w:rsidRPr="00B76A73">
        <w:t xml:space="preserve">rate </w:t>
      </w:r>
      <w:r w:rsidR="00CE5A3E" w:rsidRPr="00B76A73">
        <w:t>has generally followed the same pattern as the official rate, and stood</w:t>
      </w:r>
      <w:r w:rsidR="00985656" w:rsidRPr="00B76A73">
        <w:t xml:space="preserve"> at</w:t>
      </w:r>
      <w:r w:rsidR="00CE5A3E" w:rsidRPr="00B76A73">
        <w:t xml:space="preserve"> 6.7% in September 2022, matching June’s record low</w:t>
      </w:r>
      <w:r w:rsidRPr="00B76A73">
        <w:t>.</w:t>
      </w:r>
    </w:p>
    <w:p w14:paraId="6B09010C" w14:textId="4620AA34" w:rsidR="007A4896" w:rsidRPr="00B76A73" w:rsidRDefault="006D3964" w:rsidP="004846E4">
      <w:pPr>
        <w:jc w:val="center"/>
      </w:pPr>
      <w:r w:rsidRPr="00B76A73">
        <w:rPr>
          <w:noProof/>
        </w:rPr>
        <w:drawing>
          <wp:inline distT="0" distB="0" distL="0" distR="0" wp14:anchorId="112B205B" wp14:editId="13733764">
            <wp:extent cx="3493135" cy="26035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2A158EAA" w14:textId="50634008" w:rsidR="003412DA" w:rsidRPr="00B76A73" w:rsidRDefault="009D7CB0" w:rsidP="003412DA">
      <w:r w:rsidRPr="00B76A73">
        <w:lastRenderedPageBreak/>
        <w:t>Nonfarm p</w:t>
      </w:r>
      <w:r w:rsidR="003412DA" w:rsidRPr="00B76A73">
        <w:t>ayrolls</w:t>
      </w:r>
      <w:r w:rsidRPr="00B76A73">
        <w:rPr>
          <w:rStyle w:val="FootnoteReference"/>
        </w:rPr>
        <w:footnoteReference w:id="23"/>
      </w:r>
      <w:r w:rsidR="003412DA" w:rsidRPr="00B76A73">
        <w:t xml:space="preserve"> grew by </w:t>
      </w:r>
      <w:r w:rsidR="006C2AC0" w:rsidRPr="00B76A73">
        <w:t>1.</w:t>
      </w:r>
      <w:r w:rsidR="00204969" w:rsidRPr="00B76A73">
        <w:t>1</w:t>
      </w:r>
      <w:r w:rsidR="003412DA" w:rsidRPr="00B76A73">
        <w:t xml:space="preserve"> million jobs in </w:t>
      </w:r>
      <w:r w:rsidR="008A7107" w:rsidRPr="00B76A73">
        <w:t xml:space="preserve">the </w:t>
      </w:r>
      <w:r w:rsidR="00204969" w:rsidRPr="00B76A73">
        <w:t>3</w:t>
      </w:r>
      <w:r w:rsidR="00204969" w:rsidRPr="00B76A73">
        <w:rPr>
          <w:vertAlign w:val="superscript"/>
        </w:rPr>
        <w:t>rd</w:t>
      </w:r>
      <w:r w:rsidR="00204969" w:rsidRPr="00B76A73">
        <w:t xml:space="preserve"> </w:t>
      </w:r>
      <w:r w:rsidR="008A7107" w:rsidRPr="00B76A73">
        <w:t xml:space="preserve">quarter. </w:t>
      </w:r>
      <w:r w:rsidR="00BD4FA3" w:rsidRPr="00B76A73">
        <w:t>U.S.</w:t>
      </w:r>
      <w:r w:rsidR="008A7107" w:rsidRPr="00B76A73">
        <w:t xml:space="preserve"> nonfarm payrolls </w:t>
      </w:r>
      <w:r w:rsidR="00F72263" w:rsidRPr="00B76A73">
        <w:t xml:space="preserve">in </w:t>
      </w:r>
      <w:r w:rsidR="00204969" w:rsidRPr="00B76A73">
        <w:t>September</w:t>
      </w:r>
      <w:r w:rsidR="0022416D" w:rsidRPr="00B76A73">
        <w:t xml:space="preserve"> 2022</w:t>
      </w:r>
      <w:r w:rsidR="00F72263" w:rsidRPr="00B76A73">
        <w:t xml:space="preserve"> totaled</w:t>
      </w:r>
      <w:r w:rsidR="008A7107" w:rsidRPr="00B76A73">
        <w:t xml:space="preserve"> </w:t>
      </w:r>
      <w:r w:rsidR="0022416D" w:rsidRPr="00B76A73">
        <w:t>15</w:t>
      </w:r>
      <w:r w:rsidR="00204969" w:rsidRPr="00B76A73">
        <w:t>3</w:t>
      </w:r>
      <w:r w:rsidR="00746558" w:rsidRPr="00B76A73">
        <w:t>.</w:t>
      </w:r>
      <w:r w:rsidR="00204969" w:rsidRPr="00B76A73">
        <w:t>0 million</w:t>
      </w:r>
      <w:r w:rsidR="00175A46" w:rsidRPr="00B76A73">
        <w:t xml:space="preserve"> jobs</w:t>
      </w:r>
      <w:r w:rsidR="008A7107" w:rsidRPr="00B76A73">
        <w:t>, up</w:t>
      </w:r>
      <w:r w:rsidR="00A14C86" w:rsidRPr="00B76A73">
        <w:t xml:space="preserve"> </w:t>
      </w:r>
      <w:r w:rsidR="00204969" w:rsidRPr="00B76A73">
        <w:t>5.7</w:t>
      </w:r>
      <w:r w:rsidR="00A14C86" w:rsidRPr="00B76A73">
        <w:t xml:space="preserve"> million compared to the same period last year</w:t>
      </w:r>
      <w:r w:rsidR="00204969" w:rsidRPr="00B76A73">
        <w:t xml:space="preserve"> and exceeding </w:t>
      </w:r>
      <w:r w:rsidR="008A7107" w:rsidRPr="00B76A73">
        <w:t>their pre-pandemic (</w:t>
      </w:r>
      <w:r w:rsidR="00F72263" w:rsidRPr="00B76A73">
        <w:t>Feb</w:t>
      </w:r>
      <w:r w:rsidR="008A7107" w:rsidRPr="00B76A73">
        <w:t>r</w:t>
      </w:r>
      <w:r w:rsidR="00F72263" w:rsidRPr="00B76A73">
        <w:t>uary</w:t>
      </w:r>
      <w:r w:rsidR="008A7107" w:rsidRPr="00B76A73">
        <w:t xml:space="preserve"> 2020) levels</w:t>
      </w:r>
      <w:r w:rsidR="003412DA" w:rsidRPr="00B76A73">
        <w:t xml:space="preserve">. </w:t>
      </w:r>
      <w:r w:rsidR="00B542EC" w:rsidRPr="00B76A73">
        <w:t>Many of the 3</w:t>
      </w:r>
      <w:r w:rsidR="00B542EC" w:rsidRPr="00B76A73">
        <w:rPr>
          <w:vertAlign w:val="superscript"/>
        </w:rPr>
        <w:t>rd</w:t>
      </w:r>
      <w:r w:rsidR="00B542EC" w:rsidRPr="00B76A73">
        <w:t xml:space="preserve"> quarter job gains occurred early in the quarter, and September’s figures fell </w:t>
      </w:r>
      <w:r w:rsidR="00091209" w:rsidRPr="00B76A73">
        <w:t>slightly</w:t>
      </w:r>
      <w:r w:rsidR="00B542EC" w:rsidRPr="00B76A73">
        <w:t xml:space="preserve"> shy of expectations. </w:t>
      </w:r>
      <w:r w:rsidR="00E16DF8" w:rsidRPr="00B76A73">
        <w:t>The largest gains were recorded in the</w:t>
      </w:r>
      <w:r w:rsidR="00746558" w:rsidRPr="00B76A73">
        <w:t xml:space="preserve"> </w:t>
      </w:r>
      <w:r w:rsidR="00E16DF8" w:rsidRPr="00B76A73">
        <w:t>leisure and hospitality</w:t>
      </w:r>
      <w:r w:rsidR="00F051F3" w:rsidRPr="00B76A73">
        <w:t>, health care</w:t>
      </w:r>
      <w:r w:rsidR="00204969" w:rsidRPr="00B76A73">
        <w:t>, and professional and business services</w:t>
      </w:r>
      <w:r w:rsidR="00E16DF8" w:rsidRPr="00B76A73">
        <w:t xml:space="preserve"> industr</w:t>
      </w:r>
      <w:r w:rsidR="00F051F3" w:rsidRPr="00B76A73">
        <w:t>ies</w:t>
      </w:r>
      <w:r w:rsidR="00E16DF8" w:rsidRPr="00B76A73">
        <w:t>.</w:t>
      </w:r>
    </w:p>
    <w:p w14:paraId="1926EEEC" w14:textId="2EA58C2D" w:rsidR="0017576B" w:rsidRPr="00B76A73" w:rsidRDefault="006D3964" w:rsidP="009526E8">
      <w:pPr>
        <w:jc w:val="center"/>
      </w:pPr>
      <w:r w:rsidRPr="00B76A73">
        <w:rPr>
          <w:noProof/>
        </w:rPr>
        <w:drawing>
          <wp:inline distT="0" distB="0" distL="0" distR="0" wp14:anchorId="6174C7CB" wp14:editId="071AEA92">
            <wp:extent cx="3889375" cy="2603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375" cy="2603500"/>
                    </a:xfrm>
                    <a:prstGeom prst="rect">
                      <a:avLst/>
                    </a:prstGeom>
                    <a:noFill/>
                  </pic:spPr>
                </pic:pic>
              </a:graphicData>
            </a:graphic>
          </wp:inline>
        </w:drawing>
      </w:r>
    </w:p>
    <w:p w14:paraId="149D5F38" w14:textId="77777777" w:rsidR="00005111" w:rsidRPr="00B76A73" w:rsidRDefault="00005111" w:rsidP="001475FF">
      <w:pPr>
        <w:pStyle w:val="Heading1"/>
      </w:pPr>
      <w:r w:rsidRPr="00B76A73">
        <w:t>Inflation</w:t>
      </w:r>
    </w:p>
    <w:p w14:paraId="52A0C1E8" w14:textId="5ECED2AC" w:rsidR="00176F91" w:rsidRPr="00B76A73" w:rsidRDefault="00A80B95" w:rsidP="00005111">
      <w:r w:rsidRPr="00B76A73">
        <w:t>Still at</w:t>
      </w:r>
      <w:r w:rsidR="006528B7" w:rsidRPr="00B76A73">
        <w:t xml:space="preserve"> the forefront of the economic conversation</w:t>
      </w:r>
      <w:r w:rsidR="00EA63F2" w:rsidRPr="00B76A73">
        <w:t xml:space="preserve">, </w:t>
      </w:r>
      <w:r w:rsidR="00F151F3" w:rsidRPr="00B76A73">
        <w:t xml:space="preserve">inflation </w:t>
      </w:r>
      <w:r w:rsidRPr="00B76A73">
        <w:t>is largely resisting aggressive policy moves to reign it in</w:t>
      </w:r>
      <w:r w:rsidR="000D4AF1" w:rsidRPr="00B76A73">
        <w:t xml:space="preserve">. </w:t>
      </w:r>
      <w:r w:rsidR="00661AA7" w:rsidRPr="00B76A73">
        <w:t>The Consumer Price Index</w:t>
      </w:r>
      <w:r w:rsidR="009B52AF" w:rsidRPr="00B76A73">
        <w:rPr>
          <w:rStyle w:val="FootnoteReference"/>
        </w:rPr>
        <w:footnoteReference w:id="24"/>
      </w:r>
      <w:r w:rsidR="00661AA7" w:rsidRPr="00B76A73">
        <w:t xml:space="preserve"> </w:t>
      </w:r>
      <w:r w:rsidR="004E1574" w:rsidRPr="00B76A73">
        <w:t>rose</w:t>
      </w:r>
      <w:r w:rsidR="000D4AF1" w:rsidRPr="00B76A73">
        <w:t xml:space="preserve"> </w:t>
      </w:r>
      <w:r w:rsidR="000F02FB" w:rsidRPr="00B76A73">
        <w:t>8.2</w:t>
      </w:r>
      <w:r w:rsidR="000D4AF1" w:rsidRPr="00B76A73">
        <w:t xml:space="preserve">% year-over-year in </w:t>
      </w:r>
      <w:r w:rsidR="000F02FB" w:rsidRPr="00B76A73">
        <w:t>September</w:t>
      </w:r>
      <w:r w:rsidR="00B36811" w:rsidRPr="00B76A73">
        <w:t xml:space="preserve">, </w:t>
      </w:r>
      <w:r w:rsidR="000F02FB" w:rsidRPr="00B76A73">
        <w:t>down from its 40-year high of 9.0% in June</w:t>
      </w:r>
      <w:r w:rsidR="002E0F29" w:rsidRPr="00B76A73">
        <w:t>. Excluding volatile energy prices</w:t>
      </w:r>
      <w:r w:rsidR="00EF1F20" w:rsidRPr="00B76A73">
        <w:rPr>
          <w:rStyle w:val="FootnoteReference"/>
        </w:rPr>
        <w:footnoteReference w:id="25"/>
      </w:r>
      <w:r w:rsidR="002E0F29" w:rsidRPr="00B76A73">
        <w:t xml:space="preserve">, the </w:t>
      </w:r>
      <w:r w:rsidR="000F02FB" w:rsidRPr="00B76A73">
        <w:t>annual increase was</w:t>
      </w:r>
      <w:r w:rsidR="003A2900" w:rsidRPr="00B76A73">
        <w:t xml:space="preserve"> </w:t>
      </w:r>
      <w:r w:rsidR="000F02FB" w:rsidRPr="00B76A73">
        <w:t>7.3</w:t>
      </w:r>
      <w:r w:rsidR="000D4AF1" w:rsidRPr="00B76A73">
        <w:t>%</w:t>
      </w:r>
      <w:r w:rsidRPr="00B76A73">
        <w:t>, another 40-year high</w:t>
      </w:r>
      <w:r w:rsidR="000D4AF1" w:rsidRPr="00B76A73">
        <w:t xml:space="preserve">. </w:t>
      </w:r>
      <w:r w:rsidR="000F02FB" w:rsidRPr="00B76A73">
        <w:t>The average</w:t>
      </w:r>
      <w:r w:rsidR="000D4AF1" w:rsidRPr="00B76A73">
        <w:t xml:space="preserve"> price</w:t>
      </w:r>
      <w:r w:rsidR="005C22CA" w:rsidRPr="00B76A73">
        <w:t xml:space="preserve"> of a gallon of gas</w:t>
      </w:r>
      <w:r w:rsidR="003A2900" w:rsidRPr="00B76A73">
        <w:rPr>
          <w:rStyle w:val="FootnoteReference"/>
        </w:rPr>
        <w:footnoteReference w:id="26"/>
      </w:r>
      <w:r w:rsidR="005C22CA" w:rsidRPr="00B76A73">
        <w:t xml:space="preserve"> </w:t>
      </w:r>
      <w:r w:rsidR="000F02FB" w:rsidRPr="00B76A73">
        <w:t>in the U.S. rose 18.9% from $3.27 in September 2021 to $3.88 in September 2022</w:t>
      </w:r>
      <w:r w:rsidR="008B3356" w:rsidRPr="00B76A73">
        <w:t xml:space="preserve">. </w:t>
      </w:r>
      <w:r w:rsidR="000F02FB" w:rsidRPr="00B76A73">
        <w:t>In the month of September 2022, higher prices for shelter</w:t>
      </w:r>
      <w:r w:rsidRPr="00B76A73">
        <w:t>,</w:t>
      </w:r>
      <w:r w:rsidR="000F02FB" w:rsidRPr="00B76A73">
        <w:t xml:space="preserve"> food, and medical care were the largest contributors to inflation. Shelter and food have been among the top three contributors to inflation every month since July 2021</w:t>
      </w:r>
      <w:r w:rsidR="00156E24" w:rsidRPr="00B76A73">
        <w:t xml:space="preserve">. </w:t>
      </w:r>
      <w:r w:rsidR="000D4AF1" w:rsidRPr="00B76A73">
        <w:t>The Federal Reserve</w:t>
      </w:r>
      <w:r w:rsidR="00350673" w:rsidRPr="00B76A73">
        <w:t xml:space="preserve"> has </w:t>
      </w:r>
      <w:r w:rsidR="000F02FB" w:rsidRPr="00B76A73">
        <w:t>been</w:t>
      </w:r>
      <w:r w:rsidR="00350673" w:rsidRPr="00B76A73">
        <w:t xml:space="preserve"> taking action to curb inflatio</w:t>
      </w:r>
      <w:r w:rsidR="00F151F3" w:rsidRPr="00B76A73">
        <w:t xml:space="preserve">n </w:t>
      </w:r>
      <w:r w:rsidR="000F02FB" w:rsidRPr="00B76A73">
        <w:t>with a series of target interest rate hikes totaling 3.0</w:t>
      </w:r>
      <w:r w:rsidR="00091209" w:rsidRPr="00B76A73">
        <w:t>0 percentage points</w:t>
      </w:r>
      <w:r w:rsidR="000F02FB" w:rsidRPr="00B76A73">
        <w:t xml:space="preserve"> since March 2022</w:t>
      </w:r>
      <w:r w:rsidRPr="00B76A73">
        <w:t xml:space="preserve"> and has signaled its intent to continue</w:t>
      </w:r>
      <w:r w:rsidR="00A94F52" w:rsidRPr="00B76A73">
        <w:t>.</w:t>
      </w:r>
    </w:p>
    <w:p w14:paraId="3ED812A9" w14:textId="0F475679" w:rsidR="00176F91" w:rsidRPr="00B76A73" w:rsidRDefault="006D3964" w:rsidP="009526E8">
      <w:pPr>
        <w:jc w:val="center"/>
      </w:pPr>
      <w:r w:rsidRPr="00B76A73">
        <w:rPr>
          <w:noProof/>
        </w:rPr>
        <w:lastRenderedPageBreak/>
        <w:drawing>
          <wp:inline distT="0" distB="0" distL="0" distR="0" wp14:anchorId="14A91033" wp14:editId="6F0433E2">
            <wp:extent cx="3505200" cy="26155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2615565"/>
                    </a:xfrm>
                    <a:prstGeom prst="rect">
                      <a:avLst/>
                    </a:prstGeom>
                    <a:noFill/>
                  </pic:spPr>
                </pic:pic>
              </a:graphicData>
            </a:graphic>
          </wp:inline>
        </w:drawing>
      </w:r>
    </w:p>
    <w:p w14:paraId="149D5F3E" w14:textId="6CF53A62" w:rsidR="00A11CAC" w:rsidRPr="00B76A73" w:rsidRDefault="00A17C3A" w:rsidP="006F7FB2">
      <w:r w:rsidRPr="00B76A73">
        <w:t>The Producer Price Index</w:t>
      </w:r>
      <w:r w:rsidR="009B52AF" w:rsidRPr="00B76A73">
        <w:rPr>
          <w:rStyle w:val="FootnoteReference"/>
        </w:rPr>
        <w:footnoteReference w:id="27"/>
      </w:r>
      <w:r w:rsidRPr="00B76A73">
        <w:t xml:space="preserve"> </w:t>
      </w:r>
      <w:r w:rsidR="00D44E28" w:rsidRPr="00B76A73">
        <w:t>inched down 0.1</w:t>
      </w:r>
      <w:r w:rsidR="00A94F52" w:rsidRPr="00B76A73">
        <w:t xml:space="preserve">% in </w:t>
      </w:r>
      <w:r w:rsidR="00D44E28" w:rsidRPr="00B76A73">
        <w:t>September</w:t>
      </w:r>
      <w:r w:rsidR="004940F1" w:rsidRPr="00B76A73">
        <w:t xml:space="preserve"> </w:t>
      </w:r>
      <w:r w:rsidR="00091209" w:rsidRPr="00B76A73">
        <w:t>yet remained</w:t>
      </w:r>
      <w:r w:rsidR="00235B28" w:rsidRPr="00B76A73">
        <w:t xml:space="preserve"> </w:t>
      </w:r>
      <w:r w:rsidR="00D44E28" w:rsidRPr="00B76A73">
        <w:t>14</w:t>
      </w:r>
      <w:r w:rsidR="00235B28" w:rsidRPr="00B76A73">
        <w:t>.</w:t>
      </w:r>
      <w:r w:rsidR="00D44E28" w:rsidRPr="00B76A73">
        <w:t>3</w:t>
      </w:r>
      <w:r w:rsidR="00235B28" w:rsidRPr="00B76A73">
        <w:t xml:space="preserve">% higher than </w:t>
      </w:r>
      <w:r w:rsidR="00D44E28" w:rsidRPr="00B76A73">
        <w:t>September</w:t>
      </w:r>
      <w:r w:rsidR="004940F1" w:rsidRPr="00B76A73">
        <w:t xml:space="preserve"> 2021</w:t>
      </w:r>
      <w:r w:rsidR="00235B28" w:rsidRPr="00B76A73">
        <w:t xml:space="preserve">, </w:t>
      </w:r>
      <w:r w:rsidR="004940F1" w:rsidRPr="00B76A73">
        <w:t xml:space="preserve">far outpacing </w:t>
      </w:r>
      <w:r w:rsidR="00235B28" w:rsidRPr="00B76A73">
        <w:t xml:space="preserve">the </w:t>
      </w:r>
      <w:r w:rsidR="00507B5A" w:rsidRPr="00B76A73">
        <w:t>2.</w:t>
      </w:r>
      <w:r w:rsidR="00D44E28" w:rsidRPr="00B76A73">
        <w:t>9</w:t>
      </w:r>
      <w:r w:rsidR="00507B5A" w:rsidRPr="00B76A73">
        <w:t xml:space="preserve">% </w:t>
      </w:r>
      <w:r w:rsidR="00235B28" w:rsidRPr="00B76A73">
        <w:t>average annual increase over the last 30 years.</w:t>
      </w:r>
    </w:p>
    <w:p w14:paraId="149D5F40" w14:textId="55328957" w:rsidR="00B94E68" w:rsidRPr="00B76A73" w:rsidRDefault="006D3964" w:rsidP="00166C08">
      <w:pPr>
        <w:jc w:val="center"/>
      </w:pPr>
      <w:r w:rsidRPr="00B76A73">
        <w:rPr>
          <w:noProof/>
        </w:rPr>
        <w:drawing>
          <wp:inline distT="0" distB="0" distL="0" distR="0" wp14:anchorId="724187DD" wp14:editId="7ECB380F">
            <wp:extent cx="3499485" cy="2603500"/>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49137979" w14:textId="2DEA609C" w:rsidR="00661AA7" w:rsidRPr="00B76A73" w:rsidRDefault="00661AA7" w:rsidP="00661AA7">
      <w:pPr>
        <w:rPr>
          <w:color w:val="000000" w:themeColor="text1"/>
        </w:rPr>
      </w:pPr>
      <w:r w:rsidRPr="00B76A73">
        <w:rPr>
          <w:color w:val="000000" w:themeColor="text1"/>
        </w:rPr>
        <w:t>Treasury Inflation-Protected Securities (TIPS) are a longer-term Treasury debt instrument which pays a fixed interest rate but adjusts the principal value according to inflation, effectively indexing interest payments to inflation. TIPS</w:t>
      </w:r>
      <w:r w:rsidR="000A4F8E" w:rsidRPr="00B76A73">
        <w:rPr>
          <w:color w:val="000000" w:themeColor="text1"/>
        </w:rPr>
        <w:t>, along with the rest of the bond market,</w:t>
      </w:r>
      <w:r w:rsidRPr="00B76A73">
        <w:rPr>
          <w:color w:val="000000" w:themeColor="text1"/>
        </w:rPr>
        <w:t xml:space="preserve"> </w:t>
      </w:r>
      <w:r w:rsidR="00DD577F" w:rsidRPr="00B76A73">
        <w:rPr>
          <w:color w:val="000000" w:themeColor="text1"/>
        </w:rPr>
        <w:t xml:space="preserve">have </w:t>
      </w:r>
      <w:r w:rsidR="000A4F8E" w:rsidRPr="00B76A73">
        <w:rPr>
          <w:color w:val="000000" w:themeColor="text1"/>
        </w:rPr>
        <w:t>suffered</w:t>
      </w:r>
      <w:r w:rsidR="00DD577F" w:rsidRPr="00B76A73">
        <w:rPr>
          <w:color w:val="000000" w:themeColor="text1"/>
        </w:rPr>
        <w:t xml:space="preserve"> the </w:t>
      </w:r>
      <w:r w:rsidR="000A4F8E" w:rsidRPr="00B76A73">
        <w:rPr>
          <w:color w:val="000000" w:themeColor="text1"/>
        </w:rPr>
        <w:t>consequences of</w:t>
      </w:r>
      <w:r w:rsidR="00DD577F" w:rsidRPr="00B76A73">
        <w:rPr>
          <w:color w:val="000000" w:themeColor="text1"/>
        </w:rPr>
        <w:t xml:space="preserve"> interest rate hikes</w:t>
      </w:r>
      <w:r w:rsidRPr="00B76A73">
        <w:rPr>
          <w:color w:val="000000" w:themeColor="text1"/>
        </w:rPr>
        <w:t xml:space="preserve">. The 5-year </w:t>
      </w:r>
      <w:r w:rsidR="00031DA4" w:rsidRPr="00B76A73">
        <w:rPr>
          <w:color w:val="000000" w:themeColor="text1"/>
        </w:rPr>
        <w:t>breakeven</w:t>
      </w:r>
      <w:r w:rsidRPr="00B76A73">
        <w:rPr>
          <w:color w:val="000000" w:themeColor="text1"/>
        </w:rPr>
        <w:t xml:space="preserve"> inflation rate</w:t>
      </w:r>
      <w:r w:rsidRPr="00B76A73">
        <w:rPr>
          <w:rStyle w:val="FootnoteReference"/>
          <w:color w:val="000000" w:themeColor="text1"/>
        </w:rPr>
        <w:footnoteReference w:id="28"/>
      </w:r>
      <w:r w:rsidRPr="00B76A73">
        <w:rPr>
          <w:color w:val="000000" w:themeColor="text1"/>
        </w:rPr>
        <w:t xml:space="preserve">, an indicator for the market’s inflation expectations for the period, </w:t>
      </w:r>
      <w:r w:rsidR="00B92E54" w:rsidRPr="00B76A73">
        <w:rPr>
          <w:color w:val="000000" w:themeColor="text1"/>
        </w:rPr>
        <w:t xml:space="preserve">fell </w:t>
      </w:r>
      <w:r w:rsidR="00D8327E" w:rsidRPr="00B76A73">
        <w:rPr>
          <w:color w:val="000000" w:themeColor="text1"/>
        </w:rPr>
        <w:t xml:space="preserve">from </w:t>
      </w:r>
      <w:r w:rsidR="00D44E28" w:rsidRPr="00B76A73">
        <w:rPr>
          <w:color w:val="000000" w:themeColor="text1"/>
        </w:rPr>
        <w:t>2.58% to end the 2</w:t>
      </w:r>
      <w:r w:rsidR="00D44E28" w:rsidRPr="00B76A73">
        <w:rPr>
          <w:color w:val="000000" w:themeColor="text1"/>
          <w:vertAlign w:val="superscript"/>
        </w:rPr>
        <w:t>nd</w:t>
      </w:r>
      <w:r w:rsidR="00D44E28" w:rsidRPr="00B76A73">
        <w:rPr>
          <w:color w:val="000000" w:themeColor="text1"/>
        </w:rPr>
        <w:t xml:space="preserve"> quarter </w:t>
      </w:r>
      <w:r w:rsidR="00D8327E" w:rsidRPr="00B76A73">
        <w:rPr>
          <w:color w:val="000000" w:themeColor="text1"/>
        </w:rPr>
        <w:t>to 2.</w:t>
      </w:r>
      <w:r w:rsidR="00D44E28" w:rsidRPr="00B76A73">
        <w:rPr>
          <w:color w:val="000000" w:themeColor="text1"/>
        </w:rPr>
        <w:t>14</w:t>
      </w:r>
      <w:r w:rsidR="00D8327E" w:rsidRPr="00B76A73">
        <w:rPr>
          <w:color w:val="000000" w:themeColor="text1"/>
        </w:rPr>
        <w:t xml:space="preserve">% to end the </w:t>
      </w:r>
      <w:r w:rsidR="00D44E28" w:rsidRPr="00B76A73">
        <w:rPr>
          <w:color w:val="000000" w:themeColor="text1"/>
        </w:rPr>
        <w:t>3</w:t>
      </w:r>
      <w:r w:rsidR="00D44E28" w:rsidRPr="00B76A73">
        <w:rPr>
          <w:color w:val="000000" w:themeColor="text1"/>
          <w:vertAlign w:val="superscript"/>
        </w:rPr>
        <w:t>rd</w:t>
      </w:r>
      <w:r w:rsidR="00D44E28" w:rsidRPr="00B76A73">
        <w:rPr>
          <w:color w:val="000000" w:themeColor="text1"/>
        </w:rPr>
        <w:t xml:space="preserve"> </w:t>
      </w:r>
      <w:r w:rsidR="00D8327E" w:rsidRPr="00B76A73">
        <w:rPr>
          <w:color w:val="000000" w:themeColor="text1"/>
        </w:rPr>
        <w:t>quarter</w:t>
      </w:r>
      <w:r w:rsidRPr="00B76A73">
        <w:rPr>
          <w:color w:val="000000" w:themeColor="text1"/>
        </w:rPr>
        <w:t>.</w:t>
      </w:r>
    </w:p>
    <w:p w14:paraId="2FA7F119" w14:textId="6EC50E60" w:rsidR="00A83597" w:rsidRPr="00B76A73" w:rsidRDefault="006D3964" w:rsidP="00A83597">
      <w:pPr>
        <w:jc w:val="center"/>
      </w:pPr>
      <w:r w:rsidRPr="00B76A73">
        <w:rPr>
          <w:noProof/>
        </w:rPr>
        <w:lastRenderedPageBreak/>
        <w:drawing>
          <wp:inline distT="0" distB="0" distL="0" distR="0" wp14:anchorId="6359D322" wp14:editId="1161C4BC">
            <wp:extent cx="3493135" cy="26035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491A6E5E" w14:textId="4584637E" w:rsidR="00F03302" w:rsidRPr="00B76A73" w:rsidRDefault="0074137C" w:rsidP="00A83597">
      <w:r w:rsidRPr="00B76A73">
        <w:t>U.S. crude oil</w:t>
      </w:r>
      <w:r w:rsidRPr="00B76A73">
        <w:rPr>
          <w:rStyle w:val="FootnoteReference"/>
        </w:rPr>
        <w:footnoteReference w:id="29"/>
      </w:r>
      <w:r w:rsidRPr="00B76A73">
        <w:t xml:space="preserve"> </w:t>
      </w:r>
      <w:r w:rsidR="00660C7A" w:rsidRPr="00B76A73">
        <w:t xml:space="preserve">prices </w:t>
      </w:r>
      <w:r w:rsidR="00100023" w:rsidRPr="00B76A73">
        <w:t>trended downward throughout</w:t>
      </w:r>
      <w:r w:rsidR="00D8327E" w:rsidRPr="00B76A73">
        <w:t xml:space="preserve"> the </w:t>
      </w:r>
      <w:r w:rsidR="00C43EF8" w:rsidRPr="00B76A73">
        <w:t>3</w:t>
      </w:r>
      <w:r w:rsidR="00C43EF8" w:rsidRPr="00B76A73">
        <w:rPr>
          <w:vertAlign w:val="superscript"/>
        </w:rPr>
        <w:t>rd</w:t>
      </w:r>
      <w:r w:rsidR="00C43EF8" w:rsidRPr="00B76A73">
        <w:t xml:space="preserve"> </w:t>
      </w:r>
      <w:r w:rsidR="00D8327E" w:rsidRPr="00B76A73">
        <w:t>quarter</w:t>
      </w:r>
      <w:r w:rsidR="00AF4095" w:rsidRPr="00B76A73">
        <w:t xml:space="preserve"> </w:t>
      </w:r>
      <w:r w:rsidR="00100023" w:rsidRPr="00B76A73">
        <w:t>as a rapidly strengthening dollar tempered foreign demand for oil and other dollar-denominated assets</w:t>
      </w:r>
      <w:r w:rsidR="00B6639B" w:rsidRPr="00B76A73">
        <w:t xml:space="preserve">. Crude prices ended the </w:t>
      </w:r>
      <w:r w:rsidR="00A43008" w:rsidRPr="00B76A73">
        <w:t>quarter</w:t>
      </w:r>
      <w:r w:rsidR="00F03302" w:rsidRPr="00B76A73">
        <w:t xml:space="preserve"> at </w:t>
      </w:r>
      <w:r w:rsidRPr="00B76A73">
        <w:t>$</w:t>
      </w:r>
      <w:r w:rsidR="00100023" w:rsidRPr="00B76A73">
        <w:t>79</w:t>
      </w:r>
      <w:r w:rsidR="00A43008" w:rsidRPr="00B76A73">
        <w:t>.</w:t>
      </w:r>
      <w:r w:rsidR="00100023" w:rsidRPr="00B76A73">
        <w:t>91</w:t>
      </w:r>
      <w:r w:rsidRPr="00B76A73">
        <w:t xml:space="preserve"> </w:t>
      </w:r>
      <w:r w:rsidR="00F03302" w:rsidRPr="00B76A73">
        <w:t>per barrel</w:t>
      </w:r>
      <w:r w:rsidR="00B6639B" w:rsidRPr="00B76A73">
        <w:t xml:space="preserve">, </w:t>
      </w:r>
      <w:r w:rsidR="00100023" w:rsidRPr="00B76A73">
        <w:t>25.8</w:t>
      </w:r>
      <w:r w:rsidR="00B6639B" w:rsidRPr="00B76A73">
        <w:t xml:space="preserve">% </w:t>
      </w:r>
      <w:r w:rsidR="00100023" w:rsidRPr="00B76A73">
        <w:t>lower</w:t>
      </w:r>
      <w:r w:rsidR="00B6639B" w:rsidRPr="00B76A73">
        <w:t xml:space="preserve"> than one quarter earlier</w:t>
      </w:r>
      <w:r w:rsidR="002E3E26" w:rsidRPr="00B76A73">
        <w:t xml:space="preserve">.  </w:t>
      </w:r>
    </w:p>
    <w:p w14:paraId="51050840" w14:textId="56F1261E" w:rsidR="00F03302" w:rsidRPr="00B76A73" w:rsidRDefault="006D3964" w:rsidP="00166C08">
      <w:pPr>
        <w:jc w:val="center"/>
      </w:pPr>
      <w:r w:rsidRPr="00B76A73">
        <w:rPr>
          <w:noProof/>
        </w:rPr>
        <w:drawing>
          <wp:inline distT="0" distB="0" distL="0" distR="0" wp14:anchorId="14CA7706" wp14:editId="47D1CEA3">
            <wp:extent cx="3609340" cy="26035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03500"/>
                    </a:xfrm>
                    <a:prstGeom prst="rect">
                      <a:avLst/>
                    </a:prstGeom>
                    <a:noFill/>
                  </pic:spPr>
                </pic:pic>
              </a:graphicData>
            </a:graphic>
          </wp:inline>
        </w:drawing>
      </w:r>
    </w:p>
    <w:p w14:paraId="149D5F41" w14:textId="77777777" w:rsidR="00005111" w:rsidRPr="00B76A73" w:rsidRDefault="00005111" w:rsidP="001475FF">
      <w:pPr>
        <w:pStyle w:val="Heading1"/>
      </w:pPr>
      <w:r w:rsidRPr="00B76A73">
        <w:t>Housing</w:t>
      </w:r>
    </w:p>
    <w:p w14:paraId="7135DBE1" w14:textId="49204BD9" w:rsidR="00A96A6A" w:rsidRPr="00B76A73" w:rsidRDefault="00E82192">
      <w:r w:rsidRPr="00B76A73">
        <w:t xml:space="preserve">The real estate market, which has in recent years been characterized by powerful demand and </w:t>
      </w:r>
      <w:r w:rsidR="00DA7AE9" w:rsidRPr="00B76A73">
        <w:t>meager</w:t>
      </w:r>
      <w:r w:rsidRPr="00B76A73">
        <w:t xml:space="preserve"> supply, continued to adjust to a high interest rate environment. While prices continue to advance, their climb has slowed as rising mortgage rates reduce affordability. Notably, inventories remain low as high mortgage rates limit the pool not only of potential buyers, but of potential sellers as well—for many, selling now would mean trading a low rate for a much </w:t>
      </w:r>
      <w:r w:rsidRPr="00B76A73">
        <w:lastRenderedPageBreak/>
        <w:t>higher one</w:t>
      </w:r>
      <w:r w:rsidR="00BC2F02" w:rsidRPr="00B76A73">
        <w:t xml:space="preserve">. </w:t>
      </w:r>
      <w:r w:rsidR="003F007D" w:rsidRPr="00B76A73">
        <w:t>New</w:t>
      </w:r>
      <w:r w:rsidR="00B0395F" w:rsidRPr="00B76A73">
        <w:t xml:space="preserve"> home starts</w:t>
      </w:r>
      <w:r w:rsidR="00C828B0" w:rsidRPr="00B76A73">
        <w:rPr>
          <w:rStyle w:val="FootnoteReference"/>
        </w:rPr>
        <w:footnoteReference w:id="30"/>
      </w:r>
      <w:r w:rsidR="00B0395F" w:rsidRPr="00B76A73">
        <w:t xml:space="preserve"> </w:t>
      </w:r>
      <w:r w:rsidR="00BC2F02" w:rsidRPr="00B76A73">
        <w:t>fell</w:t>
      </w:r>
      <w:r w:rsidR="00F13C1C" w:rsidRPr="00B76A73">
        <w:t xml:space="preserve"> to</w:t>
      </w:r>
      <w:r w:rsidR="00BC04D5" w:rsidRPr="00B76A73">
        <w:t xml:space="preserve"> 1.</w:t>
      </w:r>
      <w:r w:rsidR="0083191F" w:rsidRPr="00B76A73">
        <w:t>44</w:t>
      </w:r>
      <w:r w:rsidR="003F007D" w:rsidRPr="00B76A73">
        <w:t xml:space="preserve"> </w:t>
      </w:r>
      <w:r w:rsidR="00B0395F" w:rsidRPr="00B76A73">
        <w:t>million</w:t>
      </w:r>
      <w:r w:rsidR="00675122" w:rsidRPr="00B76A73">
        <w:t xml:space="preserve"> in </w:t>
      </w:r>
      <w:r w:rsidR="0083191F" w:rsidRPr="00B76A73">
        <w:t>September</w:t>
      </w:r>
      <w:r w:rsidR="00CC1275" w:rsidRPr="00B76A73">
        <w:t xml:space="preserve">; </w:t>
      </w:r>
      <w:r w:rsidR="008B088E" w:rsidRPr="00B76A73">
        <w:t xml:space="preserve">starts for </w:t>
      </w:r>
      <w:r w:rsidR="00CC1275" w:rsidRPr="00B76A73">
        <w:t>single-family home</w:t>
      </w:r>
      <w:r w:rsidR="008B088E" w:rsidRPr="00B76A73">
        <w:t>s and</w:t>
      </w:r>
      <w:r w:rsidR="00CC1275" w:rsidRPr="00B76A73">
        <w:t xml:space="preserve"> </w:t>
      </w:r>
      <w:r w:rsidR="008B088E" w:rsidRPr="00B76A73">
        <w:t xml:space="preserve">multifamily buildings with 5 or more units </w:t>
      </w:r>
      <w:r w:rsidR="00CC1275" w:rsidRPr="00B76A73">
        <w:t>were down over the quarter, while starts rose for</w:t>
      </w:r>
      <w:r w:rsidR="008B088E" w:rsidRPr="00B76A73">
        <w:t xml:space="preserve"> smaller multi-unit buildings</w:t>
      </w:r>
      <w:r w:rsidR="00341282" w:rsidRPr="00B76A73">
        <w:t xml:space="preserve">. </w:t>
      </w:r>
      <w:r w:rsidR="00894434" w:rsidRPr="00B76A73">
        <w:t xml:space="preserve">Total new home starts were </w:t>
      </w:r>
      <w:r w:rsidR="00BC2F02" w:rsidRPr="00B76A73">
        <w:t>down</w:t>
      </w:r>
      <w:r w:rsidR="00894434" w:rsidRPr="00B76A73">
        <w:t xml:space="preserve"> </w:t>
      </w:r>
      <w:r w:rsidR="008D3255" w:rsidRPr="00B76A73">
        <w:t>8</w:t>
      </w:r>
      <w:r w:rsidR="008B088E" w:rsidRPr="00B76A73">
        <w:t>.6</w:t>
      </w:r>
      <w:r w:rsidR="00894434" w:rsidRPr="00B76A73">
        <w:t xml:space="preserve">% for the quarter and </w:t>
      </w:r>
      <w:r w:rsidR="008B088E" w:rsidRPr="00B76A73">
        <w:t>7.7</w:t>
      </w:r>
      <w:r w:rsidR="005D3FB8" w:rsidRPr="00B76A73">
        <w:t xml:space="preserve">% </w:t>
      </w:r>
      <w:r w:rsidR="00894434" w:rsidRPr="00B76A73">
        <w:t>for the</w:t>
      </w:r>
      <w:r w:rsidR="005D3FB8" w:rsidRPr="00B76A73">
        <w:t xml:space="preserve"> year</w:t>
      </w:r>
      <w:r w:rsidR="00894434" w:rsidRPr="00B76A73">
        <w:t xml:space="preserve">, </w:t>
      </w:r>
      <w:r w:rsidR="00835D9E" w:rsidRPr="00B76A73">
        <w:t xml:space="preserve">but still </w:t>
      </w:r>
      <w:r w:rsidR="00894434" w:rsidRPr="00B76A73">
        <w:t>end</w:t>
      </w:r>
      <w:r w:rsidR="00835D9E" w:rsidRPr="00B76A73">
        <w:t>ed</w:t>
      </w:r>
      <w:r w:rsidR="00894434" w:rsidRPr="00B76A73">
        <w:t xml:space="preserve"> the </w:t>
      </w:r>
      <w:r w:rsidR="008B088E" w:rsidRPr="00B76A73">
        <w:t>3</w:t>
      </w:r>
      <w:r w:rsidR="008B088E" w:rsidRPr="00B76A73">
        <w:rPr>
          <w:vertAlign w:val="superscript"/>
        </w:rPr>
        <w:t>rd</w:t>
      </w:r>
      <w:r w:rsidR="008B088E" w:rsidRPr="00B76A73">
        <w:t xml:space="preserve"> </w:t>
      </w:r>
      <w:r w:rsidR="00894434" w:rsidRPr="00B76A73">
        <w:t xml:space="preserve">quarter at a level </w:t>
      </w:r>
      <w:r w:rsidR="005D3FB8" w:rsidRPr="00B76A73">
        <w:t>above their 30-year average of 1.3</w:t>
      </w:r>
      <w:r w:rsidR="008B088E" w:rsidRPr="00B76A73">
        <w:t>4</w:t>
      </w:r>
      <w:r w:rsidR="005D3FB8" w:rsidRPr="00B76A73">
        <w:t xml:space="preserve"> million.</w:t>
      </w:r>
    </w:p>
    <w:p w14:paraId="149D5F44" w14:textId="7044DB5D" w:rsidR="00B5315D" w:rsidRPr="00B76A73" w:rsidRDefault="006D3964" w:rsidP="001B4B76">
      <w:pPr>
        <w:jc w:val="center"/>
      </w:pPr>
      <w:r w:rsidRPr="00B76A73">
        <w:rPr>
          <w:noProof/>
        </w:rPr>
        <w:drawing>
          <wp:inline distT="0" distB="0" distL="0" distR="0" wp14:anchorId="38A93485" wp14:editId="05D5A5C3">
            <wp:extent cx="3816350" cy="26035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49D5F46" w14:textId="37F4E0A8" w:rsidR="00A96795" w:rsidRPr="00B76A73" w:rsidRDefault="00A223EC" w:rsidP="000A1224">
      <w:r w:rsidRPr="00B76A73">
        <w:t xml:space="preserve">The cost </w:t>
      </w:r>
      <w:r w:rsidR="00BC00A7" w:rsidRPr="00B76A73">
        <w:t xml:space="preserve">of financing </w:t>
      </w:r>
      <w:r w:rsidRPr="00B76A73">
        <w:t xml:space="preserve">for </w:t>
      </w:r>
      <w:r w:rsidR="001B4B76" w:rsidRPr="00B76A73">
        <w:t xml:space="preserve">would-be homebuyers </w:t>
      </w:r>
      <w:r w:rsidR="00CC1275" w:rsidRPr="00B76A73">
        <w:t xml:space="preserve">continued to climb during the </w:t>
      </w:r>
      <w:r w:rsidR="009550AF" w:rsidRPr="00B76A73">
        <w:t>3</w:t>
      </w:r>
      <w:r w:rsidR="009550AF" w:rsidRPr="00B76A73">
        <w:rPr>
          <w:vertAlign w:val="superscript"/>
        </w:rPr>
        <w:t>rd</w:t>
      </w:r>
      <w:r w:rsidR="009550AF" w:rsidRPr="00B76A73">
        <w:t xml:space="preserve"> </w:t>
      </w:r>
      <w:r w:rsidR="00CC1275" w:rsidRPr="00B76A73">
        <w:t>quarter</w:t>
      </w:r>
      <w:r w:rsidR="00B403A1" w:rsidRPr="00B76A73">
        <w:t xml:space="preserve">, with </w:t>
      </w:r>
      <w:r w:rsidR="001B4B76" w:rsidRPr="00B76A73">
        <w:t>the 30-year fixed-rate mortgage</w:t>
      </w:r>
      <w:r w:rsidR="00250313" w:rsidRPr="00B76A73">
        <w:rPr>
          <w:rStyle w:val="FootnoteReference"/>
        </w:rPr>
        <w:footnoteReference w:id="31"/>
      </w:r>
      <w:r w:rsidR="0081792D" w:rsidRPr="00B76A73">
        <w:t xml:space="preserve"> </w:t>
      </w:r>
      <w:r w:rsidR="00B403A1" w:rsidRPr="00B76A73">
        <w:t>ending the quarter at</w:t>
      </w:r>
      <w:r w:rsidR="0055033B" w:rsidRPr="00B76A73">
        <w:t xml:space="preserve"> </w:t>
      </w:r>
      <w:r w:rsidR="009550AF" w:rsidRPr="00B76A73">
        <w:t>6</w:t>
      </w:r>
      <w:r w:rsidR="00234C71" w:rsidRPr="00B76A73">
        <w:t>.</w:t>
      </w:r>
      <w:r w:rsidR="00FB2D2D" w:rsidRPr="00B76A73">
        <w:t>7</w:t>
      </w:r>
      <w:r w:rsidR="00234C71" w:rsidRPr="00B76A73">
        <w:t>0</w:t>
      </w:r>
      <w:r w:rsidR="0055033B" w:rsidRPr="00B76A73">
        <w:t>%</w:t>
      </w:r>
      <w:r w:rsidR="00234C71" w:rsidRPr="00B76A73">
        <w:t xml:space="preserve">, the highest rate since </w:t>
      </w:r>
      <w:r w:rsidR="009550AF" w:rsidRPr="00B76A73">
        <w:t>mid</w:t>
      </w:r>
      <w:r w:rsidR="00234C71" w:rsidRPr="00B76A73">
        <w:t xml:space="preserve"> 200</w:t>
      </w:r>
      <w:r w:rsidR="009550AF" w:rsidRPr="00B76A73">
        <w:t>7</w:t>
      </w:r>
      <w:r w:rsidR="00234C71" w:rsidRPr="00B76A73">
        <w:t xml:space="preserve">, </w:t>
      </w:r>
      <w:r w:rsidR="009550AF" w:rsidRPr="00B76A73">
        <w:t>just before the U.S. entered</w:t>
      </w:r>
      <w:r w:rsidR="00234C71" w:rsidRPr="00B76A73">
        <w:t xml:space="preserve"> the Great Recession</w:t>
      </w:r>
      <w:r w:rsidR="001B4B76" w:rsidRPr="00B76A73">
        <w:t>.</w:t>
      </w:r>
      <w:r w:rsidR="00A730DC" w:rsidRPr="00B76A73">
        <w:t xml:space="preserve"> </w:t>
      </w:r>
    </w:p>
    <w:p w14:paraId="0D0A69F6" w14:textId="7AD6C730" w:rsidR="00A96A6A" w:rsidRPr="00B76A73" w:rsidRDefault="006D3964" w:rsidP="00453708">
      <w:pPr>
        <w:jc w:val="center"/>
      </w:pPr>
      <w:r w:rsidRPr="00B76A73">
        <w:rPr>
          <w:noProof/>
        </w:rPr>
        <w:drawing>
          <wp:inline distT="0" distB="0" distL="0" distR="0" wp14:anchorId="346FB0E9" wp14:editId="0B814F95">
            <wp:extent cx="3816350" cy="26035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D2DE37C" w14:textId="15F7C6BC" w:rsidR="00A96A6A" w:rsidRPr="00B76A73" w:rsidRDefault="00B767AE" w:rsidP="00773B5B">
      <w:r w:rsidRPr="00B76A73">
        <w:lastRenderedPageBreak/>
        <w:t>The S&amp;</w:t>
      </w:r>
      <w:r w:rsidR="00BD1AF4" w:rsidRPr="00B76A73">
        <w:t>P Case-Shiller Home Price Index (20-city)</w:t>
      </w:r>
      <w:r w:rsidR="00B2585A" w:rsidRPr="00B76A73">
        <w:rPr>
          <w:rStyle w:val="FootnoteReference"/>
        </w:rPr>
        <w:footnoteReference w:id="32"/>
      </w:r>
      <w:r w:rsidR="00BD1AF4" w:rsidRPr="00B76A73">
        <w:t xml:space="preserve"> </w:t>
      </w:r>
      <w:r w:rsidR="009550AF" w:rsidRPr="00B76A73">
        <w:t>rose 13.</w:t>
      </w:r>
      <w:r w:rsidR="0010377C">
        <w:t>2</w:t>
      </w:r>
      <w:r w:rsidR="009550AF" w:rsidRPr="00B76A73">
        <w:t>% year-over-year in August 2022, decelerating for the fourth straight month. All 20 cities continued to report price increases, led by Miami, Tampa, and Charlotte</w:t>
      </w:r>
      <w:r w:rsidR="00B432FD" w:rsidRPr="00B76A73">
        <w:t>.</w:t>
      </w:r>
      <w:r w:rsidR="006A656A" w:rsidRPr="00B76A73">
        <w:t xml:space="preserve"> </w:t>
      </w:r>
    </w:p>
    <w:p w14:paraId="149D5F4C" w14:textId="4DAB74E9" w:rsidR="0064538F" w:rsidRPr="00B76A73" w:rsidRDefault="006D3964" w:rsidP="002775DB">
      <w:pPr>
        <w:jc w:val="center"/>
      </w:pPr>
      <w:r w:rsidRPr="00B76A73">
        <w:rPr>
          <w:noProof/>
        </w:rPr>
        <w:drawing>
          <wp:inline distT="0" distB="0" distL="0" distR="0" wp14:anchorId="3A035A6F" wp14:editId="7060D3D5">
            <wp:extent cx="3499485" cy="2603500"/>
            <wp:effectExtent l="0" t="0" r="571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4D" w14:textId="52E84594" w:rsidR="00005111" w:rsidRPr="00B76A73" w:rsidRDefault="0079609A" w:rsidP="001475FF">
      <w:pPr>
        <w:pStyle w:val="Heading1"/>
      </w:pPr>
      <w:r w:rsidRPr="00B76A73">
        <w:t>Consumer Spending</w:t>
      </w:r>
    </w:p>
    <w:p w14:paraId="149D5F51" w14:textId="0C835CA2" w:rsidR="0079609A" w:rsidRPr="00B76A73" w:rsidRDefault="0079609A" w:rsidP="00A04AD3">
      <w:r w:rsidRPr="00B76A73">
        <w:t>Personal Consumption Expenditures (PCE)</w:t>
      </w:r>
      <w:r w:rsidR="00421F60" w:rsidRPr="00B76A73">
        <w:rPr>
          <w:rStyle w:val="FootnoteReference"/>
        </w:rPr>
        <w:footnoteReference w:id="33"/>
      </w:r>
      <w:r w:rsidRPr="00B76A73">
        <w:t xml:space="preserve"> </w:t>
      </w:r>
      <w:r w:rsidR="00282C6E" w:rsidRPr="00B76A73">
        <w:t xml:space="preserve">rose </w:t>
      </w:r>
      <w:r w:rsidR="00234C71" w:rsidRPr="00B76A73">
        <w:t>1</w:t>
      </w:r>
      <w:r w:rsidR="00D67161" w:rsidRPr="00B76A73">
        <w:t>.</w:t>
      </w:r>
      <w:r w:rsidR="001642E0" w:rsidRPr="00B76A73">
        <w:t>0</w:t>
      </w:r>
      <w:r w:rsidR="00282C6E" w:rsidRPr="00B76A73">
        <w:t xml:space="preserve">% in the </w:t>
      </w:r>
      <w:r w:rsidR="001642E0" w:rsidRPr="00B76A73">
        <w:t>3</w:t>
      </w:r>
      <w:r w:rsidR="001642E0" w:rsidRPr="00B76A73">
        <w:rPr>
          <w:vertAlign w:val="superscript"/>
        </w:rPr>
        <w:t>rd</w:t>
      </w:r>
      <w:r w:rsidR="001642E0" w:rsidRPr="00B76A73">
        <w:t xml:space="preserve"> </w:t>
      </w:r>
      <w:r w:rsidR="00282C6E" w:rsidRPr="00B76A73">
        <w:t>quarter to</w:t>
      </w:r>
      <w:r w:rsidR="00381A81" w:rsidRPr="00B76A73">
        <w:t xml:space="preserve"> </w:t>
      </w:r>
      <w:r w:rsidR="00AA74C1" w:rsidRPr="00B76A73">
        <w:t>$1</w:t>
      </w:r>
      <w:r w:rsidR="00234C71" w:rsidRPr="00B76A73">
        <w:t>7.</w:t>
      </w:r>
      <w:r w:rsidR="001642E0" w:rsidRPr="00B76A73">
        <w:t>6</w:t>
      </w:r>
      <w:r w:rsidR="00AA74C1" w:rsidRPr="00B76A73">
        <w:t xml:space="preserve"> trillion</w:t>
      </w:r>
      <w:r w:rsidR="00E37950" w:rsidRPr="00B76A73">
        <w:t xml:space="preserve">. PCE </w:t>
      </w:r>
      <w:r w:rsidR="006A656A" w:rsidRPr="00B76A73">
        <w:t xml:space="preserve">were up </w:t>
      </w:r>
      <w:r w:rsidR="0010377C">
        <w:t>9.4</w:t>
      </w:r>
      <w:r w:rsidR="0081792D" w:rsidRPr="00B76A73">
        <w:t xml:space="preserve">% </w:t>
      </w:r>
      <w:r w:rsidR="00282C6E" w:rsidRPr="00B76A73">
        <w:t xml:space="preserve">since the </w:t>
      </w:r>
      <w:r w:rsidR="001642E0" w:rsidRPr="00B76A73">
        <w:t>3</w:t>
      </w:r>
      <w:r w:rsidR="001642E0" w:rsidRPr="00B76A73">
        <w:rPr>
          <w:vertAlign w:val="superscript"/>
        </w:rPr>
        <w:t>rd</w:t>
      </w:r>
      <w:r w:rsidR="001642E0" w:rsidRPr="00B76A73">
        <w:t xml:space="preserve"> </w:t>
      </w:r>
      <w:r w:rsidR="006A656A" w:rsidRPr="00B76A73">
        <w:t>quarter</w:t>
      </w:r>
      <w:r w:rsidR="0081792D" w:rsidRPr="00B76A73">
        <w:t xml:space="preserve"> </w:t>
      </w:r>
      <w:r w:rsidR="00AA74C1" w:rsidRPr="00B76A73">
        <w:t>last yea</w:t>
      </w:r>
      <w:r w:rsidR="0081792D" w:rsidRPr="00B76A73">
        <w:t>r</w:t>
      </w:r>
      <w:r w:rsidR="002A0B80" w:rsidRPr="00B76A73">
        <w:t>.</w:t>
      </w:r>
      <w:r w:rsidR="00F04BC9" w:rsidRPr="00B76A73">
        <w:t xml:space="preserve"> </w:t>
      </w:r>
      <w:r w:rsidR="00E52311" w:rsidRPr="00B76A73">
        <w:t>Notable s</w:t>
      </w:r>
      <w:r w:rsidR="00282C6E" w:rsidRPr="00B76A73">
        <w:t xml:space="preserve">pending </w:t>
      </w:r>
      <w:r w:rsidR="00E52311" w:rsidRPr="00B76A73">
        <w:t xml:space="preserve">increases included </w:t>
      </w:r>
      <w:r w:rsidR="008C10DA" w:rsidRPr="00B76A73">
        <w:t>housing,</w:t>
      </w:r>
      <w:r w:rsidR="00E52311" w:rsidRPr="00B76A73">
        <w:t xml:space="preserve"> international travel</w:t>
      </w:r>
      <w:r w:rsidR="008C10DA" w:rsidRPr="00B76A73">
        <w:t>, air transportation, prescription drugs, and new vehicles</w:t>
      </w:r>
      <w:r w:rsidR="00282C6E" w:rsidRPr="00B76A73">
        <w:t>.</w:t>
      </w:r>
    </w:p>
    <w:p w14:paraId="419D69CE" w14:textId="2693D8DB" w:rsidR="00A96A6A" w:rsidRPr="00B76A73" w:rsidRDefault="006D3964" w:rsidP="00CF06AE">
      <w:pPr>
        <w:jc w:val="center"/>
      </w:pPr>
      <w:r w:rsidRPr="00B76A73">
        <w:rPr>
          <w:noProof/>
        </w:rPr>
        <w:drawing>
          <wp:inline distT="0" distB="0" distL="0" distR="0" wp14:anchorId="0614DA1C" wp14:editId="5C9DA370">
            <wp:extent cx="3499485" cy="2603500"/>
            <wp:effectExtent l="0" t="0" r="571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53" w14:textId="0CEF4AAE" w:rsidR="0079609A" w:rsidRPr="00B76A73" w:rsidRDefault="00D148FE" w:rsidP="00F92FD1">
      <w:r w:rsidRPr="00B76A73">
        <w:lastRenderedPageBreak/>
        <w:t xml:space="preserve">Auto manufacturers </w:t>
      </w:r>
      <w:r w:rsidR="00695980" w:rsidRPr="00B76A73">
        <w:t xml:space="preserve">reported </w:t>
      </w:r>
      <w:r w:rsidR="00210DB1" w:rsidRPr="00B76A73">
        <w:t>1</w:t>
      </w:r>
      <w:r w:rsidR="00F56A37" w:rsidRPr="00B76A73">
        <w:t>3</w:t>
      </w:r>
      <w:r w:rsidR="00976B7D" w:rsidRPr="00B76A73">
        <w:t>.</w:t>
      </w:r>
      <w:r w:rsidR="008C2435" w:rsidRPr="00B76A73">
        <w:t>6</w:t>
      </w:r>
      <w:r w:rsidR="00210DB1" w:rsidRPr="00B76A73">
        <w:t xml:space="preserve"> </w:t>
      </w:r>
      <w:r w:rsidR="0079609A" w:rsidRPr="00B76A73">
        <w:t>million autos and light trucks sold</w:t>
      </w:r>
      <w:r w:rsidR="00933E80" w:rsidRPr="00B76A73">
        <w:rPr>
          <w:rStyle w:val="FootnoteReference"/>
        </w:rPr>
        <w:footnoteReference w:id="34"/>
      </w:r>
      <w:r w:rsidR="0079609A" w:rsidRPr="00B76A73">
        <w:t xml:space="preserve"> in </w:t>
      </w:r>
      <w:r w:rsidR="008C2435" w:rsidRPr="00B76A73">
        <w:t>September</w:t>
      </w:r>
      <w:r w:rsidR="00F56A37" w:rsidRPr="00B76A73">
        <w:t xml:space="preserve"> 2022</w:t>
      </w:r>
      <w:r w:rsidR="008B3E4E" w:rsidRPr="00B76A73">
        <w:t>,</w:t>
      </w:r>
      <w:r w:rsidR="005B40E5" w:rsidRPr="00B76A73">
        <w:t xml:space="preserve"> </w:t>
      </w:r>
      <w:r w:rsidR="008C2435" w:rsidRPr="00B76A73">
        <w:t>up 4.1</w:t>
      </w:r>
      <w:r w:rsidR="006A656A" w:rsidRPr="00B76A73">
        <w:t xml:space="preserve">% from </w:t>
      </w:r>
      <w:r w:rsidR="008C2435" w:rsidRPr="00B76A73">
        <w:t>June</w:t>
      </w:r>
      <w:r w:rsidR="00140B44" w:rsidRPr="00B76A73">
        <w:t xml:space="preserve">. </w:t>
      </w:r>
      <w:r w:rsidR="00B0457A" w:rsidRPr="00B76A73">
        <w:t>N</w:t>
      </w:r>
      <w:r w:rsidR="00D822BB" w:rsidRPr="00B76A73">
        <w:t>ew vehicle prices</w:t>
      </w:r>
      <w:r w:rsidR="00D822BB" w:rsidRPr="00B76A73">
        <w:rPr>
          <w:rStyle w:val="FootnoteReference"/>
        </w:rPr>
        <w:footnoteReference w:id="35"/>
      </w:r>
      <w:r w:rsidR="00D822BB" w:rsidRPr="00B76A73">
        <w:t xml:space="preserve"> </w:t>
      </w:r>
      <w:r w:rsidR="00B0457A" w:rsidRPr="00B76A73">
        <w:t>built on their</w:t>
      </w:r>
      <w:r w:rsidR="00D822BB" w:rsidRPr="00B76A73">
        <w:t xml:space="preserve"> </w:t>
      </w:r>
      <w:r w:rsidR="00CF63FE" w:rsidRPr="00B76A73">
        <w:t>record</w:t>
      </w:r>
      <w:r w:rsidR="00D822BB" w:rsidRPr="00B76A73">
        <w:t xml:space="preserve"> high </w:t>
      </w:r>
      <w:r w:rsidR="00CF63FE" w:rsidRPr="00B76A73">
        <w:t xml:space="preserve">by a further </w:t>
      </w:r>
      <w:r w:rsidR="008C2435" w:rsidRPr="00B76A73">
        <w:t>1.6</w:t>
      </w:r>
      <w:r w:rsidR="00CF63FE" w:rsidRPr="00B76A73">
        <w:t xml:space="preserve">% during the </w:t>
      </w:r>
      <w:r w:rsidR="008C2435" w:rsidRPr="00B76A73">
        <w:t>3</w:t>
      </w:r>
      <w:r w:rsidR="008C2435" w:rsidRPr="00B76A73">
        <w:rPr>
          <w:vertAlign w:val="superscript"/>
        </w:rPr>
        <w:t>rd</w:t>
      </w:r>
      <w:r w:rsidR="008C2435" w:rsidRPr="00B76A73">
        <w:t xml:space="preserve"> </w:t>
      </w:r>
      <w:r w:rsidR="00CF63FE" w:rsidRPr="00B76A73">
        <w:t>quarter</w:t>
      </w:r>
      <w:r w:rsidR="002530D7" w:rsidRPr="00B76A73">
        <w:t xml:space="preserve">. </w:t>
      </w:r>
      <w:r w:rsidR="000D503C" w:rsidRPr="00B76A73">
        <w:t>U</w:t>
      </w:r>
      <w:r w:rsidR="002530D7" w:rsidRPr="00B76A73">
        <w:t>sed car</w:t>
      </w:r>
      <w:r w:rsidR="00340262" w:rsidRPr="00B76A73">
        <w:t xml:space="preserve"> prices</w:t>
      </w:r>
      <w:r w:rsidR="002530D7" w:rsidRPr="00B76A73">
        <w:rPr>
          <w:rStyle w:val="FootnoteReference"/>
        </w:rPr>
        <w:footnoteReference w:id="36"/>
      </w:r>
      <w:r w:rsidR="008C2435" w:rsidRPr="00B76A73">
        <w:t xml:space="preserve"> fell 1.6</w:t>
      </w:r>
      <w:r w:rsidR="00CF63FE" w:rsidRPr="00B76A73">
        <w:t xml:space="preserve">% </w:t>
      </w:r>
      <w:r w:rsidR="00B0457A" w:rsidRPr="00B76A73">
        <w:t>for the quarter</w:t>
      </w:r>
      <w:r w:rsidR="008C2435" w:rsidRPr="00B76A73">
        <w:t xml:space="preserve"> </w:t>
      </w:r>
      <w:r w:rsidR="002F6613" w:rsidRPr="00B76A73">
        <w:t>ye</w:t>
      </w:r>
      <w:r w:rsidR="008C2435" w:rsidRPr="00B76A73">
        <w:t xml:space="preserve">t </w:t>
      </w:r>
      <w:r w:rsidR="002F6613" w:rsidRPr="00B76A73">
        <w:t>were</w:t>
      </w:r>
      <w:r w:rsidR="008C2435" w:rsidRPr="00B76A73">
        <w:t xml:space="preserve"> just 2.6% below January’s all-time high</w:t>
      </w:r>
      <w:r w:rsidR="002530D7" w:rsidRPr="00B76A73">
        <w:t xml:space="preserve">. </w:t>
      </w:r>
    </w:p>
    <w:p w14:paraId="571A905C" w14:textId="16C4CCDF" w:rsidR="002E3647" w:rsidRPr="00B76A73" w:rsidRDefault="006D3964" w:rsidP="003A679B">
      <w:pPr>
        <w:jc w:val="center"/>
      </w:pPr>
      <w:r w:rsidRPr="00B76A73">
        <w:rPr>
          <w:noProof/>
        </w:rPr>
        <w:drawing>
          <wp:inline distT="0" distB="0" distL="0" distR="0" wp14:anchorId="1998216A" wp14:editId="6B938E3E">
            <wp:extent cx="4090670" cy="2603500"/>
            <wp:effectExtent l="0" t="0" r="508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2603500"/>
                    </a:xfrm>
                    <a:prstGeom prst="rect">
                      <a:avLst/>
                    </a:prstGeom>
                    <a:noFill/>
                  </pic:spPr>
                </pic:pic>
              </a:graphicData>
            </a:graphic>
          </wp:inline>
        </w:drawing>
      </w:r>
    </w:p>
    <w:p w14:paraId="59B475FF" w14:textId="2BA71758" w:rsidR="002E3647" w:rsidRPr="00B76A73" w:rsidRDefault="008A581A" w:rsidP="00354195">
      <w:r w:rsidRPr="00B76A73">
        <w:t xml:space="preserve">The </w:t>
      </w:r>
      <w:r w:rsidR="00661AA7" w:rsidRPr="00B76A73">
        <w:t xml:space="preserve">University of Michigan’s </w:t>
      </w:r>
      <w:r w:rsidRPr="00B76A73">
        <w:t>c</w:t>
      </w:r>
      <w:r w:rsidR="008C5503" w:rsidRPr="00B76A73">
        <w:t>onsumer sentiment</w:t>
      </w:r>
      <w:r w:rsidR="00661AA7" w:rsidRPr="00B76A73">
        <w:t xml:space="preserve"> index</w:t>
      </w:r>
      <w:r w:rsidR="00291FFB" w:rsidRPr="00B76A73">
        <w:rPr>
          <w:rStyle w:val="FootnoteReference"/>
        </w:rPr>
        <w:footnoteReference w:id="37"/>
      </w:r>
      <w:r w:rsidR="008C5503" w:rsidRPr="00B76A73">
        <w:t xml:space="preserve"> </w:t>
      </w:r>
      <w:r w:rsidR="00DA7AE9" w:rsidRPr="00B76A73">
        <w:t>rose</w:t>
      </w:r>
      <w:r w:rsidR="002F6613" w:rsidRPr="00B76A73">
        <w:t xml:space="preserve"> from </w:t>
      </w:r>
      <w:r w:rsidR="00DA7AE9" w:rsidRPr="00B76A73">
        <w:t>its</w:t>
      </w:r>
      <w:r w:rsidR="002F6613" w:rsidRPr="00B76A73">
        <w:t xml:space="preserve"> all-time low of 50.0</w:t>
      </w:r>
      <w:r w:rsidR="00DA7AE9" w:rsidRPr="00B76A73">
        <w:t xml:space="preserve"> in June 2022</w:t>
      </w:r>
      <w:r w:rsidR="002F6613" w:rsidRPr="00B76A73">
        <w:t xml:space="preserve"> to end the 3</w:t>
      </w:r>
      <w:r w:rsidR="002F6613" w:rsidRPr="00B76A73">
        <w:rPr>
          <w:vertAlign w:val="superscript"/>
        </w:rPr>
        <w:t>rd</w:t>
      </w:r>
      <w:r w:rsidR="002F6613" w:rsidRPr="00B76A73">
        <w:t xml:space="preserve"> quarter at 58.6.</w:t>
      </w:r>
      <w:r w:rsidR="00B1397B" w:rsidRPr="00B76A73">
        <w:t xml:space="preserve"> </w:t>
      </w:r>
      <w:r w:rsidR="002F6613" w:rsidRPr="00B76A73">
        <w:t xml:space="preserve">September’s reading fell short of expectations </w:t>
      </w:r>
      <w:r w:rsidR="00602441" w:rsidRPr="00B76A73">
        <w:t>as tentative improvement in inflation expectations failed to improve attitudes toward living standards</w:t>
      </w:r>
      <w:r w:rsidR="00D029B3" w:rsidRPr="00B76A73">
        <w:t>.</w:t>
      </w:r>
      <w:r w:rsidR="00602441" w:rsidRPr="00B76A73">
        <w:t xml:space="preserve"> Recession concerns and global geopolitical risks also hemmed in consumer sentiment.</w:t>
      </w:r>
      <w:r w:rsidR="00FD1259" w:rsidRPr="00B76A73">
        <w:t xml:space="preserve"> </w:t>
      </w:r>
      <w:r w:rsidR="00C27E68" w:rsidRPr="00B76A73">
        <w:t>September’s</w:t>
      </w:r>
      <w:r w:rsidR="006970E9" w:rsidRPr="00B76A73">
        <w:t xml:space="preserve"> </w:t>
      </w:r>
      <w:r w:rsidR="00D029B3" w:rsidRPr="00B76A73">
        <w:t xml:space="preserve">consumer sentiment </w:t>
      </w:r>
      <w:r w:rsidR="00BF72BA" w:rsidRPr="00B76A73">
        <w:t xml:space="preserve">index </w:t>
      </w:r>
      <w:r w:rsidR="00C27E68" w:rsidRPr="00B76A73">
        <w:t>was well below</w:t>
      </w:r>
      <w:r w:rsidR="00B973A1" w:rsidRPr="00B76A73">
        <w:t xml:space="preserve"> its </w:t>
      </w:r>
      <w:r w:rsidR="006970E9" w:rsidRPr="00B76A73">
        <w:t xml:space="preserve">30-year average of </w:t>
      </w:r>
      <w:r w:rsidRPr="00B76A73">
        <w:t>87.</w:t>
      </w:r>
      <w:r w:rsidR="002F6613" w:rsidRPr="00B76A73">
        <w:t>1</w:t>
      </w:r>
      <w:r w:rsidR="00291FFB" w:rsidRPr="00B76A73">
        <w:t>.</w:t>
      </w:r>
      <w:r w:rsidR="00B973A1" w:rsidRPr="00B76A73">
        <w:t xml:space="preserve"> </w:t>
      </w:r>
    </w:p>
    <w:p w14:paraId="182CF22B" w14:textId="3CC3BA09" w:rsidR="000D5719" w:rsidRPr="00B76A73" w:rsidRDefault="006D3964" w:rsidP="002E3647">
      <w:pPr>
        <w:jc w:val="center"/>
      </w:pPr>
      <w:r w:rsidRPr="00B76A73">
        <w:rPr>
          <w:noProof/>
        </w:rPr>
        <w:lastRenderedPageBreak/>
        <w:drawing>
          <wp:inline distT="0" distB="0" distL="0" distR="0" wp14:anchorId="7B72BD47" wp14:editId="7AA8E770">
            <wp:extent cx="4090670" cy="2603500"/>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603500"/>
                    </a:xfrm>
                    <a:prstGeom prst="rect">
                      <a:avLst/>
                    </a:prstGeom>
                    <a:noFill/>
                  </pic:spPr>
                </pic:pic>
              </a:graphicData>
            </a:graphic>
          </wp:inline>
        </w:drawing>
      </w:r>
    </w:p>
    <w:p w14:paraId="149D5F56" w14:textId="77777777" w:rsidR="0091664E" w:rsidRPr="00B76A73" w:rsidRDefault="0091664E" w:rsidP="0091664E">
      <w:pPr>
        <w:pStyle w:val="Heading1"/>
      </w:pPr>
      <w:r w:rsidRPr="00B76A73">
        <w:t>Capital Markets</w:t>
      </w:r>
    </w:p>
    <w:p w14:paraId="0F5E50D3" w14:textId="41B9FA56" w:rsidR="00855C4E" w:rsidRPr="00B76A73" w:rsidRDefault="003D1D39" w:rsidP="00B875CA">
      <w:pPr>
        <w:rPr>
          <w:noProof/>
        </w:rPr>
      </w:pPr>
      <w:r w:rsidRPr="00B76A73">
        <w:rPr>
          <w:noProof/>
        </w:rPr>
        <w:t xml:space="preserve">The table below shows the </w:t>
      </w:r>
      <w:r w:rsidR="00C427E3" w:rsidRPr="00B76A73">
        <w:rPr>
          <w:noProof/>
        </w:rPr>
        <w:t>quarterly, year-to-date,</w:t>
      </w:r>
      <w:r w:rsidRPr="00B76A73">
        <w:rPr>
          <w:noProof/>
        </w:rPr>
        <w:t xml:space="preserve"> and 12-month performance of major </w:t>
      </w:r>
      <w:r w:rsidR="00BD4FA3" w:rsidRPr="00B76A73">
        <w:rPr>
          <w:noProof/>
        </w:rPr>
        <w:t>U.S.</w:t>
      </w:r>
      <w:r w:rsidRPr="00B76A73">
        <w:rPr>
          <w:noProof/>
        </w:rPr>
        <w:t xml:space="preserve"> equity indices. </w:t>
      </w:r>
      <w:r w:rsidR="007929C4" w:rsidRPr="00B76A73">
        <w:rPr>
          <w:noProof/>
        </w:rPr>
        <w:t xml:space="preserve">Capital markets, which had enjoyed bullish conditions during the initial pandemic recovery, </w:t>
      </w:r>
      <w:r w:rsidR="006148A4" w:rsidRPr="00B76A73">
        <w:rPr>
          <w:noProof/>
        </w:rPr>
        <w:t>suffered a reversal of fortunes in the first three quarters of 2022 that brought the S&amp;P 500 and Dow Jones Industrial averages back down to late-2020 levels</w:t>
      </w:r>
      <w:r w:rsidR="007929C4" w:rsidRPr="00B76A73">
        <w:rPr>
          <w:noProof/>
        </w:rPr>
        <w:t>.</w:t>
      </w:r>
      <w:r w:rsidRPr="00B76A73">
        <w:rPr>
          <w:noProof/>
        </w:rPr>
        <w:t xml:space="preserve"> </w:t>
      </w:r>
      <w:r w:rsidR="007929C4" w:rsidRPr="00B76A73">
        <w:rPr>
          <w:noProof/>
        </w:rPr>
        <w:t>Investors point to persistently high inflation</w:t>
      </w:r>
      <w:r w:rsidR="006148A4" w:rsidRPr="00B76A73">
        <w:rPr>
          <w:noProof/>
        </w:rPr>
        <w:t xml:space="preserve"> and expectations that the </w:t>
      </w:r>
      <w:r w:rsidR="00844A75" w:rsidRPr="00B76A73">
        <w:rPr>
          <w:noProof/>
        </w:rPr>
        <w:t>Fed</w:t>
      </w:r>
      <w:r w:rsidR="006148A4" w:rsidRPr="00B76A73">
        <w:rPr>
          <w:noProof/>
        </w:rPr>
        <w:t xml:space="preserve"> will hold interest rates high despite</w:t>
      </w:r>
      <w:r w:rsidR="00920AB5" w:rsidRPr="00B76A73">
        <w:rPr>
          <w:noProof/>
        </w:rPr>
        <w:t xml:space="preserve"> </w:t>
      </w:r>
      <w:r w:rsidR="006148A4" w:rsidRPr="00B76A73">
        <w:rPr>
          <w:noProof/>
        </w:rPr>
        <w:t xml:space="preserve">constrained </w:t>
      </w:r>
      <w:r w:rsidR="00920AB5" w:rsidRPr="00B76A73">
        <w:rPr>
          <w:noProof/>
        </w:rPr>
        <w:t>growth</w:t>
      </w:r>
      <w:r w:rsidR="006148A4" w:rsidRPr="00B76A73">
        <w:rPr>
          <w:noProof/>
        </w:rPr>
        <w:t>, even if the economy tips into recession.</w:t>
      </w:r>
      <w:r w:rsidR="00920AB5" w:rsidRPr="00B76A73">
        <w:rPr>
          <w:noProof/>
        </w:rPr>
        <w:t xml:space="preserve"> </w:t>
      </w:r>
      <w:r w:rsidR="00753854" w:rsidRPr="00B76A73">
        <w:rPr>
          <w:noProof/>
        </w:rPr>
        <w:t>T</w:t>
      </w:r>
      <w:r w:rsidRPr="00B76A73">
        <w:rPr>
          <w:noProof/>
        </w:rPr>
        <w:t xml:space="preserve">he </w:t>
      </w:r>
      <w:r w:rsidR="00E61348" w:rsidRPr="00B76A73">
        <w:rPr>
          <w:noProof/>
        </w:rPr>
        <w:t xml:space="preserve">Dow Jones Transportation Average </w:t>
      </w:r>
      <w:r w:rsidR="00D40A47" w:rsidRPr="00B76A73">
        <w:rPr>
          <w:noProof/>
        </w:rPr>
        <w:t xml:space="preserve">dropped </w:t>
      </w:r>
      <w:r w:rsidR="00E61348" w:rsidRPr="00B76A73">
        <w:rPr>
          <w:noProof/>
        </w:rPr>
        <w:t>8.4</w:t>
      </w:r>
      <w:r w:rsidR="00D40A47" w:rsidRPr="00B76A73">
        <w:rPr>
          <w:noProof/>
        </w:rPr>
        <w:t>% d</w:t>
      </w:r>
      <w:r w:rsidR="00E61348" w:rsidRPr="00B76A73">
        <w:rPr>
          <w:noProof/>
        </w:rPr>
        <w:t>ur</w:t>
      </w:r>
      <w:r w:rsidR="00D40A47" w:rsidRPr="00B76A73">
        <w:rPr>
          <w:noProof/>
        </w:rPr>
        <w:t xml:space="preserve">ing the </w:t>
      </w:r>
      <w:r w:rsidR="00E61348" w:rsidRPr="00B76A73">
        <w:rPr>
          <w:noProof/>
        </w:rPr>
        <w:t>3</w:t>
      </w:r>
      <w:r w:rsidR="00E61348" w:rsidRPr="00B76A73">
        <w:rPr>
          <w:noProof/>
          <w:vertAlign w:val="superscript"/>
        </w:rPr>
        <w:t>rd</w:t>
      </w:r>
      <w:r w:rsidR="00E61348" w:rsidRPr="00B76A73">
        <w:rPr>
          <w:noProof/>
        </w:rPr>
        <w:t xml:space="preserve"> </w:t>
      </w:r>
      <w:r w:rsidR="00D40A47" w:rsidRPr="00B76A73">
        <w:rPr>
          <w:noProof/>
        </w:rPr>
        <w:t>quarter of 2022</w:t>
      </w:r>
      <w:r w:rsidR="00E61348" w:rsidRPr="00B76A73">
        <w:rPr>
          <w:noProof/>
        </w:rPr>
        <w:t>,</w:t>
      </w:r>
      <w:r w:rsidR="00D40A47" w:rsidRPr="00B76A73">
        <w:rPr>
          <w:noProof/>
        </w:rPr>
        <w:t xml:space="preserve"> the </w:t>
      </w:r>
      <w:r w:rsidR="007929C4" w:rsidRPr="00B76A73">
        <w:rPr>
          <w:noProof/>
        </w:rPr>
        <w:t xml:space="preserve">Dow Jones </w:t>
      </w:r>
      <w:r w:rsidR="00E61348" w:rsidRPr="00B76A73">
        <w:rPr>
          <w:noProof/>
        </w:rPr>
        <w:t>Composite</w:t>
      </w:r>
      <w:r w:rsidR="007929C4" w:rsidRPr="00B76A73">
        <w:rPr>
          <w:noProof/>
        </w:rPr>
        <w:t xml:space="preserve"> </w:t>
      </w:r>
      <w:r w:rsidR="00E61348" w:rsidRPr="00B76A73">
        <w:rPr>
          <w:noProof/>
        </w:rPr>
        <w:t>fell 7.4</w:t>
      </w:r>
      <w:r w:rsidR="00D40A47" w:rsidRPr="00B76A73">
        <w:rPr>
          <w:noProof/>
        </w:rPr>
        <w:t>%</w:t>
      </w:r>
      <w:r w:rsidR="00E61348" w:rsidRPr="00B76A73">
        <w:rPr>
          <w:noProof/>
        </w:rPr>
        <w:t>, and the Dow Jones Industrial decreased 6.7%</w:t>
      </w:r>
      <w:r w:rsidR="00D40A47" w:rsidRPr="00B76A73">
        <w:rPr>
          <w:noProof/>
        </w:rPr>
        <w:t xml:space="preserve">. </w:t>
      </w:r>
      <w:r w:rsidR="00112619" w:rsidRPr="00B76A73">
        <w:rPr>
          <w:noProof/>
        </w:rPr>
        <w:t xml:space="preserve">The </w:t>
      </w:r>
      <w:r w:rsidR="007929C4" w:rsidRPr="00B76A73">
        <w:rPr>
          <w:noProof/>
        </w:rPr>
        <w:t xml:space="preserve">S&amp;P 500 </w:t>
      </w:r>
      <w:r w:rsidR="00D40A47" w:rsidRPr="00B76A73">
        <w:rPr>
          <w:noProof/>
        </w:rPr>
        <w:t xml:space="preserve">was down </w:t>
      </w:r>
      <w:r w:rsidR="00595D8A" w:rsidRPr="00B76A73">
        <w:rPr>
          <w:noProof/>
        </w:rPr>
        <w:t>5</w:t>
      </w:r>
      <w:r w:rsidR="007929C4" w:rsidRPr="00B76A73">
        <w:rPr>
          <w:noProof/>
        </w:rPr>
        <w:t>.</w:t>
      </w:r>
      <w:r w:rsidR="00595D8A" w:rsidRPr="00B76A73">
        <w:rPr>
          <w:noProof/>
        </w:rPr>
        <w:t>3</w:t>
      </w:r>
      <w:r w:rsidR="00C427E3" w:rsidRPr="00B76A73">
        <w:rPr>
          <w:noProof/>
        </w:rPr>
        <w:t>%</w:t>
      </w:r>
      <w:r w:rsidRPr="00B76A73">
        <w:rPr>
          <w:noProof/>
        </w:rPr>
        <w:t>.</w:t>
      </w:r>
    </w:p>
    <w:p w14:paraId="79C54A89" w14:textId="385E4F4B" w:rsidR="002E3647" w:rsidRPr="00B76A73" w:rsidRDefault="006D3964" w:rsidP="00855C4E">
      <w:pPr>
        <w:jc w:val="center"/>
        <w:rPr>
          <w:noProof/>
        </w:rPr>
      </w:pPr>
      <w:r w:rsidRPr="00B76A73">
        <w:rPr>
          <w:noProof/>
        </w:rPr>
        <w:drawing>
          <wp:inline distT="0" distB="0" distL="0" distR="0" wp14:anchorId="10F8A5DA" wp14:editId="5FB831E0">
            <wp:extent cx="5591175" cy="1476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1476375"/>
                    </a:xfrm>
                    <a:prstGeom prst="rect">
                      <a:avLst/>
                    </a:prstGeom>
                    <a:noFill/>
                    <a:ln>
                      <a:noFill/>
                    </a:ln>
                  </pic:spPr>
                </pic:pic>
              </a:graphicData>
            </a:graphic>
          </wp:inline>
        </w:drawing>
      </w:r>
      <w:r w:rsidR="003D1D39" w:rsidRPr="00B76A73">
        <w:br/>
      </w:r>
    </w:p>
    <w:p w14:paraId="3743084E" w14:textId="46736D69" w:rsidR="00857079" w:rsidRPr="00B76A73" w:rsidRDefault="00842A68" w:rsidP="00BB3B04">
      <w:pPr>
        <w:jc w:val="center"/>
        <w:rPr>
          <w:color w:val="FF0000"/>
        </w:rPr>
      </w:pPr>
      <w:r w:rsidRPr="00B76A73">
        <w:rPr>
          <w:noProof/>
          <w:color w:val="FF0000"/>
        </w:rPr>
        <w:lastRenderedPageBreak/>
        <w:drawing>
          <wp:inline distT="0" distB="0" distL="0" distR="0" wp14:anchorId="74B496BB" wp14:editId="020CF72F">
            <wp:extent cx="4097020" cy="26155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15565"/>
                    </a:xfrm>
                    <a:prstGeom prst="rect">
                      <a:avLst/>
                    </a:prstGeom>
                    <a:noFill/>
                  </pic:spPr>
                </pic:pic>
              </a:graphicData>
            </a:graphic>
          </wp:inline>
        </w:drawing>
      </w:r>
    </w:p>
    <w:p w14:paraId="0420E509" w14:textId="6C49EED5" w:rsidR="00100DF8" w:rsidRPr="00B76A73" w:rsidRDefault="00100DF8" w:rsidP="003D1D39">
      <w:pPr>
        <w:rPr>
          <w:noProof/>
        </w:rPr>
      </w:pPr>
      <w:r w:rsidRPr="00B76A73">
        <w:t>Stock market v</w:t>
      </w:r>
      <w:r w:rsidR="0007515A" w:rsidRPr="00B76A73">
        <w:t>olatility</w:t>
      </w:r>
      <w:r w:rsidR="00A1419D" w:rsidRPr="00B76A73">
        <w:t>, as measured by the VIX</w:t>
      </w:r>
      <w:r w:rsidR="00A1419D" w:rsidRPr="00B76A73">
        <w:rPr>
          <w:rStyle w:val="FootnoteReference"/>
        </w:rPr>
        <w:t xml:space="preserve"> </w:t>
      </w:r>
      <w:r w:rsidR="0007515A" w:rsidRPr="00B76A73">
        <w:rPr>
          <w:rStyle w:val="FootnoteReference"/>
        </w:rPr>
        <w:footnoteReference w:id="38"/>
      </w:r>
      <w:r w:rsidR="005573A8" w:rsidRPr="00B76A73">
        <w:t>,</w:t>
      </w:r>
      <w:r w:rsidRPr="00B76A73">
        <w:t xml:space="preserve"> </w:t>
      </w:r>
      <w:r w:rsidR="00595D8A" w:rsidRPr="00B76A73">
        <w:t>ended the 3</w:t>
      </w:r>
      <w:r w:rsidR="00595D8A" w:rsidRPr="00B76A73">
        <w:rPr>
          <w:vertAlign w:val="superscript"/>
        </w:rPr>
        <w:t>rd</w:t>
      </w:r>
      <w:r w:rsidR="00595D8A" w:rsidRPr="00B76A73">
        <w:t xml:space="preserve"> quarter at 31.6, up 10.1% since the prior quarter and up 83.6% since the end of 2021</w:t>
      </w:r>
      <w:r w:rsidR="003D1D39" w:rsidRPr="00B76A73">
        <w:t>.</w:t>
      </w:r>
      <w:r w:rsidR="00B45117" w:rsidRPr="00B76A73">
        <w:t xml:space="preserve"> </w:t>
      </w:r>
      <w:r w:rsidR="00920AB5" w:rsidRPr="00B76A73">
        <w:t xml:space="preserve">The VIX </w:t>
      </w:r>
      <w:r w:rsidR="00595D8A" w:rsidRPr="00B76A73">
        <w:t>has fluctuated markedly throughout the first three quarters of 2022, with a general upward trend as investor sentiment was plagued by anxiety about inflation and the hawkish Federal Reserve policy that has yet to contain it.</w:t>
      </w:r>
    </w:p>
    <w:p w14:paraId="29D9D20D" w14:textId="76D3DEAE" w:rsidR="00661AA7" w:rsidRPr="00B76A73" w:rsidRDefault="00842A68" w:rsidP="00404E89">
      <w:pPr>
        <w:jc w:val="center"/>
      </w:pPr>
      <w:r w:rsidRPr="00B76A73">
        <w:rPr>
          <w:noProof/>
        </w:rPr>
        <w:drawing>
          <wp:inline distT="0" distB="0" distL="0" distR="0" wp14:anchorId="25C37ACE" wp14:editId="5AE0A2D6">
            <wp:extent cx="4097020" cy="26155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15565"/>
                    </a:xfrm>
                    <a:prstGeom prst="rect">
                      <a:avLst/>
                    </a:prstGeom>
                    <a:noFill/>
                  </pic:spPr>
                </pic:pic>
              </a:graphicData>
            </a:graphic>
          </wp:inline>
        </w:drawing>
      </w:r>
    </w:p>
    <w:p w14:paraId="149D5F93" w14:textId="77777777" w:rsidR="00E44639" w:rsidRPr="00B76A73" w:rsidRDefault="00E44639" w:rsidP="00E44639">
      <w:pPr>
        <w:pStyle w:val="Heading1"/>
      </w:pPr>
      <w:r w:rsidRPr="00B76A73">
        <w:t>Outlook</w:t>
      </w:r>
    </w:p>
    <w:p w14:paraId="71C9C508" w14:textId="0A609DCA" w:rsidR="005573A8" w:rsidRPr="00B76A73" w:rsidRDefault="003071CD" w:rsidP="00E44639">
      <w:r w:rsidRPr="00B76A73">
        <w:t xml:space="preserve">In </w:t>
      </w:r>
      <w:r w:rsidR="00F0586B" w:rsidRPr="00B76A73">
        <w:t>June</w:t>
      </w:r>
      <w:r w:rsidRPr="00B76A73">
        <w:t xml:space="preserve"> 20</w:t>
      </w:r>
      <w:r w:rsidR="005573A8" w:rsidRPr="00B76A73">
        <w:t>2</w:t>
      </w:r>
      <w:r w:rsidR="00452720" w:rsidRPr="00B76A73">
        <w:t>2</w:t>
      </w:r>
      <w:r w:rsidRPr="00B76A73">
        <w:t xml:space="preserve">, the FOMC </w:t>
      </w:r>
      <w:r w:rsidR="005573A8" w:rsidRPr="00B76A73">
        <w:t xml:space="preserve">revised their </w:t>
      </w:r>
      <w:r w:rsidR="000755E2" w:rsidRPr="00B76A73">
        <w:t xml:space="preserve">near-term </w:t>
      </w:r>
      <w:r w:rsidR="005573A8" w:rsidRPr="00B76A73">
        <w:t xml:space="preserve">inflation </w:t>
      </w:r>
      <w:r w:rsidR="005125AE" w:rsidRPr="00B76A73">
        <w:t xml:space="preserve">and unemployment rate </w:t>
      </w:r>
      <w:r w:rsidR="005573A8" w:rsidRPr="00B76A73">
        <w:t xml:space="preserve">projections </w:t>
      </w:r>
      <w:r w:rsidR="00260D17" w:rsidRPr="00B76A73">
        <w:t xml:space="preserve">slightly </w:t>
      </w:r>
      <w:r w:rsidR="005573A8" w:rsidRPr="00B76A73">
        <w:t xml:space="preserve">upward </w:t>
      </w:r>
      <w:r w:rsidR="000755E2" w:rsidRPr="00B76A73">
        <w:t xml:space="preserve">and </w:t>
      </w:r>
      <w:r w:rsidR="0007242E" w:rsidRPr="00B76A73">
        <w:t>real GDP</w:t>
      </w:r>
      <w:r w:rsidR="005125AE" w:rsidRPr="00B76A73">
        <w:t xml:space="preserve"> </w:t>
      </w:r>
      <w:r w:rsidR="000755E2" w:rsidRPr="00B76A73">
        <w:t xml:space="preserve">projections </w:t>
      </w:r>
      <w:r w:rsidR="00260D17" w:rsidRPr="00B76A73">
        <w:t xml:space="preserve">sharply </w:t>
      </w:r>
      <w:r w:rsidR="000755E2" w:rsidRPr="00B76A73">
        <w:t>downward</w:t>
      </w:r>
      <w:r w:rsidR="0007242E" w:rsidRPr="00B76A73">
        <w:t xml:space="preserve">. </w:t>
      </w:r>
      <w:r w:rsidR="00260D17" w:rsidRPr="00B76A73">
        <w:t>Adjustments to l</w:t>
      </w:r>
      <w:r w:rsidR="005573A8" w:rsidRPr="00B76A73">
        <w:t>onger</w:t>
      </w:r>
      <w:r w:rsidR="00452720" w:rsidRPr="00B76A73">
        <w:t>-</w:t>
      </w:r>
      <w:r w:rsidR="005573A8" w:rsidRPr="00B76A73">
        <w:t xml:space="preserve">run </w:t>
      </w:r>
      <w:r w:rsidR="005573A8" w:rsidRPr="00B76A73">
        <w:lastRenderedPageBreak/>
        <w:t>projections for all three indicators</w:t>
      </w:r>
      <w:r w:rsidR="0007242E" w:rsidRPr="00B76A73">
        <w:t xml:space="preserve"> </w:t>
      </w:r>
      <w:r w:rsidR="00260D17" w:rsidRPr="00B76A73">
        <w:t>were mild</w:t>
      </w:r>
      <w:r w:rsidR="00AE492E" w:rsidRPr="00B76A73">
        <w:t xml:space="preserve"> yet followed a similar pattern, </w:t>
      </w:r>
      <w:r w:rsidR="00260D17" w:rsidRPr="00B76A73">
        <w:t xml:space="preserve">with inflation and unemployment rising and real GDP </w:t>
      </w:r>
      <w:r w:rsidR="00AE492E" w:rsidRPr="00B76A73">
        <w:t>declining</w:t>
      </w:r>
      <w:r w:rsidR="005573A8" w:rsidRPr="00B76A73">
        <w:t xml:space="preserve">. </w:t>
      </w:r>
    </w:p>
    <w:p w14:paraId="1779A15E" w14:textId="7FC00375" w:rsidR="00855C4E" w:rsidRPr="00B76A73" w:rsidRDefault="005573A8" w:rsidP="00855C4E">
      <w:r w:rsidRPr="00B76A73">
        <w:t>The FOMC revised their projection</w:t>
      </w:r>
      <w:r w:rsidR="00F60736" w:rsidRPr="00B76A73">
        <w:t xml:space="preserve"> </w:t>
      </w:r>
      <w:r w:rsidRPr="00B76A73">
        <w:t xml:space="preserve">for </w:t>
      </w:r>
      <w:r w:rsidR="00F60736" w:rsidRPr="00B76A73">
        <w:t>real GDP</w:t>
      </w:r>
      <w:r w:rsidR="00BF5CE2" w:rsidRPr="00B76A73">
        <w:rPr>
          <w:rStyle w:val="FootnoteReference"/>
        </w:rPr>
        <w:footnoteReference w:id="39"/>
      </w:r>
      <w:r w:rsidR="00F60736" w:rsidRPr="00B76A73">
        <w:t xml:space="preserve"> </w:t>
      </w:r>
      <w:r w:rsidR="0039421C" w:rsidRPr="00B76A73">
        <w:t xml:space="preserve">to </w:t>
      </w:r>
      <w:r w:rsidR="00AE492E" w:rsidRPr="00B76A73">
        <w:t>0.20</w:t>
      </w:r>
      <w:r w:rsidR="00F60736" w:rsidRPr="00B76A73">
        <w:t>%</w:t>
      </w:r>
      <w:r w:rsidR="0049182B" w:rsidRPr="00B76A73">
        <w:t xml:space="preserve"> growth in</w:t>
      </w:r>
      <w:r w:rsidR="00F60736" w:rsidRPr="00B76A73">
        <w:t xml:space="preserve"> 20</w:t>
      </w:r>
      <w:r w:rsidR="00090DA6" w:rsidRPr="00B76A73">
        <w:t>2</w:t>
      </w:r>
      <w:r w:rsidR="00452720" w:rsidRPr="00B76A73">
        <w:t>2</w:t>
      </w:r>
      <w:r w:rsidR="0049182B" w:rsidRPr="00B76A73">
        <w:t xml:space="preserve">, </w:t>
      </w:r>
      <w:r w:rsidR="00AE492E" w:rsidRPr="00B76A73">
        <w:t>rising</w:t>
      </w:r>
      <w:r w:rsidR="0049182B" w:rsidRPr="00B76A73">
        <w:t xml:space="preserve"> to </w:t>
      </w:r>
      <w:r w:rsidR="00922197" w:rsidRPr="00B76A73">
        <w:t>1.</w:t>
      </w:r>
      <w:r w:rsidR="00AE492E" w:rsidRPr="00B76A73">
        <w:t>00</w:t>
      </w:r>
      <w:r w:rsidR="0049182B" w:rsidRPr="00B76A73">
        <w:t xml:space="preserve">% </w:t>
      </w:r>
      <w:r w:rsidR="00F66850" w:rsidRPr="00B76A73">
        <w:t>in 2023, then to 1.7</w:t>
      </w:r>
      <w:r w:rsidR="00AE492E" w:rsidRPr="00B76A73">
        <w:t>0</w:t>
      </w:r>
      <w:r w:rsidR="00F66850" w:rsidRPr="00B76A73">
        <w:t xml:space="preserve">% </w:t>
      </w:r>
      <w:r w:rsidR="004F307A" w:rsidRPr="00B76A73">
        <w:t>by</w:t>
      </w:r>
      <w:r w:rsidR="000D646D" w:rsidRPr="00B76A73">
        <w:t xml:space="preserve"> 202</w:t>
      </w:r>
      <w:r w:rsidR="0007242E" w:rsidRPr="00B76A73">
        <w:t>4</w:t>
      </w:r>
      <w:r w:rsidR="00F60736" w:rsidRPr="00B76A73">
        <w:t>. They expect</w:t>
      </w:r>
      <w:r w:rsidRPr="00B76A73">
        <w:t>ed</w:t>
      </w:r>
      <w:r w:rsidR="00F60736" w:rsidRPr="00B76A73">
        <w:t xml:space="preserve"> Personal Consumption Expendit</w:t>
      </w:r>
      <w:r w:rsidR="00090DA6" w:rsidRPr="00B76A73">
        <w:t>ures (PCE)</w:t>
      </w:r>
      <w:r w:rsidR="00F66850" w:rsidRPr="00B76A73">
        <w:t xml:space="preserve"> inflation</w:t>
      </w:r>
      <w:r w:rsidR="005D3CEF" w:rsidRPr="00B76A73">
        <w:rPr>
          <w:rStyle w:val="FootnoteReference"/>
        </w:rPr>
        <w:footnoteReference w:id="40"/>
      </w:r>
      <w:r w:rsidR="00090DA6" w:rsidRPr="00B76A73">
        <w:t xml:space="preserve"> to </w:t>
      </w:r>
      <w:r w:rsidRPr="00B76A73">
        <w:t xml:space="preserve">grow </w:t>
      </w:r>
      <w:r w:rsidR="00155E5F" w:rsidRPr="00B76A73">
        <w:t xml:space="preserve">to </w:t>
      </w:r>
      <w:r w:rsidR="00F66850" w:rsidRPr="00B76A73">
        <w:t>5.5</w:t>
      </w:r>
      <w:r w:rsidR="00AE492E" w:rsidRPr="00B76A73">
        <w:t>0</w:t>
      </w:r>
      <w:r w:rsidR="000F3008" w:rsidRPr="00B76A73">
        <w:t>%</w:t>
      </w:r>
      <w:r w:rsidR="000755E2" w:rsidRPr="00B76A73">
        <w:t xml:space="preserve"> </w:t>
      </w:r>
      <w:r w:rsidR="00D31480" w:rsidRPr="00B76A73">
        <w:t>in</w:t>
      </w:r>
      <w:r w:rsidR="000755E2" w:rsidRPr="00B76A73">
        <w:t xml:space="preserve"> 2022 </w:t>
      </w:r>
      <w:r w:rsidR="00D31480" w:rsidRPr="00B76A73">
        <w:t>but</w:t>
      </w:r>
      <w:r w:rsidR="000755E2" w:rsidRPr="00B76A73">
        <w:t xml:space="preserve"> </w:t>
      </w:r>
      <w:r w:rsidR="00AE492E" w:rsidRPr="00B76A73">
        <w:t>moderate</w:t>
      </w:r>
      <w:r w:rsidR="00D31480" w:rsidRPr="00B76A73">
        <w:t xml:space="preserve"> to</w:t>
      </w:r>
      <w:r w:rsidR="000755E2" w:rsidRPr="00B76A73">
        <w:t xml:space="preserve"> </w:t>
      </w:r>
      <w:r w:rsidR="00AE492E" w:rsidRPr="00B76A73">
        <w:t>3.05% by 2023 and 2.3</w:t>
      </w:r>
      <w:r w:rsidR="00D31480" w:rsidRPr="00B76A73">
        <w:t>5</w:t>
      </w:r>
      <w:r w:rsidR="000F3008" w:rsidRPr="00B76A73">
        <w:t>%</w:t>
      </w:r>
      <w:r w:rsidR="000755E2" w:rsidRPr="00B76A73">
        <w:t xml:space="preserve"> </w:t>
      </w:r>
      <w:r w:rsidR="00AE492E" w:rsidRPr="00B76A73">
        <w:t>by</w:t>
      </w:r>
      <w:r w:rsidR="000755E2" w:rsidRPr="00B76A73">
        <w:t xml:space="preserve"> 2024</w:t>
      </w:r>
      <w:r w:rsidRPr="00B76A73">
        <w:t xml:space="preserve">. </w:t>
      </w:r>
      <w:r w:rsidR="00F60736" w:rsidRPr="00B76A73">
        <w:t>The</w:t>
      </w:r>
      <w:r w:rsidR="004907DA" w:rsidRPr="00B76A73">
        <w:t>y</w:t>
      </w:r>
      <w:r w:rsidR="00F60736" w:rsidRPr="00B76A73">
        <w:t xml:space="preserve"> forecast th</w:t>
      </w:r>
      <w:r w:rsidR="004907DA" w:rsidRPr="00B76A73">
        <w:t>at th</w:t>
      </w:r>
      <w:r w:rsidR="00F60736" w:rsidRPr="00B76A73">
        <w:t>e unemployment rate</w:t>
      </w:r>
      <w:r w:rsidR="00E72196" w:rsidRPr="00B76A73">
        <w:rPr>
          <w:rStyle w:val="FootnoteReference"/>
        </w:rPr>
        <w:footnoteReference w:id="41"/>
      </w:r>
      <w:r w:rsidR="00F60736" w:rsidRPr="00B76A73">
        <w:t xml:space="preserve"> </w:t>
      </w:r>
      <w:r w:rsidR="000755E2" w:rsidRPr="00B76A73">
        <w:t>would</w:t>
      </w:r>
      <w:r w:rsidR="00F60736" w:rsidRPr="00B76A73">
        <w:t xml:space="preserve"> </w:t>
      </w:r>
      <w:r w:rsidR="000755E2" w:rsidRPr="00B76A73">
        <w:t>be</w:t>
      </w:r>
      <w:r w:rsidRPr="00B76A73">
        <w:t xml:space="preserve"> </w:t>
      </w:r>
      <w:r w:rsidR="00D31480" w:rsidRPr="00B76A73">
        <w:t>3.</w:t>
      </w:r>
      <w:r w:rsidR="00AE492E" w:rsidRPr="00B76A73">
        <w:t>85</w:t>
      </w:r>
      <w:r w:rsidR="00F60736" w:rsidRPr="00B76A73">
        <w:t>%</w:t>
      </w:r>
      <w:r w:rsidR="0039421C" w:rsidRPr="00B76A73">
        <w:t xml:space="preserve"> in 202</w:t>
      </w:r>
      <w:r w:rsidR="00D31480" w:rsidRPr="00B76A73">
        <w:t>2</w:t>
      </w:r>
      <w:r w:rsidR="00F66850" w:rsidRPr="00B76A73">
        <w:t>, rising to 4.</w:t>
      </w:r>
      <w:r w:rsidR="00AE492E" w:rsidRPr="00B76A73">
        <w:t>3</w:t>
      </w:r>
      <w:r w:rsidR="00F66850" w:rsidRPr="00B76A73">
        <w:t>0</w:t>
      </w:r>
      <w:r w:rsidR="0049182B" w:rsidRPr="00B76A73">
        <w:t xml:space="preserve">% </w:t>
      </w:r>
      <w:r w:rsidR="00AE492E" w:rsidRPr="00B76A73">
        <w:t>in</w:t>
      </w:r>
      <w:r w:rsidR="00F60736" w:rsidRPr="00B76A73">
        <w:t xml:space="preserve"> 20</w:t>
      </w:r>
      <w:r w:rsidR="00090DA6" w:rsidRPr="00B76A73">
        <w:t>2</w:t>
      </w:r>
      <w:r w:rsidR="00AE492E" w:rsidRPr="00B76A73">
        <w:t>3 and 202</w:t>
      </w:r>
      <w:r w:rsidR="0007242E" w:rsidRPr="00B76A73">
        <w:t>4</w:t>
      </w:r>
      <w:r w:rsidR="003071CD" w:rsidRPr="00B76A73">
        <w:t>.</w:t>
      </w:r>
      <w:r w:rsidR="005C22CA" w:rsidRPr="00B76A73">
        <w:t xml:space="preserve"> </w:t>
      </w:r>
      <w:r w:rsidR="00155E5F" w:rsidRPr="00B76A73">
        <w:t>T</w:t>
      </w:r>
      <w:r w:rsidR="005C22CA" w:rsidRPr="00B76A73">
        <w:t xml:space="preserve">he board </w:t>
      </w:r>
      <w:r w:rsidR="00091282" w:rsidRPr="00B76A73">
        <w:t xml:space="preserve">again increased projections of future target rates and </w:t>
      </w:r>
      <w:r w:rsidR="00AE492E" w:rsidRPr="00B76A73">
        <w:t xml:space="preserve">maintained their </w:t>
      </w:r>
      <w:r w:rsidR="00155E5F" w:rsidRPr="00B76A73">
        <w:t xml:space="preserve">resolve to </w:t>
      </w:r>
      <w:r w:rsidR="00AE492E" w:rsidRPr="00B76A73">
        <w:t xml:space="preserve">continue </w:t>
      </w:r>
      <w:r w:rsidR="00155E5F" w:rsidRPr="00B76A73">
        <w:t>tighten</w:t>
      </w:r>
      <w:r w:rsidR="00AE492E" w:rsidRPr="00B76A73">
        <w:t>ing</w:t>
      </w:r>
      <w:r w:rsidR="0033537B" w:rsidRPr="00B76A73">
        <w:t xml:space="preserve"> monetary policy </w:t>
      </w:r>
      <w:r w:rsidR="00155E5F" w:rsidRPr="00B76A73">
        <w:t>against</w:t>
      </w:r>
      <w:r w:rsidR="00A54ACF" w:rsidRPr="00B76A73">
        <w:t xml:space="preserve"> </w:t>
      </w:r>
      <w:r w:rsidR="00155E5F" w:rsidRPr="00B76A73">
        <w:t>blazing</w:t>
      </w:r>
      <w:r w:rsidR="00A54ACF" w:rsidRPr="00B76A73">
        <w:t xml:space="preserve"> inflation</w:t>
      </w:r>
      <w:r w:rsidR="00155E5F" w:rsidRPr="00B76A73">
        <w:t xml:space="preserve"> </w:t>
      </w:r>
      <w:r w:rsidR="002B5EF5" w:rsidRPr="00B76A73">
        <w:t>despite expected consequences, including a potential recession</w:t>
      </w:r>
      <w:r w:rsidR="00A54ACF" w:rsidRPr="00B76A73">
        <w:t>.</w:t>
      </w:r>
    </w:p>
    <w:p w14:paraId="4D630423" w14:textId="79D92E84" w:rsidR="00FD0160" w:rsidRPr="00B76A73" w:rsidRDefault="00842A68" w:rsidP="00855C4E">
      <w:pPr>
        <w:jc w:val="center"/>
      </w:pPr>
      <w:r w:rsidRPr="00B76A73">
        <w:rPr>
          <w:noProof/>
        </w:rPr>
        <w:drawing>
          <wp:inline distT="0" distB="0" distL="0" distR="0" wp14:anchorId="30CCD365" wp14:editId="3A8E22C8">
            <wp:extent cx="3914775" cy="111442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1114425"/>
                    </a:xfrm>
                    <a:prstGeom prst="rect">
                      <a:avLst/>
                    </a:prstGeom>
                    <a:noFill/>
                    <a:ln>
                      <a:noFill/>
                    </a:ln>
                  </pic:spPr>
                </pic:pic>
              </a:graphicData>
            </a:graphic>
          </wp:inline>
        </w:drawing>
      </w:r>
    </w:p>
    <w:p w14:paraId="3DA5A3C9" w14:textId="4CF9E1B8" w:rsidR="002301AB" w:rsidRPr="00B76A73" w:rsidRDefault="002308A9">
      <w:r w:rsidRPr="00B76A73">
        <w:br w:type="page"/>
      </w:r>
    </w:p>
    <w:p w14:paraId="71E59CEA" w14:textId="6D7E62F8" w:rsidR="002308A9" w:rsidRPr="00B76A73" w:rsidRDefault="002301AB">
      <w:pPr>
        <w:rPr>
          <w:rFonts w:asciiTheme="majorHAnsi" w:eastAsiaTheme="majorEastAsia" w:hAnsiTheme="majorHAnsi" w:cstheme="majorBidi"/>
          <w:color w:val="008FD5"/>
          <w:sz w:val="36"/>
          <w:szCs w:val="32"/>
        </w:rPr>
      </w:pPr>
      <w:r w:rsidRPr="00B76A73">
        <w:rPr>
          <w:rFonts w:asciiTheme="majorHAnsi" w:eastAsiaTheme="majorEastAsia" w:hAnsiTheme="majorHAnsi" w:cstheme="majorBidi"/>
          <w:color w:val="008FD5"/>
          <w:sz w:val="36"/>
          <w:szCs w:val="32"/>
        </w:rPr>
        <w:lastRenderedPageBreak/>
        <w:t>Appendix – Selected Interest Rates</w:t>
      </w:r>
    </w:p>
    <w:p w14:paraId="6F34C406" w14:textId="135795B5" w:rsidR="002301AB" w:rsidRPr="00B76A73" w:rsidRDefault="00842A68">
      <w:r w:rsidRPr="00B76A73">
        <w:rPr>
          <w:noProof/>
        </w:rPr>
        <w:drawing>
          <wp:inline distT="0" distB="0" distL="0" distR="0" wp14:anchorId="6B2260E3" wp14:editId="0FDA5069">
            <wp:extent cx="5461676" cy="767715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6660" cy="7684156"/>
                    </a:xfrm>
                    <a:prstGeom prst="rect">
                      <a:avLst/>
                    </a:prstGeom>
                    <a:noFill/>
                    <a:ln>
                      <a:noFill/>
                    </a:ln>
                  </pic:spPr>
                </pic:pic>
              </a:graphicData>
            </a:graphic>
          </wp:inline>
        </w:drawing>
      </w:r>
    </w:p>
    <w:p w14:paraId="149D5FB3" w14:textId="386CB697" w:rsidR="00005111" w:rsidRPr="00B76A73" w:rsidRDefault="00005111" w:rsidP="001475FF">
      <w:pPr>
        <w:pStyle w:val="Heading1"/>
      </w:pPr>
      <w:r w:rsidRPr="00B76A73">
        <w:lastRenderedPageBreak/>
        <w:t>About This Report</w:t>
      </w:r>
    </w:p>
    <w:p w14:paraId="149D5FB4" w14:textId="5800CD46" w:rsidR="002F3682" w:rsidRPr="00B76A73" w:rsidRDefault="00BB34CA" w:rsidP="00005111">
      <w:r w:rsidRPr="00B76A73">
        <w:t xml:space="preserve">The </w:t>
      </w:r>
      <w:r w:rsidRPr="00B76A73">
        <w:rPr>
          <w:i/>
        </w:rPr>
        <w:t>Quarterly Economic Update</w:t>
      </w:r>
      <w:r w:rsidRPr="00B76A73">
        <w:t xml:space="preserve"> is a free publication sponsored by </w:t>
      </w:r>
      <w:proofErr w:type="spellStart"/>
      <w:r w:rsidRPr="00B76A73">
        <w:t>TagniFi</w:t>
      </w:r>
      <w:proofErr w:type="spellEnd"/>
      <w:r w:rsidRPr="00B76A73">
        <w:t>. You are free to share this report and include its contents in the economic outlook section of your valuation reports</w:t>
      </w:r>
      <w:r w:rsidR="00DF67C7" w:rsidRPr="00B76A73">
        <w:t xml:space="preserve"> as required by </w:t>
      </w:r>
      <w:r w:rsidR="00DF67C7" w:rsidRPr="00B76A73">
        <w:rPr>
          <w:i/>
        </w:rPr>
        <w:t>Revenue Ruling 59-60</w:t>
      </w:r>
      <w:r w:rsidRPr="00B76A73">
        <w:t xml:space="preserve">. Please forward this </w:t>
      </w:r>
      <w:r w:rsidR="00DF67C7" w:rsidRPr="00B76A73">
        <w:t xml:space="preserve">free </w:t>
      </w:r>
      <w:r w:rsidRPr="00B76A73">
        <w:t>report to a c</w:t>
      </w:r>
      <w:r w:rsidR="00DF67C7" w:rsidRPr="00B76A73">
        <w:t xml:space="preserve">olleague to help us spread the word about </w:t>
      </w:r>
      <w:proofErr w:type="spellStart"/>
      <w:r w:rsidR="00DF67C7" w:rsidRPr="00B76A73">
        <w:t>TagniFi</w:t>
      </w:r>
      <w:proofErr w:type="spellEnd"/>
      <w:r w:rsidRPr="00B76A73">
        <w:t>.</w:t>
      </w:r>
    </w:p>
    <w:p w14:paraId="5E6B4C93" w14:textId="2938085A" w:rsidR="00964DD4" w:rsidRPr="00B76A73" w:rsidRDefault="00964DD4" w:rsidP="00230D29">
      <w:pPr>
        <w:rPr>
          <w:rFonts w:ascii="Calibri Light" w:hAnsi="Calibri Light" w:cs="Calibri Light"/>
          <w:color w:val="008FD5"/>
          <w:sz w:val="36"/>
          <w:szCs w:val="36"/>
        </w:rPr>
      </w:pPr>
      <w:r w:rsidRPr="00B76A73">
        <w:rPr>
          <w:rFonts w:ascii="Calibri Light" w:hAnsi="Calibri Light" w:cs="Calibri Light"/>
          <w:color w:val="008FD5"/>
          <w:sz w:val="36"/>
          <w:szCs w:val="36"/>
        </w:rPr>
        <w:t xml:space="preserve">How </w:t>
      </w:r>
      <w:proofErr w:type="spellStart"/>
      <w:r w:rsidRPr="00B76A73">
        <w:rPr>
          <w:rFonts w:ascii="Calibri Light" w:hAnsi="Calibri Light" w:cs="Calibri Light"/>
          <w:color w:val="008FD5"/>
          <w:sz w:val="36"/>
          <w:szCs w:val="36"/>
        </w:rPr>
        <w:t>TagniFi</w:t>
      </w:r>
      <w:proofErr w:type="spellEnd"/>
      <w:r w:rsidR="005F5744" w:rsidRPr="00B76A73">
        <w:rPr>
          <w:rFonts w:ascii="Calibri Light" w:hAnsi="Calibri Light" w:cs="Calibri Light"/>
          <w:color w:val="008FD5"/>
          <w:sz w:val="36"/>
          <w:szCs w:val="36"/>
        </w:rPr>
        <w:t xml:space="preserve"> Helps </w:t>
      </w:r>
      <w:r w:rsidRPr="00B76A73">
        <w:rPr>
          <w:rFonts w:ascii="Calibri Light" w:hAnsi="Calibri Light" w:cs="Calibri Light"/>
          <w:color w:val="008FD5"/>
          <w:sz w:val="36"/>
          <w:szCs w:val="36"/>
        </w:rPr>
        <w:t>Business Valuation</w:t>
      </w:r>
      <w:r w:rsidR="005F5744" w:rsidRPr="00B76A73">
        <w:rPr>
          <w:rFonts w:ascii="Calibri Light" w:hAnsi="Calibri Light" w:cs="Calibri Light"/>
          <w:color w:val="008FD5"/>
          <w:sz w:val="36"/>
          <w:szCs w:val="36"/>
        </w:rPr>
        <w:t xml:space="preserve"> Teams</w:t>
      </w:r>
    </w:p>
    <w:p w14:paraId="1FE39938" w14:textId="7315018D" w:rsidR="00964DD4" w:rsidRPr="00B76A73" w:rsidRDefault="00964DD4" w:rsidP="00230D29">
      <w:proofErr w:type="spellStart"/>
      <w:r w:rsidRPr="00B76A73">
        <w:t>TagniFi’s</w:t>
      </w:r>
      <w:proofErr w:type="spellEnd"/>
      <w:r w:rsidRPr="00B76A73">
        <w:t xml:space="preserve"> financial data platform empowers business valuation </w:t>
      </w:r>
      <w:r w:rsidR="00617DFF" w:rsidRPr="00B76A73">
        <w:t>teams</w:t>
      </w:r>
      <w:r w:rsidRPr="00B76A73">
        <w:t xml:space="preserve"> to quickly and easily build highly accurate financial models with full transparency—and within seconds.</w:t>
      </w:r>
    </w:p>
    <w:p w14:paraId="5282F11A" w14:textId="77777777" w:rsidR="003D3C51" w:rsidRPr="00B76A73" w:rsidRDefault="003D3C51" w:rsidP="00230D29"/>
    <w:p w14:paraId="736F547D" w14:textId="34D03572" w:rsidR="004C20AB" w:rsidRPr="00B76A73" w:rsidRDefault="00617DFF" w:rsidP="00230D29">
      <w:r w:rsidRPr="00B76A73">
        <w:rPr>
          <w:b/>
          <w:bCs/>
        </w:rPr>
        <w:t xml:space="preserve">Better </w:t>
      </w:r>
      <w:r w:rsidR="004C20AB" w:rsidRPr="00B76A73">
        <w:rPr>
          <w:b/>
          <w:bCs/>
        </w:rPr>
        <w:t>Public Comps</w:t>
      </w:r>
      <w:r w:rsidR="004C20AB" w:rsidRPr="00B76A73">
        <w:br/>
      </w:r>
      <w:r w:rsidR="004C20AB" w:rsidRPr="00B76A73">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B76A73">
        <w:t xml:space="preserve">Search for public companies with </w:t>
      </w:r>
      <w:proofErr w:type="spellStart"/>
      <w:r w:rsidR="004C20AB" w:rsidRPr="00B76A73">
        <w:t>TagniFi</w:t>
      </w:r>
      <w:proofErr w:type="spellEnd"/>
      <w:r w:rsidR="004C20AB" w:rsidRPr="00B76A73">
        <w:t xml:space="preserve"> Web. Simply enter your valuation date and ticker symbols in Excel to run a guideline public company method. Your Excel model populates instantly with the financial statements, analyst estimates, interest rates and economic data for your valuation date. </w:t>
      </w:r>
    </w:p>
    <w:p w14:paraId="70ABEE83" w14:textId="4BA88891" w:rsidR="004C20AB" w:rsidRPr="00B76A73" w:rsidRDefault="004C20AB" w:rsidP="00230D29"/>
    <w:p w14:paraId="249DCE3B" w14:textId="77777777" w:rsidR="004C20AB" w:rsidRPr="00B76A73" w:rsidRDefault="004C20AB" w:rsidP="004C20AB"/>
    <w:p w14:paraId="44A583AB" w14:textId="48F01EF7" w:rsidR="004C20AB" w:rsidRPr="00B76A73" w:rsidRDefault="004C20AB" w:rsidP="004C20AB">
      <w:r w:rsidRPr="00B76A73">
        <w:rPr>
          <w:b/>
          <w:bCs/>
          <w:noProof/>
        </w:rPr>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sidRPr="00B76A73">
        <w:rPr>
          <w:b/>
          <w:bCs/>
        </w:rPr>
        <w:t xml:space="preserve">Better </w:t>
      </w:r>
      <w:r w:rsidRPr="00B76A73">
        <w:rPr>
          <w:b/>
          <w:bCs/>
        </w:rPr>
        <w:t>Transaction Comps</w:t>
      </w:r>
      <w:r w:rsidRPr="00B76A73">
        <w:br/>
        <w:t xml:space="preserve">Search for public and private M&amp;A transactions with </w:t>
      </w:r>
      <w:proofErr w:type="spellStart"/>
      <w:r w:rsidRPr="00B76A73">
        <w:t>TagniFi</w:t>
      </w:r>
      <w:proofErr w:type="spellEnd"/>
      <w:r w:rsidRPr="00B76A73">
        <w:t xml:space="preserve"> Web. Run your transaction comps within seconds by pasting the Deal ID into your Excel model. Every deal disclosed in an SEC filing (8-K, 10-K, or 10-Q) is available for your analysis. Choose from over 90 fields of data available for every deal. </w:t>
      </w:r>
    </w:p>
    <w:p w14:paraId="67E200C4" w14:textId="310AA887" w:rsidR="003B0B22" w:rsidRPr="00B76A73" w:rsidRDefault="003B0B22" w:rsidP="004C20AB">
      <w:pPr>
        <w:rPr>
          <w:b/>
          <w:bCs/>
        </w:rPr>
      </w:pPr>
      <w:r w:rsidRPr="00B76A73">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Pr="00B76A73" w:rsidRDefault="004C20AB" w:rsidP="004C20AB">
      <w:r w:rsidRPr="00B76A73">
        <w:rPr>
          <w:b/>
          <w:bCs/>
        </w:rPr>
        <w:t>Historical Beta and Volatility</w:t>
      </w:r>
      <w:r w:rsidRPr="00B76A73">
        <w:rPr>
          <w:b/>
          <w:bCs/>
        </w:rPr>
        <w:br/>
      </w:r>
      <w:r w:rsidRPr="00B76A73">
        <w:t xml:space="preserve">Calculate historical beta and volatility as of your valuation date automatically. Simply enter the tickers and valuation date in Excel </w:t>
      </w:r>
      <w:r w:rsidR="003B0B22" w:rsidRPr="00B76A73">
        <w:t>-</w:t>
      </w:r>
      <w:r w:rsidRPr="00B76A73">
        <w:t xml:space="preserve"> </w:t>
      </w:r>
      <w:proofErr w:type="spellStart"/>
      <w:r w:rsidRPr="00B76A73">
        <w:t>TagniFi</w:t>
      </w:r>
      <w:proofErr w:type="spellEnd"/>
      <w:r w:rsidRPr="00B76A73">
        <w:t xml:space="preserve"> does the rest.</w:t>
      </w:r>
      <w:r w:rsidR="003B0B22" w:rsidRPr="00B76A73">
        <w:t xml:space="preserve"> In addition to beta and volatility, there are over 40 Excel models available in the Model Library to help with your valuation report. </w:t>
      </w:r>
    </w:p>
    <w:p w14:paraId="42664782" w14:textId="50B2EA67" w:rsidR="003B0B22" w:rsidRPr="00B76A73" w:rsidRDefault="003B0B22" w:rsidP="004C20AB"/>
    <w:p w14:paraId="4808FD9A" w14:textId="7CD3F2CA" w:rsidR="003B0B22" w:rsidRPr="00B76A73" w:rsidRDefault="003B0B22" w:rsidP="004C20AB">
      <w:r w:rsidRPr="00B76A73">
        <w:rPr>
          <w:noProof/>
        </w:rPr>
        <w:lastRenderedPageBreak/>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sidRPr="00B76A73">
        <w:rPr>
          <w:b/>
          <w:bCs/>
        </w:rPr>
        <w:t>Interest Rates and Economic Dat</w:t>
      </w:r>
      <w:r w:rsidR="00BC7E45" w:rsidRPr="00B76A73">
        <w:rPr>
          <w:b/>
          <w:bCs/>
        </w:rPr>
        <w:t>a</w:t>
      </w:r>
      <w:r w:rsidRPr="00B76A73">
        <w:rPr>
          <w:b/>
          <w:bCs/>
        </w:rPr>
        <w:br/>
      </w:r>
      <w:r w:rsidRPr="00B76A73">
        <w:t xml:space="preserve">Automate the interest rates and economic data in your valuation report using the </w:t>
      </w:r>
      <w:proofErr w:type="spellStart"/>
      <w:r w:rsidRPr="00B76A73">
        <w:t>TagniFi</w:t>
      </w:r>
      <w:proofErr w:type="spellEnd"/>
      <w:r w:rsidRPr="00B76A73">
        <w:t xml:space="preserve"> Excel plugin. Choose from over 200,000 time series available. All data in this </w:t>
      </w:r>
      <w:r w:rsidRPr="00B76A73">
        <w:rPr>
          <w:i/>
          <w:iCs/>
        </w:rPr>
        <w:t>Quarterly Economic Update</w:t>
      </w:r>
      <w:r w:rsidRPr="00B76A73">
        <w:t xml:space="preserve"> </w:t>
      </w:r>
      <w:r w:rsidR="002C5E52" w:rsidRPr="00B76A73">
        <w:t>is</w:t>
      </w:r>
      <w:r w:rsidRPr="00B76A73">
        <w:t xml:space="preserve"> from the </w:t>
      </w:r>
      <w:proofErr w:type="spellStart"/>
      <w:r w:rsidRPr="00B76A73">
        <w:t>TagniFi</w:t>
      </w:r>
      <w:proofErr w:type="spellEnd"/>
      <w:r w:rsidRPr="00B76A73">
        <w:t xml:space="preserve"> platform.</w:t>
      </w:r>
      <w:r w:rsidR="002C5E52" w:rsidRPr="00B76A73">
        <w:t xml:space="preserve"> Use economic and interest rate dat</w:t>
      </w:r>
      <w:r w:rsidR="006C08FA" w:rsidRPr="00B76A73">
        <w:t>a</w:t>
      </w:r>
      <w:r w:rsidR="002C5E52" w:rsidRPr="00B76A73">
        <w:t xml:space="preserve"> for your own valuation models with the </w:t>
      </w:r>
      <w:proofErr w:type="spellStart"/>
      <w:r w:rsidR="002C5E52" w:rsidRPr="00B76A73">
        <w:t>TagniFi</w:t>
      </w:r>
      <w:proofErr w:type="spellEnd"/>
      <w:r w:rsidR="002C5E52" w:rsidRPr="00B76A73">
        <w:t xml:space="preserve"> Excel plugin.</w:t>
      </w:r>
    </w:p>
    <w:p w14:paraId="76A748D9" w14:textId="6DA146B3" w:rsidR="002D4C10" w:rsidRPr="00B76A73" w:rsidRDefault="002D4C10" w:rsidP="002D4C10">
      <w:pPr>
        <w:rPr>
          <w:b/>
          <w:bCs/>
        </w:rPr>
      </w:pPr>
      <w:r w:rsidRPr="00B76A73">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sidRPr="00B76A73">
        <w:rPr>
          <w:b/>
          <w:bCs/>
        </w:rPr>
        <w:br/>
        <w:t>Closed-End Mutual Fund Data</w:t>
      </w:r>
      <w:r w:rsidRPr="00B76A73">
        <w:rPr>
          <w:b/>
          <w:bCs/>
        </w:rPr>
        <w:br/>
      </w:r>
      <w:r w:rsidRPr="00B76A73">
        <w:t xml:space="preserve">Search for closed-end mutual funds by keyword, category, subcategory, and more with the </w:t>
      </w:r>
      <w:proofErr w:type="spellStart"/>
      <w:r w:rsidRPr="00B76A73">
        <w:t>TagniFi</w:t>
      </w:r>
      <w:proofErr w:type="spellEnd"/>
      <w:r w:rsidRPr="00B76A73">
        <w:t xml:space="preserve"> Console. Use the </w:t>
      </w:r>
      <w:proofErr w:type="spellStart"/>
      <w:r w:rsidRPr="00B76A73">
        <w:t>TagniFi</w:t>
      </w:r>
      <w:proofErr w:type="spellEnd"/>
      <w:r w:rsidRPr="00B76A73">
        <w:t xml:space="preserve"> Excel plugin to calculate historical discounts, yields, leverage, as of your valuation date automatically. Simply enter the tickers and valuation date in Excel - </w:t>
      </w:r>
      <w:proofErr w:type="spellStart"/>
      <w:r w:rsidRPr="00B76A73">
        <w:t>TagniFi</w:t>
      </w:r>
      <w:proofErr w:type="spellEnd"/>
      <w:r w:rsidRPr="00B76A73">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4"/>
      <w:footerReference w:type="defaul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196FF" w14:textId="77777777" w:rsidR="00DA6A84" w:rsidRDefault="00DA6A84" w:rsidP="00171C8E">
      <w:pPr>
        <w:spacing w:after="0" w:line="240" w:lineRule="auto"/>
      </w:pPr>
      <w:r>
        <w:separator/>
      </w:r>
    </w:p>
  </w:endnote>
  <w:endnote w:type="continuationSeparator" w:id="0">
    <w:p w14:paraId="6D4BBB5F" w14:textId="77777777" w:rsidR="00DA6A84" w:rsidRDefault="00DA6A84"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299E14D0" w:rsidR="00B36811" w:rsidRDefault="00B36811">
    <w:pPr>
      <w:pStyle w:val="Footer"/>
    </w:pPr>
    <w:r>
      <w:t>© 202</w:t>
    </w:r>
    <w:r w:rsidR="008048AD">
      <w:t>2</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0036E" w14:textId="77777777" w:rsidR="00DA6A84" w:rsidRDefault="00DA6A84" w:rsidP="00171C8E">
      <w:pPr>
        <w:spacing w:after="0" w:line="240" w:lineRule="auto"/>
      </w:pPr>
      <w:r>
        <w:separator/>
      </w:r>
    </w:p>
  </w:footnote>
  <w:footnote w:type="continuationSeparator" w:id="0">
    <w:p w14:paraId="29126299" w14:textId="77777777" w:rsidR="00DA6A84" w:rsidRDefault="00DA6A84" w:rsidP="00171C8E">
      <w:pPr>
        <w:spacing w:after="0" w:line="240" w:lineRule="auto"/>
      </w:pPr>
      <w:r>
        <w:continuationSeparator/>
      </w:r>
    </w:p>
  </w:footnote>
  <w:footnote w:id="1">
    <w:p w14:paraId="0A2FA1C7" w14:textId="219AE514" w:rsidR="00B36811" w:rsidRDefault="00B36811" w:rsidP="00EC7CB1">
      <w:pPr>
        <w:pStyle w:val="FootnoteText"/>
      </w:pPr>
      <w:r w:rsidRPr="000763E1">
        <w:rPr>
          <w:rStyle w:val="FootnoteReference"/>
          <w:sz w:val="16"/>
          <w:szCs w:val="16"/>
        </w:rPr>
        <w:footnoteRef/>
      </w:r>
      <w:r w:rsidRPr="000763E1">
        <w:rPr>
          <w:sz w:val="16"/>
          <w:szCs w:val="16"/>
        </w:rP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sidR="000763E1">
        <w:rPr>
          <w:rFonts w:cstheme="minorHAnsi"/>
          <w:i/>
          <w:iCs/>
          <w:color w:val="222222"/>
          <w:sz w:val="16"/>
          <w:szCs w:val="16"/>
          <w:shd w:val="clear" w:color="auto" w:fill="FFFFFF"/>
        </w:rPr>
        <w:t>Oct 31</w:t>
      </w:r>
      <w:r w:rsidR="00413F0F">
        <w:rPr>
          <w:rFonts w:cstheme="minorHAnsi"/>
          <w:i/>
          <w:iCs/>
          <w:color w:val="222222"/>
          <w:sz w:val="16"/>
          <w:szCs w:val="16"/>
          <w:shd w:val="clear" w:color="auto" w:fill="FFFFFF"/>
        </w:rPr>
        <w:t>, 2022</w:t>
      </w:r>
      <w:r w:rsidRPr="00DA3959">
        <w:rPr>
          <w:rFonts w:cstheme="minorHAnsi"/>
          <w:i/>
          <w:iCs/>
          <w:color w:val="222222"/>
          <w:sz w:val="16"/>
          <w:szCs w:val="16"/>
          <w:shd w:val="clear" w:color="auto" w:fill="FFFFFF"/>
        </w:rPr>
        <w:t>.</w:t>
      </w:r>
    </w:p>
  </w:footnote>
  <w:footnote w:id="2">
    <w:p w14:paraId="04EBBD96" w14:textId="084910E6"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0763E1">
        <w:rPr>
          <w:rFonts w:cstheme="minorHAnsi"/>
          <w:i/>
          <w:iCs/>
          <w:color w:val="222222"/>
          <w:sz w:val="16"/>
          <w:szCs w:val="16"/>
          <w:shd w:val="clear" w:color="auto" w:fill="FFFFFF"/>
        </w:rPr>
        <w:t>Oct 31</w:t>
      </w:r>
      <w:r>
        <w:rPr>
          <w:rFonts w:cstheme="minorHAnsi"/>
          <w:i/>
          <w:iCs/>
          <w:color w:val="222222"/>
          <w:sz w:val="16"/>
          <w:szCs w:val="16"/>
          <w:shd w:val="clear" w:color="auto" w:fill="FFFFFF"/>
        </w:rPr>
        <w:t>, 202</w:t>
      </w:r>
      <w:r w:rsidR="0079151F">
        <w:rPr>
          <w:rFonts w:cstheme="minorHAnsi"/>
          <w:i/>
          <w:iCs/>
          <w:color w:val="222222"/>
          <w:sz w:val="16"/>
          <w:szCs w:val="16"/>
          <w:shd w:val="clear" w:color="auto" w:fill="FFFFFF"/>
        </w:rPr>
        <w:t>2</w:t>
      </w:r>
      <w:r w:rsidRPr="00DA3959">
        <w:rPr>
          <w:rFonts w:cstheme="minorHAnsi"/>
          <w:i/>
          <w:iCs/>
          <w:color w:val="222222"/>
          <w:sz w:val="16"/>
          <w:szCs w:val="16"/>
          <w:shd w:val="clear" w:color="auto" w:fill="FFFFFF"/>
        </w:rPr>
        <w:t>.</w:t>
      </w:r>
    </w:p>
  </w:footnote>
  <w:footnote w:id="3">
    <w:p w14:paraId="517776FA" w14:textId="1980319B" w:rsidR="00B36811" w:rsidRPr="000763E1" w:rsidRDefault="00B36811" w:rsidP="000763E1">
      <w:pPr>
        <w:pStyle w:val="FootnoteText"/>
        <w:rPr>
          <w:rFonts w:cstheme="minorHAnsi"/>
          <w:sz w:val="16"/>
          <w:szCs w:val="16"/>
          <w:lang w:val="en-PH"/>
        </w:rPr>
      </w:pPr>
      <w:r w:rsidRPr="000763E1">
        <w:rPr>
          <w:rStyle w:val="FootnoteReference"/>
          <w:sz w:val="16"/>
          <w:szCs w:val="16"/>
        </w:rPr>
        <w:footnoteRef/>
      </w:r>
      <w:r w:rsidRPr="000763E1">
        <w:rPr>
          <w:sz w:val="16"/>
          <w:szCs w:val="16"/>
        </w:rPr>
        <w:t xml:space="preserve"> </w:t>
      </w:r>
      <w:r w:rsidRPr="000763E1">
        <w:rPr>
          <w:rFonts w:cstheme="minorHAnsi"/>
          <w:sz w:val="16"/>
          <w:szCs w:val="16"/>
          <w:lang w:val="en-PH"/>
        </w:rPr>
        <w:t>U.S. Bureau of Economic Analysis, Real Gross Domestic Product [GDPC1],</w:t>
      </w:r>
      <w:r w:rsidRPr="000763E1">
        <w:rPr>
          <w:rFonts w:cstheme="minorHAnsi"/>
          <w:i/>
          <w:iCs/>
          <w:color w:val="222222"/>
          <w:sz w:val="16"/>
          <w:szCs w:val="16"/>
          <w:shd w:val="clear" w:color="auto" w:fill="FFFFFF"/>
        </w:rPr>
        <w:t xml:space="preserve"> retrieved from FRED, Federal Reserve Bank of St. Louis; </w:t>
      </w:r>
      <w:hyperlink r:id="rId3" w:history="1">
        <w:r w:rsidRPr="000763E1">
          <w:rPr>
            <w:rStyle w:val="Hyperlink"/>
            <w:rFonts w:cstheme="minorHAnsi"/>
            <w:i/>
            <w:iCs/>
            <w:sz w:val="16"/>
            <w:szCs w:val="16"/>
            <w:shd w:val="clear" w:color="auto" w:fill="FFFFFF"/>
          </w:rPr>
          <w:t>https://fred.stlouisfed.org/series/GDPC1</w:t>
        </w:r>
      </w:hyperlink>
      <w:r w:rsidRPr="000763E1">
        <w:rPr>
          <w:rFonts w:cstheme="minorHAnsi"/>
          <w:i/>
          <w:iCs/>
          <w:color w:val="222222"/>
          <w:sz w:val="16"/>
          <w:szCs w:val="16"/>
          <w:shd w:val="clear" w:color="auto" w:fill="FFFFFF"/>
        </w:rPr>
        <w:t xml:space="preserve">, </w:t>
      </w:r>
      <w:r w:rsidR="000763E1" w:rsidRPr="000763E1">
        <w:rPr>
          <w:rFonts w:cstheme="minorHAnsi"/>
          <w:i/>
          <w:iCs/>
          <w:color w:val="222222"/>
          <w:sz w:val="16"/>
          <w:szCs w:val="16"/>
          <w:shd w:val="clear" w:color="auto" w:fill="FFFFFF"/>
        </w:rPr>
        <w:t>Oct 30</w:t>
      </w:r>
      <w:r w:rsidRPr="000763E1">
        <w:rPr>
          <w:rFonts w:cstheme="minorHAnsi"/>
          <w:i/>
          <w:iCs/>
          <w:color w:val="222222"/>
          <w:sz w:val="16"/>
          <w:szCs w:val="16"/>
          <w:shd w:val="clear" w:color="auto" w:fill="FFFFFF"/>
        </w:rPr>
        <w:t>, 202</w:t>
      </w:r>
      <w:r w:rsidR="00967B10" w:rsidRPr="000763E1">
        <w:rPr>
          <w:rFonts w:cstheme="minorHAnsi"/>
          <w:i/>
          <w:iCs/>
          <w:color w:val="222222"/>
          <w:sz w:val="16"/>
          <w:szCs w:val="16"/>
          <w:shd w:val="clear" w:color="auto" w:fill="FFFFFF"/>
        </w:rPr>
        <w:t>2</w:t>
      </w:r>
      <w:r w:rsidRPr="000763E1">
        <w:rPr>
          <w:rFonts w:cstheme="minorHAnsi"/>
          <w:i/>
          <w:iCs/>
          <w:color w:val="222222"/>
          <w:sz w:val="16"/>
          <w:szCs w:val="16"/>
          <w:shd w:val="clear" w:color="auto" w:fill="FFFFFF"/>
        </w:rPr>
        <w:t>.</w:t>
      </w:r>
    </w:p>
  </w:footnote>
  <w:footnote w:id="4">
    <w:p w14:paraId="15C9993D" w14:textId="44D5BFE2" w:rsidR="00DD2ED8" w:rsidRPr="000763E1" w:rsidRDefault="00DD2ED8" w:rsidP="000763E1">
      <w:pPr>
        <w:pStyle w:val="FootnoteText"/>
        <w:rPr>
          <w:rFonts w:cstheme="minorHAnsi"/>
          <w:i/>
          <w:iCs/>
          <w:sz w:val="16"/>
          <w:szCs w:val="16"/>
        </w:rPr>
      </w:pPr>
      <w:r w:rsidRPr="000763E1">
        <w:rPr>
          <w:rStyle w:val="FootnoteReference"/>
          <w:rFonts w:cstheme="minorHAnsi"/>
          <w:sz w:val="16"/>
          <w:szCs w:val="16"/>
        </w:rPr>
        <w:footnoteRef/>
      </w:r>
      <w:r w:rsidR="000763E1" w:rsidRPr="000763E1">
        <w:rPr>
          <w:rFonts w:cstheme="minorHAnsi"/>
          <w:color w:val="222222"/>
          <w:sz w:val="16"/>
          <w:szCs w:val="16"/>
          <w:shd w:val="clear" w:color="auto" w:fill="FFFFFF"/>
        </w:rPr>
        <w:t xml:space="preserve"> </w:t>
      </w:r>
      <w:r w:rsidRPr="000763E1">
        <w:rPr>
          <w:rFonts w:cstheme="minorHAnsi"/>
          <w:sz w:val="16"/>
          <w:szCs w:val="16"/>
        </w:rPr>
        <w:t xml:space="preserve">U.S. </w:t>
      </w:r>
      <w:r w:rsidRPr="000763E1">
        <w:rPr>
          <w:rFonts w:cstheme="minorHAnsi"/>
          <w:sz w:val="16"/>
          <w:szCs w:val="16"/>
          <w:lang w:val="en-PH"/>
        </w:rPr>
        <w:t>Bureau o</w:t>
      </w:r>
      <w:r w:rsidRPr="000763E1">
        <w:rPr>
          <w:rFonts w:cstheme="minorHAnsi"/>
          <w:sz w:val="16"/>
          <w:szCs w:val="16"/>
        </w:rPr>
        <w:t xml:space="preserve">f Economic Analysis, Contributions to percent change in real gross domestic product: Net exports of goods and services [A019RY2Q224SBEA], </w:t>
      </w:r>
      <w:r w:rsidRPr="000763E1">
        <w:rPr>
          <w:rFonts w:cstheme="minorHAnsi"/>
          <w:i/>
          <w:iCs/>
          <w:sz w:val="16"/>
          <w:szCs w:val="16"/>
        </w:rPr>
        <w:t>retrieved from FRED, Federal Reserve Bank of St. Louis;</w:t>
      </w:r>
      <w:r w:rsidRPr="000763E1">
        <w:rPr>
          <w:rFonts w:cstheme="minorHAnsi"/>
          <w:i/>
          <w:iCs/>
          <w:color w:val="222222"/>
          <w:sz w:val="16"/>
          <w:szCs w:val="16"/>
          <w:shd w:val="clear" w:color="auto" w:fill="FFFFFF"/>
          <w:lang w:val="en-PH"/>
        </w:rPr>
        <w:t xml:space="preserve"> </w:t>
      </w:r>
      <w:hyperlink r:id="rId4" w:history="1">
        <w:r w:rsidRPr="000763E1">
          <w:rPr>
            <w:rStyle w:val="Hyperlink"/>
            <w:rFonts w:cstheme="minorHAnsi"/>
            <w:i/>
            <w:iCs/>
            <w:sz w:val="16"/>
            <w:szCs w:val="16"/>
            <w:shd w:val="clear" w:color="auto" w:fill="FFFFFF"/>
            <w:lang w:val="en-PH"/>
          </w:rPr>
          <w:t>https://fred.stlouisfed.org/series/A019RY2Q224SBEA</w:t>
        </w:r>
      </w:hyperlink>
      <w:r w:rsidRPr="000763E1">
        <w:rPr>
          <w:rFonts w:cstheme="minorHAnsi"/>
          <w:i/>
          <w:iCs/>
          <w:sz w:val="16"/>
          <w:szCs w:val="16"/>
        </w:rPr>
        <w:t>, Oct 30, 2022.</w:t>
      </w:r>
    </w:p>
  </w:footnote>
  <w:footnote w:id="5">
    <w:p w14:paraId="72088223" w14:textId="49E6F226" w:rsidR="00DD2ED8" w:rsidRPr="000763E1" w:rsidRDefault="00DD2ED8" w:rsidP="000763E1">
      <w:pPr>
        <w:pStyle w:val="FootnoteText"/>
        <w:rPr>
          <w:rFonts w:cstheme="minorHAnsi"/>
          <w:i/>
          <w:iCs/>
          <w:sz w:val="16"/>
          <w:szCs w:val="16"/>
        </w:rPr>
      </w:pPr>
      <w:r w:rsidRPr="000763E1">
        <w:rPr>
          <w:rStyle w:val="FootnoteReference"/>
          <w:rFonts w:cstheme="minorHAnsi"/>
          <w:sz w:val="16"/>
          <w:szCs w:val="16"/>
        </w:rPr>
        <w:footnoteRef/>
      </w:r>
      <w:r w:rsidR="000763E1" w:rsidRPr="000763E1">
        <w:rPr>
          <w:rFonts w:cstheme="minorHAnsi"/>
          <w:sz w:val="16"/>
          <w:szCs w:val="16"/>
        </w:rPr>
        <w:t xml:space="preserve"> </w:t>
      </w:r>
      <w:r w:rsidRPr="000763E1">
        <w:rPr>
          <w:rFonts w:cstheme="minorHAnsi"/>
          <w:sz w:val="16"/>
          <w:szCs w:val="16"/>
        </w:rPr>
        <w:t xml:space="preserve">U.S. Bureau of Economic Analysis, Contributions to percent change in real gross domestic product: Personal consumption expenditures [DPCERY2Q224SBEA], </w:t>
      </w:r>
      <w:r w:rsidRPr="000763E1">
        <w:rPr>
          <w:rFonts w:cstheme="minorHAnsi"/>
          <w:i/>
          <w:iCs/>
          <w:sz w:val="16"/>
          <w:szCs w:val="16"/>
        </w:rPr>
        <w:t xml:space="preserve">retrieved from FRED, Federal Reserve Bank of St. Louis; </w:t>
      </w:r>
      <w:hyperlink r:id="rId5" w:history="1">
        <w:r w:rsidRPr="000763E1">
          <w:rPr>
            <w:rStyle w:val="Hyperlink"/>
            <w:rFonts w:cstheme="minorHAnsi"/>
            <w:i/>
            <w:iCs/>
            <w:sz w:val="16"/>
            <w:szCs w:val="16"/>
          </w:rPr>
          <w:t>https://fred.stlouisfed.org/series/DPCERY2Q224SBEA</w:t>
        </w:r>
      </w:hyperlink>
      <w:r w:rsidRPr="000763E1">
        <w:rPr>
          <w:rFonts w:cstheme="minorHAnsi"/>
          <w:i/>
          <w:iCs/>
          <w:sz w:val="16"/>
          <w:szCs w:val="16"/>
        </w:rPr>
        <w:t>, Oct 30, 2022.</w:t>
      </w:r>
    </w:p>
  </w:footnote>
  <w:footnote w:id="6">
    <w:p w14:paraId="4B7575C5" w14:textId="7455C5EB" w:rsidR="00DD2ED8" w:rsidRPr="000763E1" w:rsidRDefault="00DD2ED8" w:rsidP="000763E1">
      <w:pPr>
        <w:pStyle w:val="FootnoteText"/>
        <w:rPr>
          <w:rFonts w:cstheme="minorHAnsi"/>
          <w:sz w:val="16"/>
          <w:szCs w:val="16"/>
        </w:rPr>
      </w:pPr>
      <w:r w:rsidRPr="000763E1">
        <w:rPr>
          <w:rStyle w:val="FootnoteReference"/>
          <w:rFonts w:cstheme="minorHAnsi"/>
          <w:sz w:val="16"/>
          <w:szCs w:val="16"/>
        </w:rPr>
        <w:footnoteRef/>
      </w:r>
      <w:r w:rsidR="000763E1" w:rsidRPr="000763E1">
        <w:rPr>
          <w:rFonts w:cstheme="minorHAnsi"/>
          <w:sz w:val="16"/>
          <w:szCs w:val="16"/>
        </w:rPr>
        <w:t xml:space="preserve"> </w:t>
      </w:r>
      <w:r w:rsidRPr="000763E1">
        <w:rPr>
          <w:rFonts w:cstheme="minorHAnsi"/>
          <w:sz w:val="16"/>
          <w:szCs w:val="16"/>
        </w:rPr>
        <w:t xml:space="preserve">U.S. Bureau of Economic Analysis, Contributions to percent change in real gross domestic product: Government consumption expenditures and gross investment [A822RY2Q224SBEA], </w:t>
      </w:r>
      <w:r w:rsidRPr="000763E1">
        <w:rPr>
          <w:rFonts w:cstheme="minorHAnsi"/>
          <w:i/>
          <w:iCs/>
          <w:sz w:val="16"/>
          <w:szCs w:val="16"/>
        </w:rPr>
        <w:t xml:space="preserve">retrieved from FRED, Federal Reserve Bank of St. Louis; </w:t>
      </w:r>
      <w:hyperlink r:id="rId6" w:history="1">
        <w:r w:rsidRPr="000763E1">
          <w:rPr>
            <w:rStyle w:val="Hyperlink"/>
            <w:rFonts w:cstheme="minorHAnsi"/>
            <w:i/>
            <w:iCs/>
            <w:sz w:val="16"/>
            <w:szCs w:val="16"/>
          </w:rPr>
          <w:t>https://fred.stlouisfed.org/series/A822RY2Q224SBEA</w:t>
        </w:r>
      </w:hyperlink>
      <w:r w:rsidRPr="000763E1">
        <w:rPr>
          <w:rFonts w:cstheme="minorHAnsi"/>
          <w:i/>
          <w:iCs/>
          <w:sz w:val="16"/>
          <w:szCs w:val="16"/>
        </w:rPr>
        <w:t>, Oct 30, 2022.</w:t>
      </w:r>
    </w:p>
  </w:footnote>
  <w:footnote w:id="7">
    <w:p w14:paraId="7433E68C" w14:textId="06AF31E2" w:rsidR="00DD2ED8" w:rsidRPr="000763E1" w:rsidRDefault="00DD2ED8" w:rsidP="000763E1">
      <w:pPr>
        <w:pStyle w:val="FootnoteText"/>
        <w:rPr>
          <w:rFonts w:cstheme="minorHAnsi"/>
          <w:i/>
          <w:iCs/>
          <w:sz w:val="16"/>
          <w:szCs w:val="16"/>
        </w:rPr>
      </w:pPr>
      <w:r w:rsidRPr="000763E1">
        <w:rPr>
          <w:rStyle w:val="FootnoteReference"/>
          <w:rFonts w:cstheme="minorHAnsi"/>
          <w:sz w:val="16"/>
          <w:szCs w:val="16"/>
        </w:rPr>
        <w:footnoteRef/>
      </w:r>
      <w:r w:rsidR="000763E1" w:rsidRPr="000763E1">
        <w:rPr>
          <w:rFonts w:cstheme="minorHAnsi"/>
          <w:sz w:val="16"/>
          <w:szCs w:val="16"/>
        </w:rPr>
        <w:t xml:space="preserve"> </w:t>
      </w:r>
      <w:r w:rsidRPr="000763E1">
        <w:rPr>
          <w:rFonts w:cstheme="minorHAnsi"/>
          <w:sz w:val="16"/>
          <w:szCs w:val="16"/>
        </w:rPr>
        <w:t xml:space="preserve">U.S. Bureau of Economic Analysis, Contributions to percent change in real gross domestic product: Gross private domestic investment [A006RY2Q224SBEA], </w:t>
      </w:r>
      <w:r w:rsidRPr="000763E1">
        <w:rPr>
          <w:rFonts w:cstheme="minorHAnsi"/>
          <w:i/>
          <w:iCs/>
          <w:sz w:val="16"/>
          <w:szCs w:val="16"/>
        </w:rPr>
        <w:t xml:space="preserve">retrieved from FRED, Federal Reserve Bank of St. Louis; </w:t>
      </w:r>
      <w:hyperlink r:id="rId7" w:history="1">
        <w:r w:rsidRPr="000763E1">
          <w:rPr>
            <w:rStyle w:val="Hyperlink"/>
            <w:rFonts w:cstheme="minorHAnsi"/>
            <w:i/>
            <w:iCs/>
            <w:sz w:val="16"/>
            <w:szCs w:val="16"/>
          </w:rPr>
          <w:t>https://fred.stlouisfed.org/series/A006RY2Q224SBEA</w:t>
        </w:r>
      </w:hyperlink>
      <w:r w:rsidRPr="000763E1">
        <w:rPr>
          <w:rFonts w:cstheme="minorHAnsi"/>
          <w:i/>
          <w:iCs/>
          <w:sz w:val="16"/>
          <w:szCs w:val="16"/>
        </w:rPr>
        <w:t>, Oct 30, 2022.</w:t>
      </w:r>
    </w:p>
  </w:footnote>
  <w:footnote w:id="8">
    <w:p w14:paraId="7FABCB6E" w14:textId="3A6EBB68" w:rsidR="00B36811" w:rsidRPr="006A114D" w:rsidRDefault="00B36811" w:rsidP="00D03164">
      <w:pPr>
        <w:pStyle w:val="FootnoteText"/>
        <w:rPr>
          <w:lang w:val="en-PH"/>
        </w:rPr>
      </w:pPr>
      <w:r w:rsidRPr="000763E1">
        <w:rPr>
          <w:rStyle w:val="FootnoteReference"/>
          <w:sz w:val="16"/>
          <w:szCs w:val="16"/>
        </w:rPr>
        <w:footnoteRef/>
      </w:r>
      <w:r w:rsidRPr="000763E1">
        <w:rPr>
          <w:sz w:val="16"/>
          <w:szCs w:val="16"/>
        </w:rPr>
        <w:t xml:space="preserve"> </w:t>
      </w:r>
      <w:r w:rsidRPr="000763E1">
        <w:rPr>
          <w:sz w:val="16"/>
          <w:szCs w:val="16"/>
          <w:lang w:val="en-PH"/>
        </w:rPr>
        <w:t>Board of</w:t>
      </w:r>
      <w:r w:rsidRPr="00BF5CE2">
        <w:rPr>
          <w:sz w:val="16"/>
          <w:szCs w:val="16"/>
          <w:lang w:val="en-PH"/>
        </w:rPr>
        <w:t xml:space="preserve">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0763E1">
        <w:rPr>
          <w:rFonts w:cstheme="minorHAnsi"/>
          <w:i/>
          <w:iCs/>
          <w:color w:val="222222"/>
          <w:sz w:val="16"/>
          <w:szCs w:val="16"/>
          <w:shd w:val="clear" w:color="auto" w:fill="FFFFFF"/>
        </w:rPr>
        <w:t>Oct</w:t>
      </w:r>
      <w:r w:rsidR="00294A8D">
        <w:rPr>
          <w:rFonts w:cstheme="minorHAnsi"/>
          <w:i/>
          <w:iCs/>
          <w:color w:val="222222"/>
          <w:sz w:val="16"/>
          <w:szCs w:val="16"/>
          <w:shd w:val="clear" w:color="auto" w:fill="FFFFFF"/>
        </w:rPr>
        <w:t xml:space="preserve"> 3</w:t>
      </w:r>
      <w:r w:rsidR="000763E1">
        <w:rPr>
          <w:rFonts w:cstheme="minorHAnsi"/>
          <w:i/>
          <w:iCs/>
          <w:color w:val="222222"/>
          <w:sz w:val="16"/>
          <w:szCs w:val="16"/>
          <w:shd w:val="clear" w:color="auto" w:fill="FFFFFF"/>
        </w:rPr>
        <w:t>1</w:t>
      </w:r>
      <w:r>
        <w:rPr>
          <w:rFonts w:cstheme="minorHAnsi"/>
          <w:i/>
          <w:iCs/>
          <w:color w:val="222222"/>
          <w:sz w:val="16"/>
          <w:szCs w:val="16"/>
          <w:shd w:val="clear" w:color="auto" w:fill="FFFFFF"/>
        </w:rPr>
        <w:t>, 202</w:t>
      </w:r>
      <w:r w:rsidR="00953DF2">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9">
    <w:p w14:paraId="036626D0" w14:textId="058773A2" w:rsidR="00B36811" w:rsidRPr="000763E1" w:rsidRDefault="00B36811" w:rsidP="007A05AD">
      <w:pPr>
        <w:pStyle w:val="FootnoteText"/>
        <w:rPr>
          <w:sz w:val="16"/>
          <w:szCs w:val="16"/>
        </w:rPr>
      </w:pPr>
      <w:r w:rsidRPr="000763E1">
        <w:rPr>
          <w:rStyle w:val="FootnoteReference"/>
          <w:sz w:val="16"/>
          <w:szCs w:val="16"/>
        </w:rPr>
        <w:footnoteRef/>
      </w:r>
      <w:r w:rsidRPr="000763E1">
        <w:rPr>
          <w:sz w:val="16"/>
          <w:szCs w:val="16"/>
          <w:lang w:val="en-PH"/>
        </w:rPr>
        <w:t xml:space="preserve"> Board of Governors of the Federal Reserve System (US), Capacity Utilization, Manufacturing (NAICS), </w:t>
      </w:r>
      <w:r w:rsidRPr="000763E1">
        <w:rPr>
          <w:i/>
          <w:iCs/>
          <w:sz w:val="16"/>
          <w:szCs w:val="16"/>
          <w:lang w:val="en-PH"/>
        </w:rPr>
        <w:t xml:space="preserve">retrieved from FRED, Federal Reserve Bank of St. Louis; </w:t>
      </w:r>
      <w:hyperlink r:id="rId9" w:history="1">
        <w:r w:rsidRPr="000763E1">
          <w:rPr>
            <w:rStyle w:val="Hyperlink"/>
            <w:i/>
            <w:iCs/>
            <w:sz w:val="16"/>
            <w:szCs w:val="16"/>
            <w:lang w:val="en-PH"/>
          </w:rPr>
          <w:t>https://fred.stlouisfed.org/series/MCUMFN</w:t>
        </w:r>
      </w:hyperlink>
      <w:r w:rsidRPr="000763E1">
        <w:rPr>
          <w:i/>
          <w:iCs/>
          <w:sz w:val="16"/>
          <w:szCs w:val="16"/>
          <w:lang w:val="en-PH"/>
        </w:rPr>
        <w:t xml:space="preserve">, </w:t>
      </w:r>
      <w:r w:rsidR="00720F25">
        <w:rPr>
          <w:i/>
          <w:iCs/>
          <w:sz w:val="16"/>
          <w:szCs w:val="16"/>
          <w:lang w:val="en-PH"/>
        </w:rPr>
        <w:t>Oct 31</w:t>
      </w:r>
      <w:r w:rsidRPr="000763E1">
        <w:rPr>
          <w:i/>
          <w:iCs/>
          <w:sz w:val="16"/>
          <w:szCs w:val="16"/>
          <w:lang w:val="en-PH"/>
        </w:rPr>
        <w:t>, 202</w:t>
      </w:r>
      <w:r w:rsidR="00455D78" w:rsidRPr="000763E1">
        <w:rPr>
          <w:i/>
          <w:iCs/>
          <w:sz w:val="16"/>
          <w:szCs w:val="16"/>
          <w:lang w:val="en-PH"/>
        </w:rPr>
        <w:t>2</w:t>
      </w:r>
      <w:r w:rsidR="006B1EB1" w:rsidRPr="000763E1">
        <w:rPr>
          <w:i/>
          <w:iCs/>
          <w:sz w:val="16"/>
          <w:szCs w:val="16"/>
          <w:lang w:val="en-PH"/>
        </w:rPr>
        <w:t>.</w:t>
      </w:r>
    </w:p>
  </w:footnote>
  <w:footnote w:id="10">
    <w:p w14:paraId="5D03BFAC" w14:textId="555F9810" w:rsidR="00B36811" w:rsidRPr="000763E1" w:rsidRDefault="00B36811" w:rsidP="00952E0A">
      <w:pPr>
        <w:pStyle w:val="FootnoteText"/>
        <w:rPr>
          <w:rFonts w:ascii="Times New Roman" w:eastAsia="Times New Roman" w:hAnsi="Times New Roman" w:cs="Times New Roman"/>
          <w:sz w:val="16"/>
          <w:szCs w:val="16"/>
        </w:rPr>
      </w:pPr>
      <w:r w:rsidRPr="000763E1">
        <w:rPr>
          <w:rStyle w:val="FootnoteReference"/>
          <w:sz w:val="16"/>
          <w:szCs w:val="16"/>
        </w:rPr>
        <w:footnoteRef/>
      </w:r>
      <w:r w:rsidRPr="000763E1">
        <w:rPr>
          <w:sz w:val="16"/>
          <w:szCs w:val="16"/>
        </w:rPr>
        <w:t xml:space="preserve"> </w:t>
      </w:r>
      <w:r w:rsidRPr="000763E1">
        <w:rPr>
          <w:sz w:val="16"/>
          <w:szCs w:val="16"/>
          <w:lang w:val="en-PH"/>
        </w:rPr>
        <w:t xml:space="preserve">Board of Governors of the Federal Reserve System (US), Federal Funds Effective Rate [FEDFUNDS], </w:t>
      </w:r>
      <w:r w:rsidRPr="000763E1">
        <w:rPr>
          <w:i/>
          <w:iCs/>
          <w:sz w:val="16"/>
          <w:szCs w:val="16"/>
          <w:lang w:val="en-PH"/>
        </w:rPr>
        <w:t xml:space="preserve">retrieved from FRED, Federal Reserve Bank of St. Louis; </w:t>
      </w:r>
      <w:hyperlink r:id="rId10" w:history="1">
        <w:r w:rsidRPr="000763E1">
          <w:rPr>
            <w:rStyle w:val="Hyperlink"/>
            <w:i/>
            <w:iCs/>
            <w:sz w:val="16"/>
            <w:szCs w:val="16"/>
            <w:lang w:val="en-PH"/>
          </w:rPr>
          <w:t>https://fred.stlouisfed.org/series/FEDFUNDS</w:t>
        </w:r>
      </w:hyperlink>
      <w:r w:rsidRPr="000763E1">
        <w:rPr>
          <w:i/>
          <w:iCs/>
          <w:sz w:val="16"/>
          <w:szCs w:val="16"/>
          <w:lang w:val="en-PH"/>
        </w:rPr>
        <w:t xml:space="preserve">, </w:t>
      </w:r>
      <w:r w:rsidR="00720F25">
        <w:rPr>
          <w:i/>
          <w:iCs/>
          <w:sz w:val="16"/>
          <w:szCs w:val="16"/>
          <w:lang w:val="en-PH"/>
        </w:rPr>
        <w:t>Oct 31</w:t>
      </w:r>
      <w:r w:rsidRPr="000763E1">
        <w:rPr>
          <w:i/>
          <w:iCs/>
          <w:sz w:val="16"/>
          <w:szCs w:val="16"/>
          <w:lang w:val="en-PH"/>
        </w:rPr>
        <w:t>, 202</w:t>
      </w:r>
      <w:r w:rsidR="00455D78" w:rsidRPr="000763E1">
        <w:rPr>
          <w:i/>
          <w:iCs/>
          <w:sz w:val="16"/>
          <w:szCs w:val="16"/>
          <w:lang w:val="en-PH"/>
        </w:rPr>
        <w:t>2</w:t>
      </w:r>
      <w:r w:rsidRPr="000763E1">
        <w:rPr>
          <w:i/>
          <w:iCs/>
          <w:sz w:val="16"/>
          <w:szCs w:val="16"/>
          <w:lang w:val="en-PH"/>
        </w:rPr>
        <w:t>.</w:t>
      </w:r>
    </w:p>
  </w:footnote>
  <w:footnote w:id="11">
    <w:p w14:paraId="2BE1B367" w14:textId="31037629" w:rsidR="00B36811" w:rsidRDefault="00B36811">
      <w:pPr>
        <w:pStyle w:val="FootnoteText"/>
      </w:pPr>
      <w:r w:rsidRPr="000763E1">
        <w:rPr>
          <w:rStyle w:val="FootnoteReference"/>
          <w:sz w:val="16"/>
          <w:szCs w:val="16"/>
        </w:rPr>
        <w:footnoteRef/>
      </w:r>
      <w:r w:rsidRPr="000763E1">
        <w:rPr>
          <w:sz w:val="16"/>
          <w:szCs w:val="16"/>
        </w:rPr>
        <w:t xml:space="preserve"> </w:t>
      </w:r>
      <w:r w:rsidRPr="000763E1">
        <w:rPr>
          <w:sz w:val="16"/>
          <w:szCs w:val="16"/>
          <w:lang w:val="en-PH"/>
        </w:rPr>
        <w:t>Selected Interest Rates Instruments, Yields in percent per annum,</w:t>
      </w:r>
      <w:r w:rsidRPr="000763E1">
        <w:rPr>
          <w:i/>
          <w:iCs/>
          <w:sz w:val="16"/>
          <w:szCs w:val="16"/>
          <w:lang w:val="en-PH"/>
        </w:rPr>
        <w:t xml:space="preserve"> retrieved from FRED, Federal Reserve Bank of St. Louis; </w:t>
      </w:r>
      <w:hyperlink r:id="rId11" w:history="1">
        <w:r w:rsidR="002B0DF1" w:rsidRPr="000763E1">
          <w:rPr>
            <w:rStyle w:val="Hyperlink"/>
            <w:i/>
            <w:iCs/>
            <w:sz w:val="16"/>
            <w:szCs w:val="16"/>
            <w:lang w:val="en-PH"/>
          </w:rPr>
          <w:t>https://fred.stlouisfed.org/release/tables?rid=18&amp;eid=289&amp;od=2022-06-30</w:t>
        </w:r>
      </w:hyperlink>
      <w:r w:rsidRPr="00B65667">
        <w:rPr>
          <w:i/>
          <w:iCs/>
          <w:sz w:val="16"/>
          <w:szCs w:val="16"/>
          <w:lang w:val="en-PH"/>
        </w:rPr>
        <w:t xml:space="preserve">, </w:t>
      </w:r>
      <w:r w:rsidR="00720F25">
        <w:rPr>
          <w:i/>
          <w:iCs/>
          <w:sz w:val="16"/>
          <w:szCs w:val="16"/>
          <w:lang w:val="en-PH"/>
        </w:rPr>
        <w:t>Oct 31</w:t>
      </w:r>
      <w:r w:rsidR="00D63AB3">
        <w:rPr>
          <w:i/>
          <w:iCs/>
          <w:sz w:val="16"/>
          <w:szCs w:val="16"/>
          <w:lang w:val="en-PH"/>
        </w:rPr>
        <w:t>,</w:t>
      </w:r>
      <w:r>
        <w:rPr>
          <w:i/>
          <w:iCs/>
          <w:sz w:val="16"/>
          <w:szCs w:val="16"/>
          <w:lang w:val="en-PH"/>
        </w:rPr>
        <w:t xml:space="preserve"> 202</w:t>
      </w:r>
      <w:r w:rsidR="00455D78">
        <w:rPr>
          <w:i/>
          <w:iCs/>
          <w:sz w:val="16"/>
          <w:szCs w:val="16"/>
          <w:lang w:val="en-PH"/>
        </w:rPr>
        <w:t>2</w:t>
      </w:r>
      <w:r w:rsidRPr="00B65667">
        <w:rPr>
          <w:i/>
          <w:iCs/>
          <w:sz w:val="16"/>
          <w:szCs w:val="16"/>
          <w:lang w:val="en-PH"/>
        </w:rPr>
        <w:t>.</w:t>
      </w:r>
    </w:p>
  </w:footnote>
  <w:footnote w:id="12">
    <w:p w14:paraId="5D342EB9" w14:textId="707D9C9A" w:rsidR="003A4C56" w:rsidRPr="00BF5CE2" w:rsidRDefault="003A4C56" w:rsidP="003A4C56">
      <w:pPr>
        <w:pStyle w:val="FootnoteText"/>
        <w:rPr>
          <w:sz w:val="16"/>
          <w:szCs w:val="16"/>
          <w:lang w:val="en-PH"/>
        </w:rPr>
      </w:pPr>
      <w:r w:rsidRPr="003A4C56">
        <w:rPr>
          <w:rStyle w:val="FootnoteReference"/>
        </w:rPr>
        <w:footnoteRef/>
      </w:r>
      <w:r w:rsidRPr="003A4C56">
        <w:t xml:space="preserve"> </w:t>
      </w:r>
      <w:r w:rsidRPr="005E1BD2">
        <w:rPr>
          <w:sz w:val="16"/>
          <w:szCs w:val="16"/>
          <w:lang w:val="en-PH"/>
        </w:rPr>
        <w:t xml:space="preserve">Board of Governors of the Federal Reserve System (US), Federal Funds Target Range - Upper Limit [DFEDTARU], </w:t>
      </w:r>
      <w:r w:rsidRPr="005E1BD2">
        <w:rPr>
          <w:i/>
          <w:iCs/>
          <w:sz w:val="16"/>
          <w:szCs w:val="16"/>
          <w:lang w:val="en-PH"/>
        </w:rPr>
        <w:t xml:space="preserve">retrieved from FRED, Federal Reserve Bank of St. Louis; </w:t>
      </w:r>
      <w:hyperlink r:id="rId12" w:history="1">
        <w:r w:rsidRPr="005E1BD2">
          <w:rPr>
            <w:rStyle w:val="Hyperlink"/>
            <w:i/>
            <w:iCs/>
            <w:sz w:val="16"/>
            <w:szCs w:val="16"/>
            <w:lang w:val="en-PH"/>
          </w:rPr>
          <w:t>https://fred.stlouisfed.org/series/DFEDTARU</w:t>
        </w:r>
      </w:hyperlink>
      <w:r w:rsidRPr="005E1BD2">
        <w:rPr>
          <w:i/>
          <w:iCs/>
          <w:sz w:val="16"/>
          <w:szCs w:val="16"/>
          <w:lang w:val="en-PH"/>
        </w:rPr>
        <w:t xml:space="preserve">, </w:t>
      </w:r>
      <w:r w:rsidR="00C35489">
        <w:rPr>
          <w:i/>
          <w:iCs/>
          <w:sz w:val="16"/>
          <w:szCs w:val="16"/>
          <w:lang w:val="en-PH"/>
        </w:rPr>
        <w:t>Oct 30</w:t>
      </w:r>
      <w:r w:rsidRPr="005E1BD2">
        <w:rPr>
          <w:i/>
          <w:iCs/>
          <w:sz w:val="16"/>
          <w:szCs w:val="16"/>
          <w:lang w:val="en-PH"/>
        </w:rPr>
        <w:t>, 2022</w:t>
      </w:r>
      <w:r w:rsidRPr="005E1BD2">
        <w:rPr>
          <w:sz w:val="16"/>
          <w:szCs w:val="16"/>
          <w:lang w:val="en-PH"/>
        </w:rPr>
        <w:t>.</w:t>
      </w:r>
    </w:p>
  </w:footnote>
  <w:footnote w:id="13">
    <w:p w14:paraId="5D92A033" w14:textId="429F2FB0"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D61DD3">
        <w:rPr>
          <w:rFonts w:cstheme="minorHAnsi"/>
          <w:i/>
          <w:iCs/>
          <w:color w:val="222222"/>
          <w:sz w:val="16"/>
          <w:szCs w:val="16"/>
          <w:shd w:val="clear" w:color="auto" w:fill="FFFFFF"/>
        </w:rPr>
        <w:t>Oct 30</w:t>
      </w:r>
      <w:r>
        <w:rPr>
          <w:rFonts w:cstheme="minorHAnsi"/>
          <w:i/>
          <w:iCs/>
          <w:color w:val="222222"/>
          <w:sz w:val="16"/>
          <w:szCs w:val="16"/>
          <w:shd w:val="clear" w:color="auto" w:fill="FFFFFF"/>
        </w:rPr>
        <w:t>, 202</w:t>
      </w:r>
      <w:r w:rsidR="00455D78">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14">
    <w:p w14:paraId="29E4EDD1" w14:textId="60B860A9"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4" w:history="1">
        <w:r w:rsidR="00263EBD" w:rsidRPr="00263EBD">
          <w:rPr>
            <w:rStyle w:val="Hyperlink"/>
            <w:i/>
            <w:iCs/>
            <w:sz w:val="16"/>
            <w:szCs w:val="16"/>
            <w:lang w:val="en-PH"/>
          </w:rPr>
          <w:t>https://fred.stlouisfed.org/series/DBAA</w:t>
        </w:r>
      </w:hyperlink>
      <w:r w:rsidR="00263EBD" w:rsidRPr="00263EBD">
        <w:rPr>
          <w:i/>
          <w:iCs/>
          <w:sz w:val="16"/>
          <w:szCs w:val="16"/>
          <w:lang w:val="en-PH"/>
        </w:rPr>
        <w:t xml:space="preserve">, </w:t>
      </w:r>
      <w:r w:rsidR="00D61DD3">
        <w:rPr>
          <w:i/>
          <w:iCs/>
          <w:sz w:val="16"/>
          <w:szCs w:val="16"/>
          <w:lang w:val="en-PH"/>
        </w:rPr>
        <w:t>Oct 30</w:t>
      </w:r>
      <w:r w:rsidR="00412C1A">
        <w:rPr>
          <w:i/>
          <w:iCs/>
          <w:sz w:val="16"/>
          <w:szCs w:val="16"/>
          <w:lang w:val="en-PH"/>
        </w:rPr>
        <w:t>,</w:t>
      </w:r>
      <w:r w:rsidR="00263EBD" w:rsidRPr="00263EBD">
        <w:rPr>
          <w:i/>
          <w:iCs/>
          <w:sz w:val="16"/>
          <w:szCs w:val="16"/>
          <w:lang w:val="en-PH"/>
        </w:rPr>
        <w:t xml:space="preserve"> 202</w:t>
      </w:r>
      <w:r w:rsidR="00F34E7B">
        <w:rPr>
          <w:i/>
          <w:iCs/>
          <w:sz w:val="16"/>
          <w:szCs w:val="16"/>
          <w:lang w:val="en-PH"/>
        </w:rPr>
        <w:t>2</w:t>
      </w:r>
      <w:r w:rsidR="00263EBD" w:rsidRPr="00263EBD">
        <w:rPr>
          <w:i/>
          <w:iCs/>
          <w:sz w:val="16"/>
          <w:szCs w:val="16"/>
          <w:lang w:val="en-PH"/>
        </w:rPr>
        <w:t>.</w:t>
      </w:r>
    </w:p>
  </w:footnote>
  <w:footnote w:id="15">
    <w:p w14:paraId="6012CE06" w14:textId="4DFF7AA3"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w:t>
      </w:r>
      <w:proofErr w:type="spellStart"/>
      <w:r w:rsidR="00263EBD" w:rsidRPr="00263EBD">
        <w:rPr>
          <w:sz w:val="16"/>
          <w:szCs w:val="16"/>
          <w:lang w:val="en-PH"/>
        </w:rPr>
        <w:t>Aaa</w:t>
      </w:r>
      <w:proofErr w:type="spellEnd"/>
      <w:r w:rsidR="00263EBD" w:rsidRPr="00263EBD">
        <w:rPr>
          <w:sz w:val="16"/>
          <w:szCs w:val="16"/>
          <w:lang w:val="en-PH"/>
        </w:rPr>
        <w:t xml:space="preserve"> Corporate Bond Yield [DAAA], </w:t>
      </w:r>
      <w:r w:rsidR="00263EBD" w:rsidRPr="00263EBD">
        <w:rPr>
          <w:i/>
          <w:iCs/>
          <w:sz w:val="16"/>
          <w:szCs w:val="16"/>
          <w:lang w:val="en-PH"/>
        </w:rPr>
        <w:t xml:space="preserve">retrieved from FRED, Federal Reserve Bank of St. Louis; </w:t>
      </w:r>
      <w:hyperlink r:id="rId15" w:history="1">
        <w:r w:rsidR="00263EBD" w:rsidRPr="00263EBD">
          <w:rPr>
            <w:rStyle w:val="Hyperlink"/>
            <w:i/>
            <w:iCs/>
            <w:sz w:val="16"/>
            <w:szCs w:val="16"/>
            <w:lang w:val="en-PH"/>
          </w:rPr>
          <w:t>https://fred.stlouisfed.org/series/DAAA</w:t>
        </w:r>
      </w:hyperlink>
      <w:r w:rsidR="00263EBD" w:rsidRPr="00263EBD">
        <w:rPr>
          <w:i/>
          <w:iCs/>
          <w:sz w:val="16"/>
          <w:szCs w:val="16"/>
          <w:lang w:val="en-PH"/>
        </w:rPr>
        <w:t xml:space="preserve">, </w:t>
      </w:r>
      <w:r w:rsidR="00D61DD3">
        <w:rPr>
          <w:i/>
          <w:iCs/>
          <w:sz w:val="16"/>
          <w:szCs w:val="16"/>
          <w:lang w:val="en-PH"/>
        </w:rPr>
        <w:t>Oct 30</w:t>
      </w:r>
      <w:r w:rsidR="00F34E7B" w:rsidRPr="00263EBD">
        <w:rPr>
          <w:i/>
          <w:iCs/>
          <w:sz w:val="16"/>
          <w:szCs w:val="16"/>
          <w:lang w:val="en-PH"/>
        </w:rPr>
        <w:t>, 202</w:t>
      </w:r>
      <w:r w:rsidR="00F34E7B">
        <w:rPr>
          <w:i/>
          <w:iCs/>
          <w:sz w:val="16"/>
          <w:szCs w:val="16"/>
          <w:lang w:val="en-PH"/>
        </w:rPr>
        <w:t>2</w:t>
      </w:r>
      <w:r w:rsidR="00263EBD" w:rsidRPr="00263EBD">
        <w:rPr>
          <w:i/>
          <w:iCs/>
          <w:sz w:val="16"/>
          <w:szCs w:val="16"/>
          <w:lang w:val="en-PH"/>
        </w:rPr>
        <w:t>.</w:t>
      </w:r>
    </w:p>
  </w:footnote>
  <w:footnote w:id="16">
    <w:p w14:paraId="66B25A11" w14:textId="4825ACF6"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6"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204969">
        <w:rPr>
          <w:rFonts w:cstheme="minorHAnsi"/>
          <w:i/>
          <w:iCs/>
          <w:color w:val="222222"/>
          <w:sz w:val="16"/>
          <w:szCs w:val="16"/>
          <w:shd w:val="clear" w:color="auto" w:fill="FFFFFF"/>
        </w:rPr>
        <w:t>Oct 30</w:t>
      </w:r>
      <w:r w:rsidR="006F1876">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17">
    <w:p w14:paraId="72ADA4A0" w14:textId="06A33724" w:rsidR="007B4191" w:rsidRPr="007B4191" w:rsidRDefault="007B4191">
      <w:pPr>
        <w:pStyle w:val="FootnoteText"/>
        <w:rPr>
          <w:sz w:val="16"/>
          <w:szCs w:val="16"/>
        </w:rPr>
      </w:pPr>
      <w:r>
        <w:rPr>
          <w:rStyle w:val="FootnoteReference"/>
        </w:rPr>
        <w:footnoteRef/>
      </w:r>
      <w:r>
        <w:t xml:space="preserve"> </w:t>
      </w:r>
      <w:r w:rsidRPr="007B4191">
        <w:rPr>
          <w:sz w:val="16"/>
          <w:szCs w:val="16"/>
        </w:rPr>
        <w:t xml:space="preserve">U.S. Bureau of Labor Statistics, Civilian Labor Force Level [CLF16OV], </w:t>
      </w:r>
      <w:r w:rsidRPr="007B4191">
        <w:rPr>
          <w:i/>
          <w:iCs/>
          <w:sz w:val="16"/>
          <w:szCs w:val="16"/>
        </w:rPr>
        <w:t xml:space="preserve">retrieved from FRED, Federal Reserve Bank of St. Louis; </w:t>
      </w:r>
      <w:hyperlink r:id="rId17" w:history="1">
        <w:r w:rsidRPr="007B4191">
          <w:rPr>
            <w:rStyle w:val="Hyperlink"/>
            <w:i/>
            <w:iCs/>
            <w:sz w:val="16"/>
            <w:szCs w:val="16"/>
          </w:rPr>
          <w:t>https://fred.stlouisfed.org/series/CLF16OV</w:t>
        </w:r>
      </w:hyperlink>
      <w:r w:rsidRPr="007B4191">
        <w:rPr>
          <w:i/>
          <w:iCs/>
          <w:sz w:val="16"/>
          <w:szCs w:val="16"/>
        </w:rPr>
        <w:t xml:space="preserve">, </w:t>
      </w:r>
      <w:r w:rsidR="00204969">
        <w:rPr>
          <w:rFonts w:cstheme="minorHAnsi"/>
          <w:i/>
          <w:iCs/>
          <w:color w:val="222222"/>
          <w:sz w:val="16"/>
          <w:szCs w:val="16"/>
          <w:shd w:val="clear" w:color="auto" w:fill="FFFFFF"/>
        </w:rPr>
        <w:t>Oct 30</w:t>
      </w:r>
      <w:r w:rsidRPr="007B4191">
        <w:rPr>
          <w:i/>
          <w:iCs/>
          <w:sz w:val="16"/>
          <w:szCs w:val="16"/>
          <w:lang w:val="en-PH"/>
        </w:rPr>
        <w:t>, 2022</w:t>
      </w:r>
      <w:r w:rsidRPr="007B4191">
        <w:rPr>
          <w:i/>
          <w:iCs/>
          <w:sz w:val="16"/>
          <w:szCs w:val="16"/>
        </w:rPr>
        <w:t>.</w:t>
      </w:r>
    </w:p>
  </w:footnote>
  <w:footnote w:id="18">
    <w:p w14:paraId="0E3463A9" w14:textId="60D7AB4E"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18" w:history="1">
        <w:r w:rsidRPr="006859BA">
          <w:rPr>
            <w:rStyle w:val="Hyperlink"/>
            <w:i/>
            <w:iCs/>
            <w:sz w:val="16"/>
            <w:szCs w:val="16"/>
          </w:rPr>
          <w:t>https://fred.stlouisfed.org/series/CIVPART</w:t>
        </w:r>
      </w:hyperlink>
      <w:r w:rsidRPr="006859BA">
        <w:rPr>
          <w:i/>
          <w:iCs/>
          <w:sz w:val="16"/>
          <w:szCs w:val="16"/>
        </w:rPr>
        <w:t xml:space="preserve">, </w:t>
      </w:r>
      <w:r w:rsidR="00204969">
        <w:rPr>
          <w:rFonts w:cstheme="minorHAnsi"/>
          <w:i/>
          <w:iCs/>
          <w:color w:val="222222"/>
          <w:sz w:val="16"/>
          <w:szCs w:val="16"/>
          <w:shd w:val="clear" w:color="auto" w:fill="FFFFFF"/>
        </w:rPr>
        <w:t>Oct 30</w:t>
      </w:r>
      <w:r w:rsidR="006F1876">
        <w:rPr>
          <w:i/>
          <w:iCs/>
          <w:sz w:val="16"/>
          <w:szCs w:val="16"/>
        </w:rPr>
        <w:t>, 2022</w:t>
      </w:r>
      <w:r w:rsidRPr="006859BA">
        <w:rPr>
          <w:i/>
          <w:iCs/>
          <w:sz w:val="16"/>
          <w:szCs w:val="16"/>
        </w:rPr>
        <w:t>.</w:t>
      </w:r>
    </w:p>
  </w:footnote>
  <w:footnote w:id="19">
    <w:p w14:paraId="7EE0AABC" w14:textId="726C4E38" w:rsidR="00B36811" w:rsidRPr="00C7535D" w:rsidRDefault="00B36811">
      <w:pPr>
        <w:pStyle w:val="FootnoteText"/>
        <w:rPr>
          <w:sz w:val="16"/>
          <w:szCs w:val="16"/>
        </w:rPr>
      </w:pPr>
      <w:r w:rsidRPr="00D029B3">
        <w:rPr>
          <w:rStyle w:val="FootnoteReference"/>
        </w:rPr>
        <w:footnoteRef/>
      </w:r>
      <w:r w:rsidRPr="00C7535D">
        <w:rPr>
          <w:sz w:val="16"/>
          <w:szCs w:val="16"/>
        </w:rPr>
        <w:t xml:space="preserve"> Federal Reserve Bank of Philadelphia, Livingston Survey, </w:t>
      </w:r>
      <w:hyperlink r:id="rId19" w:history="1">
        <w:r w:rsidRPr="002024E2">
          <w:rPr>
            <w:rStyle w:val="Hyperlink"/>
            <w:i/>
            <w:iCs/>
            <w:sz w:val="16"/>
            <w:szCs w:val="16"/>
          </w:rPr>
          <w:t>https://www.philadelphiafed.org/surveys-and-data/real-time-data-research/livingston-survey</w:t>
        </w:r>
      </w:hyperlink>
      <w:r w:rsidRPr="002024E2">
        <w:rPr>
          <w:i/>
          <w:iCs/>
          <w:sz w:val="16"/>
          <w:szCs w:val="16"/>
        </w:rPr>
        <w:t xml:space="preserve">, </w:t>
      </w:r>
      <w:r w:rsidR="00204969">
        <w:rPr>
          <w:rFonts w:cstheme="minorHAnsi"/>
          <w:i/>
          <w:iCs/>
          <w:color w:val="222222"/>
          <w:sz w:val="16"/>
          <w:szCs w:val="16"/>
          <w:shd w:val="clear" w:color="auto" w:fill="FFFFFF"/>
        </w:rPr>
        <w:t>Oct 30</w:t>
      </w:r>
      <w:r w:rsidR="006F1876">
        <w:rPr>
          <w:i/>
          <w:iCs/>
          <w:sz w:val="16"/>
          <w:szCs w:val="16"/>
        </w:rPr>
        <w:t>, 2022</w:t>
      </w:r>
      <w:r w:rsidRPr="002024E2">
        <w:rPr>
          <w:i/>
          <w:iCs/>
          <w:sz w:val="16"/>
          <w:szCs w:val="16"/>
        </w:rPr>
        <w:t>.</w:t>
      </w:r>
    </w:p>
  </w:footnote>
  <w:footnote w:id="20">
    <w:p w14:paraId="6C60FCE5" w14:textId="1BFFAE63" w:rsidR="00D029B3" w:rsidRPr="00D029B3" w:rsidRDefault="00D029B3">
      <w:pPr>
        <w:pStyle w:val="FootnoteText"/>
        <w:rPr>
          <w:sz w:val="16"/>
          <w:szCs w:val="16"/>
        </w:rPr>
      </w:pPr>
      <w:r>
        <w:rPr>
          <w:rStyle w:val="FootnoteReference"/>
        </w:rPr>
        <w:footnoteRef/>
      </w:r>
      <w:r>
        <w:t xml:space="preserve"> </w:t>
      </w:r>
      <w:r w:rsidRPr="00D029B3">
        <w:rPr>
          <w:sz w:val="16"/>
          <w:szCs w:val="16"/>
        </w:rPr>
        <w:t xml:space="preserve">U.S. Bureau of Labor Statistics, </w:t>
      </w:r>
      <w:proofErr w:type="gramStart"/>
      <w:r w:rsidRPr="00D029B3">
        <w:rPr>
          <w:sz w:val="16"/>
          <w:szCs w:val="16"/>
        </w:rPr>
        <w:t>Quits</w:t>
      </w:r>
      <w:proofErr w:type="gramEnd"/>
      <w:r w:rsidRPr="00D029B3">
        <w:rPr>
          <w:sz w:val="16"/>
          <w:szCs w:val="16"/>
        </w:rPr>
        <w:t xml:space="preserve">: Total Nonfarm [JTSQUL], </w:t>
      </w:r>
      <w:r w:rsidRPr="00D029B3">
        <w:rPr>
          <w:i/>
          <w:iCs/>
          <w:sz w:val="16"/>
          <w:szCs w:val="16"/>
        </w:rPr>
        <w:t xml:space="preserve">retrieved from FRED, Federal Reserve Bank of St. Louis; </w:t>
      </w:r>
      <w:hyperlink r:id="rId20" w:history="1">
        <w:r w:rsidRPr="00D029B3">
          <w:rPr>
            <w:rStyle w:val="Hyperlink"/>
            <w:i/>
            <w:iCs/>
            <w:sz w:val="16"/>
            <w:szCs w:val="16"/>
          </w:rPr>
          <w:t>https://fred.stlouisfed.org/series/JTSQUL</w:t>
        </w:r>
      </w:hyperlink>
      <w:r w:rsidRPr="00D029B3">
        <w:rPr>
          <w:i/>
          <w:iCs/>
          <w:sz w:val="16"/>
          <w:szCs w:val="16"/>
        </w:rPr>
        <w:t xml:space="preserve">, </w:t>
      </w:r>
      <w:r w:rsidR="00204969">
        <w:rPr>
          <w:rFonts w:cstheme="minorHAnsi"/>
          <w:i/>
          <w:iCs/>
          <w:color w:val="222222"/>
          <w:sz w:val="16"/>
          <w:szCs w:val="16"/>
          <w:shd w:val="clear" w:color="auto" w:fill="FFFFFF"/>
        </w:rPr>
        <w:t>Oct 30</w:t>
      </w:r>
      <w:r w:rsidRPr="00D029B3">
        <w:rPr>
          <w:i/>
          <w:iCs/>
          <w:sz w:val="16"/>
          <w:szCs w:val="16"/>
        </w:rPr>
        <w:t>, 2022</w:t>
      </w:r>
      <w:r w:rsidRPr="00D029B3">
        <w:rPr>
          <w:sz w:val="16"/>
          <w:szCs w:val="16"/>
        </w:rPr>
        <w:t>.</w:t>
      </w:r>
    </w:p>
  </w:footnote>
  <w:footnote w:id="21">
    <w:p w14:paraId="646109C7" w14:textId="1D3F717D" w:rsidR="007A4A4B" w:rsidRDefault="007A4A4B">
      <w:pPr>
        <w:pStyle w:val="FootnoteText"/>
      </w:pPr>
      <w:r>
        <w:rPr>
          <w:rStyle w:val="FootnoteReference"/>
        </w:rPr>
        <w:footnoteRef/>
      </w:r>
      <w:r>
        <w:t xml:space="preserve"> </w:t>
      </w:r>
      <w:r w:rsidRPr="007A4A4B">
        <w:rPr>
          <w:sz w:val="16"/>
          <w:szCs w:val="16"/>
        </w:rPr>
        <w:t xml:space="preserve">U.S. Bureau of Labor Statistics, Job Openings: Total Nonfarm [JTSJOL], </w:t>
      </w:r>
      <w:r w:rsidRPr="007A4A4B">
        <w:rPr>
          <w:i/>
          <w:iCs/>
          <w:sz w:val="16"/>
          <w:szCs w:val="16"/>
        </w:rPr>
        <w:t xml:space="preserve">retrieved from FRED, Federal Reserve Bank of St. Louis; </w:t>
      </w:r>
      <w:hyperlink r:id="rId21" w:history="1">
        <w:r w:rsidRPr="00CD6686">
          <w:rPr>
            <w:rStyle w:val="Hyperlink"/>
            <w:i/>
            <w:iCs/>
            <w:sz w:val="16"/>
            <w:szCs w:val="16"/>
          </w:rPr>
          <w:t>https://fred.stlouisfed.org/series/JTSJOL</w:t>
        </w:r>
      </w:hyperlink>
      <w:r w:rsidRPr="007A4A4B">
        <w:rPr>
          <w:i/>
          <w:iCs/>
          <w:sz w:val="16"/>
          <w:szCs w:val="16"/>
        </w:rPr>
        <w:t xml:space="preserve">, </w:t>
      </w:r>
      <w:r w:rsidR="00204969">
        <w:rPr>
          <w:rFonts w:cstheme="minorHAnsi"/>
          <w:i/>
          <w:iCs/>
          <w:color w:val="222222"/>
          <w:sz w:val="16"/>
          <w:szCs w:val="16"/>
          <w:shd w:val="clear" w:color="auto" w:fill="FFFFFF"/>
        </w:rPr>
        <w:t>Oct 30</w:t>
      </w:r>
      <w:r w:rsidRPr="007A4A4B">
        <w:rPr>
          <w:i/>
          <w:iCs/>
          <w:sz w:val="16"/>
          <w:szCs w:val="16"/>
        </w:rPr>
        <w:t>, 2022</w:t>
      </w:r>
      <w:r>
        <w:rPr>
          <w:i/>
          <w:iCs/>
          <w:sz w:val="16"/>
          <w:szCs w:val="16"/>
        </w:rPr>
        <w:t>.</w:t>
      </w:r>
    </w:p>
  </w:footnote>
  <w:footnote w:id="22">
    <w:p w14:paraId="181B2D4A" w14:textId="41016D66"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2"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sidR="00204969">
        <w:rPr>
          <w:rFonts w:cstheme="minorHAnsi"/>
          <w:i/>
          <w:iCs/>
          <w:color w:val="222222"/>
          <w:sz w:val="16"/>
          <w:szCs w:val="16"/>
          <w:shd w:val="clear" w:color="auto" w:fill="FFFFFF"/>
        </w:rPr>
        <w:t>Oct 30</w:t>
      </w:r>
      <w:r w:rsidR="006528B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202</w:t>
      </w:r>
      <w:r w:rsidR="006528B7">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3">
    <w:p w14:paraId="041DBB1A" w14:textId="105DDEB5"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3"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sidR="00204969">
        <w:rPr>
          <w:rFonts w:cstheme="minorHAnsi"/>
          <w:i/>
          <w:iCs/>
          <w:color w:val="222222"/>
          <w:sz w:val="16"/>
          <w:szCs w:val="16"/>
          <w:shd w:val="clear" w:color="auto" w:fill="FFFFFF"/>
        </w:rPr>
        <w:t>Oct</w:t>
      </w:r>
      <w:r w:rsidR="00E16DF8">
        <w:rPr>
          <w:rFonts w:cstheme="minorHAnsi"/>
          <w:i/>
          <w:iCs/>
          <w:color w:val="222222"/>
          <w:sz w:val="16"/>
          <w:szCs w:val="16"/>
          <w:shd w:val="clear" w:color="auto" w:fill="FFFFFF"/>
        </w:rPr>
        <w:t xml:space="preserve"> </w:t>
      </w:r>
      <w:r w:rsidR="00F151F3">
        <w:rPr>
          <w:rFonts w:cstheme="minorHAnsi"/>
          <w:i/>
          <w:iCs/>
          <w:color w:val="222222"/>
          <w:sz w:val="16"/>
          <w:szCs w:val="16"/>
          <w:shd w:val="clear" w:color="auto" w:fill="FFFFFF"/>
        </w:rPr>
        <w:t>31</w:t>
      </w:r>
      <w:r w:rsidR="006528B7">
        <w:rPr>
          <w:rFonts w:cstheme="minorHAnsi"/>
          <w:i/>
          <w:iCs/>
          <w:color w:val="222222"/>
          <w:sz w:val="16"/>
          <w:szCs w:val="16"/>
          <w:shd w:val="clear" w:color="auto" w:fill="FFFFFF"/>
        </w:rPr>
        <w:t>, 2022</w:t>
      </w:r>
      <w:r w:rsidRPr="002024E2">
        <w:rPr>
          <w:rFonts w:cstheme="minorHAnsi"/>
          <w:i/>
          <w:iCs/>
          <w:color w:val="222222"/>
          <w:sz w:val="16"/>
          <w:szCs w:val="16"/>
          <w:shd w:val="clear" w:color="auto" w:fill="FFFFFF"/>
        </w:rPr>
        <w:t>.</w:t>
      </w:r>
    </w:p>
  </w:footnote>
  <w:footnote w:id="24">
    <w:p w14:paraId="7DB2BDE1" w14:textId="25BBBBC8"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4"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BC5C1E">
        <w:rPr>
          <w:rFonts w:cstheme="minorHAnsi"/>
          <w:i/>
          <w:iCs/>
          <w:color w:val="222222"/>
          <w:sz w:val="16"/>
          <w:szCs w:val="16"/>
          <w:shd w:val="clear" w:color="auto" w:fill="FFFFFF"/>
        </w:rPr>
        <w:t>Oct 30</w:t>
      </w:r>
      <w:r w:rsidR="00EF1F20">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25">
    <w:p w14:paraId="739A6C3B" w14:textId="1764968C" w:rsidR="00EF1F20" w:rsidRPr="00EF1F20" w:rsidRDefault="00EF1F20">
      <w:pPr>
        <w:pStyle w:val="FootnoteText"/>
        <w:rPr>
          <w:sz w:val="16"/>
          <w:szCs w:val="16"/>
          <w:lang w:val="en-PH"/>
        </w:rPr>
      </w:pPr>
      <w:r>
        <w:rPr>
          <w:rStyle w:val="FootnoteReference"/>
        </w:rPr>
        <w:footnoteRef/>
      </w:r>
      <w:r>
        <w:t xml:space="preserve"> </w:t>
      </w:r>
      <w:r w:rsidRPr="00EF1F20">
        <w:rPr>
          <w:sz w:val="16"/>
          <w:szCs w:val="16"/>
          <w:lang w:val="en-PH"/>
        </w:rPr>
        <w:t xml:space="preserve">U.S. Bureau of Labor Statistics, Consumer Price Index for All Urban Consumers: All Items Less Energy in U.S. City Average [CPILEGSL], </w:t>
      </w:r>
      <w:r w:rsidRPr="00EF1F20">
        <w:rPr>
          <w:i/>
          <w:iCs/>
          <w:sz w:val="16"/>
          <w:szCs w:val="16"/>
          <w:lang w:val="en-PH"/>
        </w:rPr>
        <w:t xml:space="preserve">retrieved from FRED, Federal Reserve Bank of St. Louis; </w:t>
      </w:r>
      <w:hyperlink r:id="rId25" w:history="1">
        <w:r w:rsidRPr="00EF1F20">
          <w:rPr>
            <w:rStyle w:val="Hyperlink"/>
            <w:rFonts w:cstheme="minorHAnsi"/>
            <w:i/>
            <w:iCs/>
            <w:sz w:val="16"/>
            <w:szCs w:val="16"/>
            <w:shd w:val="clear" w:color="auto" w:fill="FFFFFF"/>
          </w:rPr>
          <w:t>https://fred.stlouisfed.org/series/CPILEGSL</w:t>
        </w:r>
      </w:hyperlink>
      <w:r w:rsidRPr="00EF1F20">
        <w:rPr>
          <w:i/>
          <w:iCs/>
          <w:sz w:val="16"/>
          <w:szCs w:val="16"/>
          <w:lang w:val="en-PH"/>
        </w:rPr>
        <w:t xml:space="preserve">, </w:t>
      </w:r>
      <w:r w:rsidR="00BC5C1E">
        <w:rPr>
          <w:i/>
          <w:iCs/>
          <w:sz w:val="16"/>
          <w:szCs w:val="16"/>
          <w:lang w:val="en-PH"/>
        </w:rPr>
        <w:t>Oct 30</w:t>
      </w:r>
      <w:r w:rsidR="00F151F3">
        <w:rPr>
          <w:i/>
          <w:iCs/>
          <w:sz w:val="16"/>
          <w:szCs w:val="16"/>
          <w:lang w:val="en-PH"/>
        </w:rPr>
        <w:t>,</w:t>
      </w:r>
      <w:r w:rsidRPr="00EF1F20">
        <w:rPr>
          <w:i/>
          <w:iCs/>
          <w:sz w:val="16"/>
          <w:szCs w:val="16"/>
          <w:lang w:val="en-PH"/>
        </w:rPr>
        <w:t xml:space="preserve"> 2022</w:t>
      </w:r>
      <w:r w:rsidRPr="00EF1F20">
        <w:rPr>
          <w:sz w:val="16"/>
          <w:szCs w:val="16"/>
          <w:lang w:val="en-PH"/>
        </w:rPr>
        <w:t>.</w:t>
      </w:r>
    </w:p>
  </w:footnote>
  <w:footnote w:id="26">
    <w:p w14:paraId="46D1616A" w14:textId="6802C40E"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6" w:history="1">
        <w:r w:rsidRPr="006859BA">
          <w:rPr>
            <w:rStyle w:val="Hyperlink"/>
            <w:i/>
            <w:iCs/>
            <w:sz w:val="16"/>
            <w:szCs w:val="16"/>
            <w:lang w:val="en-PH"/>
          </w:rPr>
          <w:t>https://fred.stlouisfed.org/series/APU000074714</w:t>
        </w:r>
      </w:hyperlink>
      <w:r w:rsidRPr="006859BA">
        <w:rPr>
          <w:i/>
          <w:iCs/>
          <w:sz w:val="16"/>
          <w:szCs w:val="16"/>
          <w:lang w:val="en-PH"/>
        </w:rPr>
        <w:t xml:space="preserve">, </w:t>
      </w:r>
      <w:r w:rsidR="00BC5C1E">
        <w:rPr>
          <w:i/>
          <w:iCs/>
          <w:sz w:val="16"/>
          <w:szCs w:val="16"/>
          <w:lang w:val="en-PH"/>
        </w:rPr>
        <w:t>Oct 30</w:t>
      </w:r>
      <w:r w:rsidRPr="006859BA">
        <w:rPr>
          <w:i/>
          <w:iCs/>
          <w:sz w:val="16"/>
          <w:szCs w:val="16"/>
          <w:lang w:val="en-PH"/>
        </w:rPr>
        <w:t>, 202</w:t>
      </w:r>
      <w:r w:rsidR="00A94F52">
        <w:rPr>
          <w:i/>
          <w:iCs/>
          <w:sz w:val="16"/>
          <w:szCs w:val="16"/>
          <w:lang w:val="en-PH"/>
        </w:rPr>
        <w:t>2</w:t>
      </w:r>
      <w:r w:rsidRPr="006859BA">
        <w:rPr>
          <w:i/>
          <w:iCs/>
          <w:sz w:val="16"/>
          <w:szCs w:val="16"/>
          <w:lang w:val="en-PH"/>
        </w:rPr>
        <w:t>.</w:t>
      </w:r>
    </w:p>
  </w:footnote>
  <w:footnote w:id="27">
    <w:p w14:paraId="0C7EB8BC" w14:textId="6D581D66"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7"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BC5C1E">
        <w:rPr>
          <w:rFonts w:cstheme="minorHAnsi"/>
          <w:i/>
          <w:iCs/>
          <w:color w:val="222222"/>
          <w:sz w:val="16"/>
          <w:szCs w:val="16"/>
          <w:shd w:val="clear" w:color="auto" w:fill="FFFFFF"/>
        </w:rPr>
        <w:t>Oct</w:t>
      </w:r>
      <w:r w:rsidR="00B92E54">
        <w:rPr>
          <w:rFonts w:cstheme="minorHAnsi"/>
          <w:i/>
          <w:iCs/>
          <w:color w:val="222222"/>
          <w:sz w:val="16"/>
          <w:szCs w:val="16"/>
          <w:shd w:val="clear" w:color="auto" w:fill="FFFFFF"/>
        </w:rPr>
        <w:t xml:space="preserve"> 31</w:t>
      </w:r>
      <w:r>
        <w:rPr>
          <w:rFonts w:cstheme="minorHAnsi"/>
          <w:i/>
          <w:iCs/>
          <w:color w:val="222222"/>
          <w:sz w:val="16"/>
          <w:szCs w:val="16"/>
          <w:shd w:val="clear" w:color="auto" w:fill="FFFFFF"/>
        </w:rPr>
        <w:t>, 202</w:t>
      </w:r>
      <w:r w:rsidR="00981BE4">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8">
    <w:p w14:paraId="1E8CCC61" w14:textId="70B98A7E"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8"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sidR="00D44E28">
        <w:rPr>
          <w:rFonts w:cstheme="minorHAnsi"/>
          <w:i/>
          <w:iCs/>
          <w:color w:val="222222"/>
          <w:sz w:val="16"/>
          <w:szCs w:val="16"/>
          <w:shd w:val="clear" w:color="auto" w:fill="FFFFFF"/>
        </w:rPr>
        <w:t>Oct 31</w:t>
      </w:r>
      <w:r w:rsidR="00245B33">
        <w:rPr>
          <w:rFonts w:cstheme="minorHAnsi"/>
          <w:i/>
          <w:iCs/>
          <w:color w:val="222222"/>
          <w:sz w:val="16"/>
          <w:szCs w:val="16"/>
          <w:shd w:val="clear" w:color="auto" w:fill="FFFFFF"/>
        </w:rPr>
        <w:t>, 2022</w:t>
      </w:r>
      <w:r w:rsidRPr="000322F4">
        <w:rPr>
          <w:rFonts w:cstheme="minorHAnsi"/>
          <w:i/>
          <w:iCs/>
          <w:color w:val="222222"/>
          <w:sz w:val="16"/>
          <w:szCs w:val="16"/>
          <w:shd w:val="clear" w:color="auto" w:fill="FFFFFF"/>
        </w:rPr>
        <w:t>.</w:t>
      </w:r>
    </w:p>
  </w:footnote>
  <w:footnote w:id="29">
    <w:p w14:paraId="1C900108" w14:textId="153ABD4B"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29"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xml:space="preserve">, </w:t>
      </w:r>
      <w:r w:rsidR="00C43EF8">
        <w:rPr>
          <w:rFonts w:cstheme="minorHAnsi"/>
          <w:i/>
          <w:iCs/>
          <w:color w:val="222222"/>
          <w:sz w:val="16"/>
          <w:szCs w:val="16"/>
          <w:shd w:val="clear" w:color="auto" w:fill="FFFFFF"/>
        </w:rPr>
        <w:t>Oct 31</w:t>
      </w:r>
      <w:r w:rsidR="00245B33">
        <w:rPr>
          <w:rFonts w:cstheme="minorHAnsi"/>
          <w:i/>
          <w:iCs/>
          <w:color w:val="222222"/>
          <w:sz w:val="16"/>
          <w:szCs w:val="16"/>
          <w:shd w:val="clear" w:color="auto" w:fill="FFFFFF"/>
        </w:rPr>
        <w:t>, 2022</w:t>
      </w:r>
      <w:r w:rsidRPr="000322F4">
        <w:rPr>
          <w:rFonts w:cstheme="minorHAnsi"/>
          <w:i/>
          <w:iCs/>
          <w:color w:val="222222"/>
          <w:sz w:val="16"/>
          <w:szCs w:val="16"/>
          <w:shd w:val="clear" w:color="auto" w:fill="FFFFFF"/>
        </w:rPr>
        <w:t>.</w:t>
      </w:r>
    </w:p>
  </w:footnote>
  <w:footnote w:id="30">
    <w:p w14:paraId="11221A52" w14:textId="1C7E83C6"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30"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83191F">
        <w:rPr>
          <w:rFonts w:cstheme="minorHAnsi"/>
          <w:i/>
          <w:iCs/>
          <w:color w:val="222222"/>
          <w:sz w:val="16"/>
          <w:szCs w:val="16"/>
          <w:shd w:val="clear" w:color="auto" w:fill="FFFFFF"/>
        </w:rPr>
        <w:t>Oct</w:t>
      </w:r>
      <w:r w:rsidR="00BC2F02">
        <w:rPr>
          <w:rFonts w:cstheme="minorHAnsi"/>
          <w:i/>
          <w:iCs/>
          <w:color w:val="222222"/>
          <w:sz w:val="16"/>
          <w:szCs w:val="16"/>
          <w:shd w:val="clear" w:color="auto" w:fill="FFFFFF"/>
        </w:rPr>
        <w:t xml:space="preserve"> 31</w:t>
      </w:r>
      <w:r w:rsidR="00B403A1">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1">
    <w:p w14:paraId="6A794CBD" w14:textId="53830965"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31"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8B088E">
        <w:rPr>
          <w:rFonts w:cstheme="minorHAnsi"/>
          <w:i/>
          <w:iCs/>
          <w:color w:val="222222"/>
          <w:sz w:val="16"/>
          <w:szCs w:val="16"/>
          <w:shd w:val="clear" w:color="auto" w:fill="FFFFFF"/>
        </w:rPr>
        <w:t>Oct</w:t>
      </w:r>
      <w:r w:rsidR="00BC2F02">
        <w:rPr>
          <w:rFonts w:cstheme="minorHAnsi"/>
          <w:i/>
          <w:iCs/>
          <w:color w:val="222222"/>
          <w:sz w:val="16"/>
          <w:szCs w:val="16"/>
          <w:shd w:val="clear" w:color="auto" w:fill="FFFFFF"/>
        </w:rPr>
        <w:t xml:space="preserve"> 31</w:t>
      </w:r>
      <w:r w:rsidR="00B403A1">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2">
    <w:p w14:paraId="48E5411D" w14:textId="2F76E051"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32"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8B088E">
        <w:rPr>
          <w:rFonts w:cstheme="minorHAnsi"/>
          <w:i/>
          <w:iCs/>
          <w:color w:val="222222"/>
          <w:sz w:val="16"/>
          <w:szCs w:val="16"/>
          <w:shd w:val="clear" w:color="auto" w:fill="FFFFFF"/>
        </w:rPr>
        <w:t>Oct 30</w:t>
      </w:r>
      <w:r w:rsidR="006A656A">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3">
    <w:p w14:paraId="3C84FE4A" w14:textId="40872BC1"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3"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1642E0">
        <w:rPr>
          <w:rFonts w:cstheme="minorHAnsi"/>
          <w:i/>
          <w:iCs/>
          <w:color w:val="222222"/>
          <w:sz w:val="16"/>
          <w:szCs w:val="16"/>
          <w:shd w:val="clear" w:color="auto" w:fill="FFFFFF"/>
        </w:rPr>
        <w:t>Oct</w:t>
      </w:r>
      <w:r w:rsidR="00234C71">
        <w:rPr>
          <w:rFonts w:cstheme="minorHAnsi"/>
          <w:i/>
          <w:iCs/>
          <w:color w:val="222222"/>
          <w:sz w:val="16"/>
          <w:szCs w:val="16"/>
          <w:shd w:val="clear" w:color="auto" w:fill="FFFFFF"/>
        </w:rPr>
        <w:t xml:space="preserve"> 31</w:t>
      </w:r>
      <w:r w:rsidR="006A656A">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4">
    <w:p w14:paraId="08E11874" w14:textId="75B01FF6"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sidR="008C2435">
        <w:rPr>
          <w:rFonts w:cstheme="minorHAnsi"/>
          <w:i/>
          <w:iCs/>
          <w:color w:val="222222"/>
          <w:sz w:val="16"/>
          <w:szCs w:val="16"/>
          <w:shd w:val="clear" w:color="auto" w:fill="FFFFFF"/>
        </w:rPr>
        <w:t>Oct</w:t>
      </w:r>
      <w:r w:rsidR="000D503C">
        <w:rPr>
          <w:rFonts w:cstheme="minorHAnsi"/>
          <w:i/>
          <w:iCs/>
          <w:color w:val="222222"/>
          <w:sz w:val="16"/>
          <w:szCs w:val="16"/>
          <w:shd w:val="clear" w:color="auto" w:fill="FFFFFF"/>
        </w:rPr>
        <w:t xml:space="preserve"> 31</w:t>
      </w:r>
      <w:r w:rsidR="00A37DC4" w:rsidRPr="00A37DC4">
        <w:rPr>
          <w:rFonts w:cstheme="minorHAnsi"/>
          <w:i/>
          <w:iCs/>
          <w:color w:val="222222"/>
          <w:sz w:val="16"/>
          <w:szCs w:val="16"/>
          <w:shd w:val="clear" w:color="auto" w:fill="FFFFFF"/>
        </w:rPr>
        <w:t>,</w:t>
      </w:r>
      <w:r w:rsidR="006A656A" w:rsidRPr="00A37DC4">
        <w:rPr>
          <w:rFonts w:cstheme="minorHAnsi"/>
          <w:i/>
          <w:iCs/>
          <w:color w:val="222222"/>
          <w:sz w:val="16"/>
          <w:szCs w:val="16"/>
          <w:shd w:val="clear" w:color="auto" w:fill="FFFFFF"/>
        </w:rPr>
        <w:t xml:space="preserve"> 2022</w:t>
      </w:r>
      <w:r w:rsidRPr="00BF5CE2">
        <w:rPr>
          <w:rFonts w:cstheme="minorHAnsi"/>
          <w:i/>
          <w:iCs/>
          <w:color w:val="222222"/>
          <w:sz w:val="16"/>
          <w:szCs w:val="16"/>
          <w:shd w:val="clear" w:color="auto" w:fill="FFFFFF"/>
        </w:rPr>
        <w:t>.</w:t>
      </w:r>
    </w:p>
  </w:footnote>
  <w:footnote w:id="35">
    <w:p w14:paraId="1FBBD940" w14:textId="6278CCE1" w:rsidR="00B36811" w:rsidRPr="00D822BB" w:rsidRDefault="00B36811" w:rsidP="00B92952">
      <w:pPr>
        <w:pStyle w:val="FootnoteText"/>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w:t>
      </w:r>
      <w:r w:rsidRPr="00B92952">
        <w:rPr>
          <w:rFonts w:cstheme="minorHAnsi"/>
          <w:i/>
          <w:iCs/>
          <w:color w:val="222222"/>
          <w:sz w:val="16"/>
          <w:szCs w:val="16"/>
          <w:shd w:val="clear" w:color="auto" w:fill="FFFFFF"/>
        </w:rPr>
        <w:t>Federal</w:t>
      </w:r>
      <w:r w:rsidRPr="00D822BB">
        <w:rPr>
          <w:i/>
          <w:iCs/>
          <w:sz w:val="16"/>
          <w:szCs w:val="16"/>
          <w:lang w:val="en-PH"/>
        </w:rPr>
        <w:t xml:space="preserve"> Reserve Bank of St. Louis; </w:t>
      </w:r>
      <w:hyperlink r:id="rId34" w:history="1">
        <w:r w:rsidRPr="00D822BB">
          <w:rPr>
            <w:rStyle w:val="Hyperlink"/>
            <w:i/>
            <w:iCs/>
            <w:sz w:val="16"/>
            <w:szCs w:val="16"/>
            <w:lang w:val="en-PH"/>
          </w:rPr>
          <w:t>https://fred.stlouisfed.org/series/CUUR0000SETA01</w:t>
        </w:r>
      </w:hyperlink>
      <w:r w:rsidRPr="00D822BB">
        <w:rPr>
          <w:i/>
          <w:iCs/>
          <w:sz w:val="16"/>
          <w:szCs w:val="16"/>
          <w:lang w:val="en-PH"/>
        </w:rPr>
        <w:t xml:space="preserve">, </w:t>
      </w:r>
      <w:r w:rsidR="00C35489">
        <w:rPr>
          <w:rFonts w:cstheme="minorHAnsi"/>
          <w:i/>
          <w:iCs/>
          <w:color w:val="222222"/>
          <w:sz w:val="16"/>
          <w:szCs w:val="16"/>
          <w:shd w:val="clear" w:color="auto" w:fill="FFFFFF"/>
        </w:rPr>
        <w:t>Oct 31</w:t>
      </w:r>
      <w:r w:rsidR="00B92952">
        <w:rPr>
          <w:i/>
          <w:iCs/>
          <w:sz w:val="16"/>
          <w:szCs w:val="16"/>
          <w:lang w:val="en-PH"/>
        </w:rPr>
        <w:t>, 2022</w:t>
      </w:r>
      <w:r w:rsidRPr="00D822BB">
        <w:rPr>
          <w:i/>
          <w:iCs/>
          <w:sz w:val="16"/>
          <w:szCs w:val="16"/>
          <w:lang w:val="en-PH"/>
        </w:rPr>
        <w:t>.</w:t>
      </w:r>
    </w:p>
  </w:footnote>
  <w:footnote w:id="36">
    <w:p w14:paraId="1D43F300" w14:textId="207856B8"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5" w:history="1">
        <w:r w:rsidRPr="00D822BB">
          <w:rPr>
            <w:rStyle w:val="Hyperlink"/>
            <w:i/>
            <w:iCs/>
            <w:sz w:val="16"/>
            <w:szCs w:val="16"/>
          </w:rPr>
          <w:t>https://fred.stlouisfed.org/series/CUSR0000SETA02</w:t>
        </w:r>
      </w:hyperlink>
      <w:r>
        <w:t xml:space="preserve">, </w:t>
      </w:r>
      <w:r w:rsidR="00C35489">
        <w:rPr>
          <w:rFonts w:cstheme="minorHAnsi"/>
          <w:i/>
          <w:iCs/>
          <w:color w:val="222222"/>
          <w:sz w:val="16"/>
          <w:szCs w:val="16"/>
          <w:shd w:val="clear" w:color="auto" w:fill="FFFFFF"/>
        </w:rPr>
        <w:t>Oct 31</w:t>
      </w:r>
      <w:r w:rsidR="00B92952">
        <w:rPr>
          <w:rFonts w:cstheme="minorHAnsi"/>
          <w:i/>
          <w:iCs/>
          <w:color w:val="222222"/>
          <w:sz w:val="16"/>
          <w:szCs w:val="16"/>
          <w:shd w:val="clear" w:color="auto" w:fill="FFFFFF"/>
        </w:rPr>
        <w:t>, 2022</w:t>
      </w:r>
      <w:r w:rsidRPr="00BF5CE2">
        <w:rPr>
          <w:rFonts w:cstheme="minorHAnsi"/>
          <w:i/>
          <w:iCs/>
          <w:color w:val="222222"/>
          <w:sz w:val="16"/>
          <w:szCs w:val="16"/>
          <w:shd w:val="clear" w:color="auto" w:fill="FFFFFF"/>
        </w:rPr>
        <w:t>.</w:t>
      </w:r>
    </w:p>
  </w:footnote>
  <w:footnote w:id="37">
    <w:p w14:paraId="01357EF0" w14:textId="456318A6"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6" w:history="1">
        <w:r w:rsidRPr="00364347">
          <w:rPr>
            <w:rStyle w:val="Hyperlink"/>
            <w:i/>
            <w:iCs/>
            <w:sz w:val="16"/>
            <w:szCs w:val="16"/>
            <w:lang w:val="en-PH"/>
          </w:rPr>
          <w:t>https://fred.stlouisfed.org/series/UMCSENT</w:t>
        </w:r>
      </w:hyperlink>
      <w:r w:rsidRPr="00364347">
        <w:rPr>
          <w:i/>
          <w:iCs/>
          <w:sz w:val="16"/>
          <w:szCs w:val="16"/>
          <w:lang w:val="en-PH"/>
        </w:rPr>
        <w:t xml:space="preserve">, </w:t>
      </w:r>
      <w:r w:rsidR="00C35489">
        <w:rPr>
          <w:rFonts w:cstheme="minorHAnsi"/>
          <w:i/>
          <w:iCs/>
          <w:color w:val="222222"/>
          <w:sz w:val="16"/>
          <w:szCs w:val="16"/>
          <w:shd w:val="clear" w:color="auto" w:fill="FFFFFF"/>
        </w:rPr>
        <w:t>Oct 30</w:t>
      </w:r>
      <w:r>
        <w:rPr>
          <w:i/>
          <w:iCs/>
          <w:sz w:val="16"/>
          <w:szCs w:val="16"/>
          <w:lang w:val="en-PH"/>
        </w:rPr>
        <w:t>, 202</w:t>
      </w:r>
      <w:r w:rsidR="00112619">
        <w:rPr>
          <w:i/>
          <w:iCs/>
          <w:sz w:val="16"/>
          <w:szCs w:val="16"/>
          <w:lang w:val="en-PH"/>
        </w:rPr>
        <w:t>2</w:t>
      </w:r>
      <w:r w:rsidRPr="00364347">
        <w:rPr>
          <w:i/>
          <w:iCs/>
          <w:sz w:val="16"/>
          <w:szCs w:val="16"/>
          <w:lang w:val="en-PH"/>
        </w:rPr>
        <w:t>.</w:t>
      </w:r>
    </w:p>
    <w:p w14:paraId="10C86738" w14:textId="29101548" w:rsidR="00B36811" w:rsidRDefault="00B36811">
      <w:pPr>
        <w:pStyle w:val="FootnoteText"/>
      </w:pPr>
    </w:p>
  </w:footnote>
  <w:footnote w:id="38">
    <w:p w14:paraId="3E58D959" w14:textId="0D7C28DB"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7" w:history="1">
        <w:r w:rsidRPr="00364347">
          <w:rPr>
            <w:rStyle w:val="Hyperlink"/>
            <w:i/>
            <w:iCs/>
            <w:sz w:val="16"/>
            <w:szCs w:val="16"/>
          </w:rPr>
          <w:t>https://fred.stlouisfed.org/series/VIXCLS</w:t>
        </w:r>
      </w:hyperlink>
      <w:r w:rsidRPr="00364347">
        <w:rPr>
          <w:i/>
          <w:iCs/>
          <w:sz w:val="16"/>
          <w:szCs w:val="16"/>
        </w:rPr>
        <w:t xml:space="preserve">, </w:t>
      </w:r>
      <w:r w:rsidR="00C35489">
        <w:rPr>
          <w:i/>
          <w:iCs/>
          <w:sz w:val="16"/>
          <w:szCs w:val="16"/>
        </w:rPr>
        <w:t>Oct 30</w:t>
      </w:r>
      <w:r w:rsidR="00CB7F52">
        <w:rPr>
          <w:i/>
          <w:iCs/>
          <w:sz w:val="16"/>
          <w:szCs w:val="16"/>
        </w:rPr>
        <w:t>, 2022</w:t>
      </w:r>
      <w:r w:rsidRPr="00364347">
        <w:rPr>
          <w:i/>
          <w:iCs/>
          <w:sz w:val="16"/>
          <w:szCs w:val="16"/>
        </w:rPr>
        <w:t>.</w:t>
      </w:r>
    </w:p>
  </w:footnote>
  <w:footnote w:id="39">
    <w:p w14:paraId="1CF53D3A" w14:textId="7E2F52F7"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8"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260D17">
        <w:rPr>
          <w:rFonts w:cstheme="minorHAnsi"/>
          <w:i/>
          <w:iCs/>
          <w:color w:val="222222"/>
          <w:sz w:val="16"/>
          <w:szCs w:val="16"/>
          <w:shd w:val="clear" w:color="auto" w:fill="FFFFFF"/>
        </w:rPr>
        <w:t>Oct 31</w:t>
      </w:r>
      <w:r w:rsidR="00D04F3A">
        <w:rPr>
          <w:rFonts w:cstheme="minorHAnsi"/>
          <w:i/>
          <w:iCs/>
          <w:color w:val="222222"/>
          <w:sz w:val="16"/>
          <w:szCs w:val="16"/>
          <w:shd w:val="clear" w:color="auto" w:fill="FFFFFF"/>
        </w:rPr>
        <w:t>, 2022</w:t>
      </w:r>
      <w:r w:rsidRPr="002B29C7">
        <w:rPr>
          <w:rFonts w:cstheme="minorHAnsi"/>
          <w:i/>
          <w:iCs/>
          <w:color w:val="222222"/>
          <w:sz w:val="16"/>
          <w:szCs w:val="16"/>
          <w:shd w:val="clear" w:color="auto" w:fill="FFFFFF"/>
        </w:rPr>
        <w:t>.</w:t>
      </w:r>
    </w:p>
  </w:footnote>
  <w:footnote w:id="40">
    <w:p w14:paraId="054982F6" w14:textId="2D86E051"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39"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260D17">
        <w:rPr>
          <w:rFonts w:cstheme="minorHAnsi"/>
          <w:i/>
          <w:iCs/>
          <w:color w:val="222222"/>
          <w:sz w:val="16"/>
          <w:szCs w:val="16"/>
          <w:shd w:val="clear" w:color="auto" w:fill="FFFFFF"/>
        </w:rPr>
        <w:t>Oct 31</w:t>
      </w:r>
      <w:r w:rsidR="00D04F3A">
        <w:rPr>
          <w:rFonts w:cstheme="minorHAnsi"/>
          <w:i/>
          <w:iCs/>
          <w:color w:val="222222"/>
          <w:sz w:val="16"/>
          <w:szCs w:val="16"/>
          <w:shd w:val="clear" w:color="auto" w:fill="FFFFFF"/>
        </w:rPr>
        <w:t>, 2022</w:t>
      </w:r>
      <w:r w:rsidRPr="00364347">
        <w:rPr>
          <w:rFonts w:cstheme="minorHAnsi"/>
          <w:i/>
          <w:iCs/>
          <w:color w:val="222222"/>
          <w:sz w:val="16"/>
          <w:szCs w:val="16"/>
          <w:shd w:val="clear" w:color="auto" w:fill="FFFFFF"/>
        </w:rPr>
        <w:t>.</w:t>
      </w:r>
    </w:p>
  </w:footnote>
  <w:footnote w:id="41">
    <w:p w14:paraId="4A7DBD07" w14:textId="43B2A7C5"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40"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260D17">
        <w:rPr>
          <w:rFonts w:cstheme="minorHAnsi"/>
          <w:i/>
          <w:iCs/>
          <w:color w:val="222222"/>
          <w:sz w:val="16"/>
          <w:szCs w:val="16"/>
          <w:shd w:val="clear" w:color="auto" w:fill="FFFFFF"/>
        </w:rPr>
        <w:t>Oct 31</w:t>
      </w:r>
      <w:r w:rsidR="00D04F3A">
        <w:rPr>
          <w:rFonts w:cstheme="minorHAnsi"/>
          <w:i/>
          <w:iCs/>
          <w:color w:val="222222"/>
          <w:sz w:val="16"/>
          <w:szCs w:val="16"/>
          <w:shd w:val="clear" w:color="auto" w:fill="FFFFFF"/>
        </w:rPr>
        <w:t>, 2022</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85586">
    <w:abstractNumId w:val="1"/>
  </w:num>
  <w:num w:numId="2" w16cid:durableId="398282987">
    <w:abstractNumId w:val="2"/>
  </w:num>
  <w:num w:numId="3" w16cid:durableId="1758331900">
    <w:abstractNumId w:val="0"/>
  </w:num>
  <w:num w:numId="4" w16cid:durableId="244415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48BB"/>
    <w:rsid w:val="00005111"/>
    <w:rsid w:val="00014CBA"/>
    <w:rsid w:val="00015329"/>
    <w:rsid w:val="00021EA4"/>
    <w:rsid w:val="00022BB4"/>
    <w:rsid w:val="00023FB9"/>
    <w:rsid w:val="000248D0"/>
    <w:rsid w:val="00024E64"/>
    <w:rsid w:val="00025568"/>
    <w:rsid w:val="0002602B"/>
    <w:rsid w:val="0002760A"/>
    <w:rsid w:val="00027E1E"/>
    <w:rsid w:val="00030ECA"/>
    <w:rsid w:val="0003136B"/>
    <w:rsid w:val="00031DA4"/>
    <w:rsid w:val="00032178"/>
    <w:rsid w:val="000322F4"/>
    <w:rsid w:val="00033B75"/>
    <w:rsid w:val="000345F7"/>
    <w:rsid w:val="000346C8"/>
    <w:rsid w:val="00035810"/>
    <w:rsid w:val="00035F0C"/>
    <w:rsid w:val="00035F9F"/>
    <w:rsid w:val="000360A6"/>
    <w:rsid w:val="0003611B"/>
    <w:rsid w:val="0004025D"/>
    <w:rsid w:val="0004306B"/>
    <w:rsid w:val="0004341A"/>
    <w:rsid w:val="00046A04"/>
    <w:rsid w:val="00047034"/>
    <w:rsid w:val="00047E74"/>
    <w:rsid w:val="00050BF6"/>
    <w:rsid w:val="0005198D"/>
    <w:rsid w:val="00052F94"/>
    <w:rsid w:val="0005394D"/>
    <w:rsid w:val="00053E46"/>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55E2"/>
    <w:rsid w:val="000763E1"/>
    <w:rsid w:val="00076744"/>
    <w:rsid w:val="00076850"/>
    <w:rsid w:val="000807FF"/>
    <w:rsid w:val="000841DA"/>
    <w:rsid w:val="00084604"/>
    <w:rsid w:val="00084608"/>
    <w:rsid w:val="00084C45"/>
    <w:rsid w:val="00086DBA"/>
    <w:rsid w:val="000874E3"/>
    <w:rsid w:val="00090DA6"/>
    <w:rsid w:val="00091209"/>
    <w:rsid w:val="00091282"/>
    <w:rsid w:val="00093D9A"/>
    <w:rsid w:val="00093EF4"/>
    <w:rsid w:val="0009699C"/>
    <w:rsid w:val="000A0001"/>
    <w:rsid w:val="000A0FCA"/>
    <w:rsid w:val="000A1224"/>
    <w:rsid w:val="000A239B"/>
    <w:rsid w:val="000A2C4B"/>
    <w:rsid w:val="000A3240"/>
    <w:rsid w:val="000A4F8E"/>
    <w:rsid w:val="000A6B19"/>
    <w:rsid w:val="000A79DC"/>
    <w:rsid w:val="000B0583"/>
    <w:rsid w:val="000B0B86"/>
    <w:rsid w:val="000B42F9"/>
    <w:rsid w:val="000B43C0"/>
    <w:rsid w:val="000B487C"/>
    <w:rsid w:val="000B4F85"/>
    <w:rsid w:val="000B5DA2"/>
    <w:rsid w:val="000B6EBB"/>
    <w:rsid w:val="000C117B"/>
    <w:rsid w:val="000C1495"/>
    <w:rsid w:val="000C19DD"/>
    <w:rsid w:val="000C2E7D"/>
    <w:rsid w:val="000C371B"/>
    <w:rsid w:val="000C6EEB"/>
    <w:rsid w:val="000C71C7"/>
    <w:rsid w:val="000D3995"/>
    <w:rsid w:val="000D47AB"/>
    <w:rsid w:val="000D4973"/>
    <w:rsid w:val="000D4AF1"/>
    <w:rsid w:val="000D503C"/>
    <w:rsid w:val="000D5719"/>
    <w:rsid w:val="000D646D"/>
    <w:rsid w:val="000D7BDC"/>
    <w:rsid w:val="000E0FA4"/>
    <w:rsid w:val="000E1BAA"/>
    <w:rsid w:val="000E3192"/>
    <w:rsid w:val="000E5860"/>
    <w:rsid w:val="000E6060"/>
    <w:rsid w:val="000E6A61"/>
    <w:rsid w:val="000F02FB"/>
    <w:rsid w:val="000F1648"/>
    <w:rsid w:val="000F3008"/>
    <w:rsid w:val="000F4AC6"/>
    <w:rsid w:val="000F59FF"/>
    <w:rsid w:val="000F7F33"/>
    <w:rsid w:val="00100023"/>
    <w:rsid w:val="001009B9"/>
    <w:rsid w:val="00100DF8"/>
    <w:rsid w:val="00102080"/>
    <w:rsid w:val="0010260B"/>
    <w:rsid w:val="0010377C"/>
    <w:rsid w:val="00105413"/>
    <w:rsid w:val="001057AF"/>
    <w:rsid w:val="001058D4"/>
    <w:rsid w:val="00105A55"/>
    <w:rsid w:val="00107AB4"/>
    <w:rsid w:val="001116CA"/>
    <w:rsid w:val="00111911"/>
    <w:rsid w:val="00111974"/>
    <w:rsid w:val="00112619"/>
    <w:rsid w:val="00113C90"/>
    <w:rsid w:val="001149CD"/>
    <w:rsid w:val="00115717"/>
    <w:rsid w:val="00116B91"/>
    <w:rsid w:val="00117BB0"/>
    <w:rsid w:val="00121A39"/>
    <w:rsid w:val="00121E2F"/>
    <w:rsid w:val="00122842"/>
    <w:rsid w:val="001235D8"/>
    <w:rsid w:val="001277B9"/>
    <w:rsid w:val="00130055"/>
    <w:rsid w:val="00131885"/>
    <w:rsid w:val="00131A14"/>
    <w:rsid w:val="00132201"/>
    <w:rsid w:val="00134A21"/>
    <w:rsid w:val="00134DA5"/>
    <w:rsid w:val="00137248"/>
    <w:rsid w:val="00140712"/>
    <w:rsid w:val="00140763"/>
    <w:rsid w:val="00140B44"/>
    <w:rsid w:val="00140FEE"/>
    <w:rsid w:val="00142F71"/>
    <w:rsid w:val="001451F8"/>
    <w:rsid w:val="001460CC"/>
    <w:rsid w:val="001475FF"/>
    <w:rsid w:val="0015037B"/>
    <w:rsid w:val="00150655"/>
    <w:rsid w:val="001511FF"/>
    <w:rsid w:val="00152215"/>
    <w:rsid w:val="00153FBB"/>
    <w:rsid w:val="001545F2"/>
    <w:rsid w:val="00155E5F"/>
    <w:rsid w:val="00155E88"/>
    <w:rsid w:val="00156E24"/>
    <w:rsid w:val="00156FE4"/>
    <w:rsid w:val="0016088B"/>
    <w:rsid w:val="00162E77"/>
    <w:rsid w:val="00163F37"/>
    <w:rsid w:val="001642E0"/>
    <w:rsid w:val="00164566"/>
    <w:rsid w:val="00166778"/>
    <w:rsid w:val="0016688A"/>
    <w:rsid w:val="00166C08"/>
    <w:rsid w:val="00166F90"/>
    <w:rsid w:val="00171C8E"/>
    <w:rsid w:val="00172307"/>
    <w:rsid w:val="001737B6"/>
    <w:rsid w:val="00173FBF"/>
    <w:rsid w:val="001744C6"/>
    <w:rsid w:val="0017465F"/>
    <w:rsid w:val="00174B44"/>
    <w:rsid w:val="00174BCD"/>
    <w:rsid w:val="00174CC3"/>
    <w:rsid w:val="001756EC"/>
    <w:rsid w:val="0017576B"/>
    <w:rsid w:val="00175A46"/>
    <w:rsid w:val="00176C00"/>
    <w:rsid w:val="00176F91"/>
    <w:rsid w:val="001773AA"/>
    <w:rsid w:val="0018096F"/>
    <w:rsid w:val="00180CA9"/>
    <w:rsid w:val="001819E6"/>
    <w:rsid w:val="00182738"/>
    <w:rsid w:val="001829D2"/>
    <w:rsid w:val="00183B61"/>
    <w:rsid w:val="00186318"/>
    <w:rsid w:val="00186873"/>
    <w:rsid w:val="001868CB"/>
    <w:rsid w:val="00187669"/>
    <w:rsid w:val="00193436"/>
    <w:rsid w:val="001945EC"/>
    <w:rsid w:val="0019513E"/>
    <w:rsid w:val="00195B12"/>
    <w:rsid w:val="001A21D2"/>
    <w:rsid w:val="001A3FBA"/>
    <w:rsid w:val="001A4F9E"/>
    <w:rsid w:val="001A5EDF"/>
    <w:rsid w:val="001A6B4E"/>
    <w:rsid w:val="001A6C86"/>
    <w:rsid w:val="001B1490"/>
    <w:rsid w:val="001B4B76"/>
    <w:rsid w:val="001C0418"/>
    <w:rsid w:val="001C0F2A"/>
    <w:rsid w:val="001C1070"/>
    <w:rsid w:val="001C1077"/>
    <w:rsid w:val="001C14A1"/>
    <w:rsid w:val="001C2541"/>
    <w:rsid w:val="001C38B9"/>
    <w:rsid w:val="001C5F4E"/>
    <w:rsid w:val="001C7617"/>
    <w:rsid w:val="001D7D8D"/>
    <w:rsid w:val="001E04F8"/>
    <w:rsid w:val="001E15B0"/>
    <w:rsid w:val="001E203A"/>
    <w:rsid w:val="001E26E8"/>
    <w:rsid w:val="001E42A6"/>
    <w:rsid w:val="001E483E"/>
    <w:rsid w:val="001E6FCC"/>
    <w:rsid w:val="001E7445"/>
    <w:rsid w:val="001F297B"/>
    <w:rsid w:val="001F4E3D"/>
    <w:rsid w:val="001F7970"/>
    <w:rsid w:val="0020145F"/>
    <w:rsid w:val="002024E2"/>
    <w:rsid w:val="0020274B"/>
    <w:rsid w:val="00203609"/>
    <w:rsid w:val="00204969"/>
    <w:rsid w:val="00204D9D"/>
    <w:rsid w:val="002108BA"/>
    <w:rsid w:val="00210DB1"/>
    <w:rsid w:val="0021377C"/>
    <w:rsid w:val="00217AD5"/>
    <w:rsid w:val="00220B63"/>
    <w:rsid w:val="002216F6"/>
    <w:rsid w:val="002218BC"/>
    <w:rsid w:val="002219B5"/>
    <w:rsid w:val="0022226D"/>
    <w:rsid w:val="0022416D"/>
    <w:rsid w:val="00224BBF"/>
    <w:rsid w:val="0022724A"/>
    <w:rsid w:val="002301AB"/>
    <w:rsid w:val="002308A9"/>
    <w:rsid w:val="00230D29"/>
    <w:rsid w:val="00231BB2"/>
    <w:rsid w:val="00231FA3"/>
    <w:rsid w:val="00232336"/>
    <w:rsid w:val="00234C71"/>
    <w:rsid w:val="00234E76"/>
    <w:rsid w:val="00234F94"/>
    <w:rsid w:val="00235B28"/>
    <w:rsid w:val="002361FB"/>
    <w:rsid w:val="002366E1"/>
    <w:rsid w:val="00236B68"/>
    <w:rsid w:val="00237901"/>
    <w:rsid w:val="00237E71"/>
    <w:rsid w:val="002406D9"/>
    <w:rsid w:val="0024113D"/>
    <w:rsid w:val="002435D7"/>
    <w:rsid w:val="00244369"/>
    <w:rsid w:val="00244C4D"/>
    <w:rsid w:val="00245903"/>
    <w:rsid w:val="00245B33"/>
    <w:rsid w:val="002502D5"/>
    <w:rsid w:val="00250313"/>
    <w:rsid w:val="00251456"/>
    <w:rsid w:val="002516C6"/>
    <w:rsid w:val="002521FF"/>
    <w:rsid w:val="0025222E"/>
    <w:rsid w:val="00252A9B"/>
    <w:rsid w:val="002530D7"/>
    <w:rsid w:val="00254176"/>
    <w:rsid w:val="0025469C"/>
    <w:rsid w:val="00254F79"/>
    <w:rsid w:val="00255530"/>
    <w:rsid w:val="00255C11"/>
    <w:rsid w:val="00255C32"/>
    <w:rsid w:val="0025666D"/>
    <w:rsid w:val="00257944"/>
    <w:rsid w:val="002608F3"/>
    <w:rsid w:val="00260D17"/>
    <w:rsid w:val="00261A6E"/>
    <w:rsid w:val="0026329B"/>
    <w:rsid w:val="00263EBD"/>
    <w:rsid w:val="00265131"/>
    <w:rsid w:val="0026599C"/>
    <w:rsid w:val="002731EF"/>
    <w:rsid w:val="00273DCA"/>
    <w:rsid w:val="002743DC"/>
    <w:rsid w:val="0027585A"/>
    <w:rsid w:val="002775DB"/>
    <w:rsid w:val="002817E1"/>
    <w:rsid w:val="00281E64"/>
    <w:rsid w:val="0028237E"/>
    <w:rsid w:val="00282C6E"/>
    <w:rsid w:val="00283D6F"/>
    <w:rsid w:val="002857FD"/>
    <w:rsid w:val="00285D03"/>
    <w:rsid w:val="00285F67"/>
    <w:rsid w:val="00291763"/>
    <w:rsid w:val="00291E5B"/>
    <w:rsid w:val="00291FFB"/>
    <w:rsid w:val="00292B24"/>
    <w:rsid w:val="00294A8D"/>
    <w:rsid w:val="00296BEB"/>
    <w:rsid w:val="002972D2"/>
    <w:rsid w:val="00297653"/>
    <w:rsid w:val="002978F9"/>
    <w:rsid w:val="002A0B80"/>
    <w:rsid w:val="002A14C5"/>
    <w:rsid w:val="002A375D"/>
    <w:rsid w:val="002A3CB2"/>
    <w:rsid w:val="002A45E8"/>
    <w:rsid w:val="002A72F6"/>
    <w:rsid w:val="002A764F"/>
    <w:rsid w:val="002B0DF1"/>
    <w:rsid w:val="002B16D0"/>
    <w:rsid w:val="002B29C7"/>
    <w:rsid w:val="002B2BBA"/>
    <w:rsid w:val="002B4308"/>
    <w:rsid w:val="002B5EF5"/>
    <w:rsid w:val="002B5FDA"/>
    <w:rsid w:val="002C0EC8"/>
    <w:rsid w:val="002C1F64"/>
    <w:rsid w:val="002C240B"/>
    <w:rsid w:val="002C261D"/>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82B"/>
    <w:rsid w:val="002E7ACF"/>
    <w:rsid w:val="002F0CDA"/>
    <w:rsid w:val="002F1660"/>
    <w:rsid w:val="002F1B2A"/>
    <w:rsid w:val="002F1B4B"/>
    <w:rsid w:val="002F1C7B"/>
    <w:rsid w:val="002F3682"/>
    <w:rsid w:val="002F3ADD"/>
    <w:rsid w:val="002F3CE6"/>
    <w:rsid w:val="002F4629"/>
    <w:rsid w:val="002F57B6"/>
    <w:rsid w:val="002F6282"/>
    <w:rsid w:val="002F63F8"/>
    <w:rsid w:val="002F6613"/>
    <w:rsid w:val="002F7404"/>
    <w:rsid w:val="002F7417"/>
    <w:rsid w:val="003028B3"/>
    <w:rsid w:val="00303DA5"/>
    <w:rsid w:val="00304B4E"/>
    <w:rsid w:val="003058BA"/>
    <w:rsid w:val="00306B1D"/>
    <w:rsid w:val="003071CD"/>
    <w:rsid w:val="00307A87"/>
    <w:rsid w:val="0031179D"/>
    <w:rsid w:val="00311E77"/>
    <w:rsid w:val="00313A4E"/>
    <w:rsid w:val="00314985"/>
    <w:rsid w:val="003167AC"/>
    <w:rsid w:val="00316CBD"/>
    <w:rsid w:val="00316E8F"/>
    <w:rsid w:val="00317448"/>
    <w:rsid w:val="003175DC"/>
    <w:rsid w:val="00321912"/>
    <w:rsid w:val="00321AA2"/>
    <w:rsid w:val="00322C58"/>
    <w:rsid w:val="00323C75"/>
    <w:rsid w:val="003240BB"/>
    <w:rsid w:val="00327700"/>
    <w:rsid w:val="0033052C"/>
    <w:rsid w:val="003316E9"/>
    <w:rsid w:val="00331CF3"/>
    <w:rsid w:val="00332197"/>
    <w:rsid w:val="00334DE4"/>
    <w:rsid w:val="0033537B"/>
    <w:rsid w:val="00336F2C"/>
    <w:rsid w:val="003376CD"/>
    <w:rsid w:val="00337BD8"/>
    <w:rsid w:val="00340262"/>
    <w:rsid w:val="00340B8A"/>
    <w:rsid w:val="003411C1"/>
    <w:rsid w:val="00341282"/>
    <w:rsid w:val="003412DA"/>
    <w:rsid w:val="003414E7"/>
    <w:rsid w:val="00346350"/>
    <w:rsid w:val="00346E54"/>
    <w:rsid w:val="003477B7"/>
    <w:rsid w:val="003479C3"/>
    <w:rsid w:val="00350673"/>
    <w:rsid w:val="003509E7"/>
    <w:rsid w:val="003531E6"/>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73A3D"/>
    <w:rsid w:val="00376778"/>
    <w:rsid w:val="003802E7"/>
    <w:rsid w:val="003812D0"/>
    <w:rsid w:val="0038144F"/>
    <w:rsid w:val="00381A81"/>
    <w:rsid w:val="00382C86"/>
    <w:rsid w:val="00385105"/>
    <w:rsid w:val="00386023"/>
    <w:rsid w:val="00387C82"/>
    <w:rsid w:val="0039196F"/>
    <w:rsid w:val="00391D3A"/>
    <w:rsid w:val="00392D01"/>
    <w:rsid w:val="00393B78"/>
    <w:rsid w:val="0039421C"/>
    <w:rsid w:val="00394236"/>
    <w:rsid w:val="00395B3E"/>
    <w:rsid w:val="00396E51"/>
    <w:rsid w:val="0039711B"/>
    <w:rsid w:val="0039736B"/>
    <w:rsid w:val="00397F57"/>
    <w:rsid w:val="003A0447"/>
    <w:rsid w:val="003A0B8A"/>
    <w:rsid w:val="003A2900"/>
    <w:rsid w:val="003A390C"/>
    <w:rsid w:val="003A3D8A"/>
    <w:rsid w:val="003A4B97"/>
    <w:rsid w:val="003A4BCC"/>
    <w:rsid w:val="003A4C56"/>
    <w:rsid w:val="003A679B"/>
    <w:rsid w:val="003B0615"/>
    <w:rsid w:val="003B0B22"/>
    <w:rsid w:val="003B2A9D"/>
    <w:rsid w:val="003B2BFB"/>
    <w:rsid w:val="003B4D22"/>
    <w:rsid w:val="003C1A72"/>
    <w:rsid w:val="003C1F24"/>
    <w:rsid w:val="003C2173"/>
    <w:rsid w:val="003C4023"/>
    <w:rsid w:val="003C4CAF"/>
    <w:rsid w:val="003D112A"/>
    <w:rsid w:val="003D1D39"/>
    <w:rsid w:val="003D3C51"/>
    <w:rsid w:val="003D4159"/>
    <w:rsid w:val="003D52B8"/>
    <w:rsid w:val="003D5D19"/>
    <w:rsid w:val="003E18DF"/>
    <w:rsid w:val="003E282E"/>
    <w:rsid w:val="003E3039"/>
    <w:rsid w:val="003E3E2D"/>
    <w:rsid w:val="003E4ACB"/>
    <w:rsid w:val="003E5CFB"/>
    <w:rsid w:val="003E62D6"/>
    <w:rsid w:val="003F007D"/>
    <w:rsid w:val="003F14BE"/>
    <w:rsid w:val="003F2FE7"/>
    <w:rsid w:val="003F469F"/>
    <w:rsid w:val="003F4CDB"/>
    <w:rsid w:val="003F5061"/>
    <w:rsid w:val="004005A4"/>
    <w:rsid w:val="00401A65"/>
    <w:rsid w:val="0040211C"/>
    <w:rsid w:val="00403355"/>
    <w:rsid w:val="00404E89"/>
    <w:rsid w:val="0040653A"/>
    <w:rsid w:val="0041138E"/>
    <w:rsid w:val="00411404"/>
    <w:rsid w:val="00411A4C"/>
    <w:rsid w:val="00412C1A"/>
    <w:rsid w:val="004134F4"/>
    <w:rsid w:val="00413EE3"/>
    <w:rsid w:val="00413F0F"/>
    <w:rsid w:val="00421F60"/>
    <w:rsid w:val="0042476E"/>
    <w:rsid w:val="00424E74"/>
    <w:rsid w:val="00426A6A"/>
    <w:rsid w:val="00427110"/>
    <w:rsid w:val="0042719D"/>
    <w:rsid w:val="0043016A"/>
    <w:rsid w:val="00440FEB"/>
    <w:rsid w:val="00442163"/>
    <w:rsid w:val="00442565"/>
    <w:rsid w:val="00442A7A"/>
    <w:rsid w:val="00442BF6"/>
    <w:rsid w:val="00442D2A"/>
    <w:rsid w:val="00443A15"/>
    <w:rsid w:val="00445A11"/>
    <w:rsid w:val="00446C08"/>
    <w:rsid w:val="004476DE"/>
    <w:rsid w:val="00447E7F"/>
    <w:rsid w:val="00447F8B"/>
    <w:rsid w:val="00450276"/>
    <w:rsid w:val="004506CC"/>
    <w:rsid w:val="0045095D"/>
    <w:rsid w:val="0045097E"/>
    <w:rsid w:val="004513EB"/>
    <w:rsid w:val="00451755"/>
    <w:rsid w:val="00452720"/>
    <w:rsid w:val="00453708"/>
    <w:rsid w:val="00453738"/>
    <w:rsid w:val="00454F4B"/>
    <w:rsid w:val="00455043"/>
    <w:rsid w:val="0045550A"/>
    <w:rsid w:val="00455D78"/>
    <w:rsid w:val="0045641F"/>
    <w:rsid w:val="00456741"/>
    <w:rsid w:val="00457E1D"/>
    <w:rsid w:val="00460436"/>
    <w:rsid w:val="00460DE2"/>
    <w:rsid w:val="00460E43"/>
    <w:rsid w:val="00463560"/>
    <w:rsid w:val="00466612"/>
    <w:rsid w:val="00466861"/>
    <w:rsid w:val="00467365"/>
    <w:rsid w:val="00467AB1"/>
    <w:rsid w:val="004709B0"/>
    <w:rsid w:val="004759DB"/>
    <w:rsid w:val="004778D8"/>
    <w:rsid w:val="0048128D"/>
    <w:rsid w:val="0048403A"/>
    <w:rsid w:val="004846E4"/>
    <w:rsid w:val="004903C9"/>
    <w:rsid w:val="004907DA"/>
    <w:rsid w:val="00490AFD"/>
    <w:rsid w:val="0049134B"/>
    <w:rsid w:val="0049182B"/>
    <w:rsid w:val="00491B4B"/>
    <w:rsid w:val="00493CF1"/>
    <w:rsid w:val="004940F1"/>
    <w:rsid w:val="00494933"/>
    <w:rsid w:val="004965CE"/>
    <w:rsid w:val="00496E13"/>
    <w:rsid w:val="004A0649"/>
    <w:rsid w:val="004A0947"/>
    <w:rsid w:val="004A0ABB"/>
    <w:rsid w:val="004A4BD1"/>
    <w:rsid w:val="004A707E"/>
    <w:rsid w:val="004B047B"/>
    <w:rsid w:val="004B2BFB"/>
    <w:rsid w:val="004B2DF4"/>
    <w:rsid w:val="004B3923"/>
    <w:rsid w:val="004B3B5E"/>
    <w:rsid w:val="004B3D9F"/>
    <w:rsid w:val="004B5284"/>
    <w:rsid w:val="004B6D7A"/>
    <w:rsid w:val="004B76BB"/>
    <w:rsid w:val="004B7D92"/>
    <w:rsid w:val="004C1749"/>
    <w:rsid w:val="004C20AB"/>
    <w:rsid w:val="004C3365"/>
    <w:rsid w:val="004C587A"/>
    <w:rsid w:val="004C6B76"/>
    <w:rsid w:val="004D0515"/>
    <w:rsid w:val="004D099A"/>
    <w:rsid w:val="004D1BCA"/>
    <w:rsid w:val="004D1C9D"/>
    <w:rsid w:val="004D1DA4"/>
    <w:rsid w:val="004D3A04"/>
    <w:rsid w:val="004E1574"/>
    <w:rsid w:val="004E2AB3"/>
    <w:rsid w:val="004E2C09"/>
    <w:rsid w:val="004E3393"/>
    <w:rsid w:val="004E3F0B"/>
    <w:rsid w:val="004E4A45"/>
    <w:rsid w:val="004E4B6F"/>
    <w:rsid w:val="004E5EC0"/>
    <w:rsid w:val="004E7265"/>
    <w:rsid w:val="004F1136"/>
    <w:rsid w:val="004F1527"/>
    <w:rsid w:val="004F2735"/>
    <w:rsid w:val="004F307A"/>
    <w:rsid w:val="004F330B"/>
    <w:rsid w:val="004F3ADA"/>
    <w:rsid w:val="004F4F4F"/>
    <w:rsid w:val="004F55C9"/>
    <w:rsid w:val="004F67A9"/>
    <w:rsid w:val="004F73C7"/>
    <w:rsid w:val="00502B32"/>
    <w:rsid w:val="00504F45"/>
    <w:rsid w:val="00507645"/>
    <w:rsid w:val="00507B5A"/>
    <w:rsid w:val="005117CA"/>
    <w:rsid w:val="005125AE"/>
    <w:rsid w:val="005127D3"/>
    <w:rsid w:val="00515DB3"/>
    <w:rsid w:val="00515E9D"/>
    <w:rsid w:val="00516EDD"/>
    <w:rsid w:val="005200CA"/>
    <w:rsid w:val="0052077C"/>
    <w:rsid w:val="00521F1D"/>
    <w:rsid w:val="005232D6"/>
    <w:rsid w:val="00525C1B"/>
    <w:rsid w:val="005261C1"/>
    <w:rsid w:val="00530EFD"/>
    <w:rsid w:val="00532A06"/>
    <w:rsid w:val="005356B5"/>
    <w:rsid w:val="00536754"/>
    <w:rsid w:val="00536AD4"/>
    <w:rsid w:val="00536B00"/>
    <w:rsid w:val="00536ED9"/>
    <w:rsid w:val="005378C5"/>
    <w:rsid w:val="00537FF8"/>
    <w:rsid w:val="00540D2B"/>
    <w:rsid w:val="00541D29"/>
    <w:rsid w:val="005425D7"/>
    <w:rsid w:val="00542F5A"/>
    <w:rsid w:val="00544623"/>
    <w:rsid w:val="005469DE"/>
    <w:rsid w:val="005475F2"/>
    <w:rsid w:val="0055033B"/>
    <w:rsid w:val="005505E0"/>
    <w:rsid w:val="005505E5"/>
    <w:rsid w:val="00550C7C"/>
    <w:rsid w:val="00551864"/>
    <w:rsid w:val="00551B4D"/>
    <w:rsid w:val="00551CFE"/>
    <w:rsid w:val="00554121"/>
    <w:rsid w:val="005554F5"/>
    <w:rsid w:val="0055555A"/>
    <w:rsid w:val="005563D4"/>
    <w:rsid w:val="0055673A"/>
    <w:rsid w:val="00556EAD"/>
    <w:rsid w:val="00557239"/>
    <w:rsid w:val="005573A8"/>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30E"/>
    <w:rsid w:val="00583BEE"/>
    <w:rsid w:val="00584B8E"/>
    <w:rsid w:val="00587C5A"/>
    <w:rsid w:val="00590322"/>
    <w:rsid w:val="005917C1"/>
    <w:rsid w:val="00591A62"/>
    <w:rsid w:val="005933D9"/>
    <w:rsid w:val="00594B4A"/>
    <w:rsid w:val="005954B1"/>
    <w:rsid w:val="00595D8A"/>
    <w:rsid w:val="005A0EC4"/>
    <w:rsid w:val="005A5095"/>
    <w:rsid w:val="005A5F06"/>
    <w:rsid w:val="005A693F"/>
    <w:rsid w:val="005B1168"/>
    <w:rsid w:val="005B1ACA"/>
    <w:rsid w:val="005B2ED9"/>
    <w:rsid w:val="005B40E5"/>
    <w:rsid w:val="005B7A7E"/>
    <w:rsid w:val="005C021F"/>
    <w:rsid w:val="005C0423"/>
    <w:rsid w:val="005C0A6E"/>
    <w:rsid w:val="005C0D2D"/>
    <w:rsid w:val="005C2215"/>
    <w:rsid w:val="005C22CA"/>
    <w:rsid w:val="005C2F47"/>
    <w:rsid w:val="005C493F"/>
    <w:rsid w:val="005C532B"/>
    <w:rsid w:val="005C6411"/>
    <w:rsid w:val="005C6CD5"/>
    <w:rsid w:val="005C6F0D"/>
    <w:rsid w:val="005C771E"/>
    <w:rsid w:val="005D022C"/>
    <w:rsid w:val="005D06C9"/>
    <w:rsid w:val="005D1E0A"/>
    <w:rsid w:val="005D1E7F"/>
    <w:rsid w:val="005D3CEF"/>
    <w:rsid w:val="005D3F1A"/>
    <w:rsid w:val="005D3FB8"/>
    <w:rsid w:val="005D43B8"/>
    <w:rsid w:val="005D5553"/>
    <w:rsid w:val="005D6316"/>
    <w:rsid w:val="005E19C2"/>
    <w:rsid w:val="005E1BD2"/>
    <w:rsid w:val="005E306A"/>
    <w:rsid w:val="005E3622"/>
    <w:rsid w:val="005E56AE"/>
    <w:rsid w:val="005E67EF"/>
    <w:rsid w:val="005E797B"/>
    <w:rsid w:val="005E7A94"/>
    <w:rsid w:val="005F07E9"/>
    <w:rsid w:val="005F1D7F"/>
    <w:rsid w:val="005F344C"/>
    <w:rsid w:val="005F5744"/>
    <w:rsid w:val="00600AF9"/>
    <w:rsid w:val="00602441"/>
    <w:rsid w:val="006055F4"/>
    <w:rsid w:val="00605F4E"/>
    <w:rsid w:val="006068F7"/>
    <w:rsid w:val="00610140"/>
    <w:rsid w:val="0061080D"/>
    <w:rsid w:val="00610894"/>
    <w:rsid w:val="00611626"/>
    <w:rsid w:val="0061200D"/>
    <w:rsid w:val="006130EE"/>
    <w:rsid w:val="00613599"/>
    <w:rsid w:val="006148A4"/>
    <w:rsid w:val="00615B70"/>
    <w:rsid w:val="006167DB"/>
    <w:rsid w:val="00617DFF"/>
    <w:rsid w:val="00617E5C"/>
    <w:rsid w:val="00620094"/>
    <w:rsid w:val="00620252"/>
    <w:rsid w:val="00621173"/>
    <w:rsid w:val="0062162D"/>
    <w:rsid w:val="00622313"/>
    <w:rsid w:val="00623672"/>
    <w:rsid w:val="0062444A"/>
    <w:rsid w:val="00624AEF"/>
    <w:rsid w:val="0062659E"/>
    <w:rsid w:val="00626DAC"/>
    <w:rsid w:val="00627C19"/>
    <w:rsid w:val="00627DE7"/>
    <w:rsid w:val="006314B9"/>
    <w:rsid w:val="00631555"/>
    <w:rsid w:val="00632A78"/>
    <w:rsid w:val="00632E2D"/>
    <w:rsid w:val="00632F4E"/>
    <w:rsid w:val="006331A2"/>
    <w:rsid w:val="006342D9"/>
    <w:rsid w:val="00634658"/>
    <w:rsid w:val="00634787"/>
    <w:rsid w:val="00635C43"/>
    <w:rsid w:val="006364F6"/>
    <w:rsid w:val="00640C9C"/>
    <w:rsid w:val="00640DD5"/>
    <w:rsid w:val="00641A51"/>
    <w:rsid w:val="00643797"/>
    <w:rsid w:val="006439EA"/>
    <w:rsid w:val="00643FBF"/>
    <w:rsid w:val="006449AC"/>
    <w:rsid w:val="006451FA"/>
    <w:rsid w:val="0064538F"/>
    <w:rsid w:val="00650430"/>
    <w:rsid w:val="00650582"/>
    <w:rsid w:val="00651AC2"/>
    <w:rsid w:val="006528B7"/>
    <w:rsid w:val="00654A68"/>
    <w:rsid w:val="00654B02"/>
    <w:rsid w:val="006553D1"/>
    <w:rsid w:val="006575D2"/>
    <w:rsid w:val="00657642"/>
    <w:rsid w:val="00660A13"/>
    <w:rsid w:val="00660C7A"/>
    <w:rsid w:val="00660C8A"/>
    <w:rsid w:val="006619DC"/>
    <w:rsid w:val="00661AA7"/>
    <w:rsid w:val="00662828"/>
    <w:rsid w:val="006630E1"/>
    <w:rsid w:val="006635EE"/>
    <w:rsid w:val="006646E8"/>
    <w:rsid w:val="006663D0"/>
    <w:rsid w:val="00670FB1"/>
    <w:rsid w:val="0067215A"/>
    <w:rsid w:val="00673A89"/>
    <w:rsid w:val="00674475"/>
    <w:rsid w:val="0067456E"/>
    <w:rsid w:val="006748EE"/>
    <w:rsid w:val="00675122"/>
    <w:rsid w:val="00675F26"/>
    <w:rsid w:val="00682ADE"/>
    <w:rsid w:val="00682B7E"/>
    <w:rsid w:val="006859BA"/>
    <w:rsid w:val="00690C93"/>
    <w:rsid w:val="0069122E"/>
    <w:rsid w:val="00691D14"/>
    <w:rsid w:val="00691FBD"/>
    <w:rsid w:val="00694585"/>
    <w:rsid w:val="00694624"/>
    <w:rsid w:val="00695441"/>
    <w:rsid w:val="00695980"/>
    <w:rsid w:val="00696388"/>
    <w:rsid w:val="006970E9"/>
    <w:rsid w:val="006A01A0"/>
    <w:rsid w:val="006A0819"/>
    <w:rsid w:val="006A114D"/>
    <w:rsid w:val="006A5321"/>
    <w:rsid w:val="006A62EE"/>
    <w:rsid w:val="006A656A"/>
    <w:rsid w:val="006A687C"/>
    <w:rsid w:val="006A6BFF"/>
    <w:rsid w:val="006B166E"/>
    <w:rsid w:val="006B19C3"/>
    <w:rsid w:val="006B1EB1"/>
    <w:rsid w:val="006B394A"/>
    <w:rsid w:val="006B3D25"/>
    <w:rsid w:val="006B792C"/>
    <w:rsid w:val="006C08FA"/>
    <w:rsid w:val="006C28D8"/>
    <w:rsid w:val="006C2AC0"/>
    <w:rsid w:val="006C2DAB"/>
    <w:rsid w:val="006C534C"/>
    <w:rsid w:val="006C6752"/>
    <w:rsid w:val="006C7116"/>
    <w:rsid w:val="006C7B04"/>
    <w:rsid w:val="006C7BEF"/>
    <w:rsid w:val="006D2660"/>
    <w:rsid w:val="006D2D96"/>
    <w:rsid w:val="006D3877"/>
    <w:rsid w:val="006D3964"/>
    <w:rsid w:val="006D4E8F"/>
    <w:rsid w:val="006D518C"/>
    <w:rsid w:val="006D579F"/>
    <w:rsid w:val="006E0830"/>
    <w:rsid w:val="006E4B4F"/>
    <w:rsid w:val="006E5760"/>
    <w:rsid w:val="006E608A"/>
    <w:rsid w:val="006E621A"/>
    <w:rsid w:val="006E69A7"/>
    <w:rsid w:val="006E6EAA"/>
    <w:rsid w:val="006F060A"/>
    <w:rsid w:val="006F0678"/>
    <w:rsid w:val="006F1876"/>
    <w:rsid w:val="006F1B14"/>
    <w:rsid w:val="006F3E36"/>
    <w:rsid w:val="006F49C7"/>
    <w:rsid w:val="006F4DB7"/>
    <w:rsid w:val="006F58B0"/>
    <w:rsid w:val="006F6733"/>
    <w:rsid w:val="006F7FB2"/>
    <w:rsid w:val="00700166"/>
    <w:rsid w:val="00701D95"/>
    <w:rsid w:val="00703D80"/>
    <w:rsid w:val="007062B8"/>
    <w:rsid w:val="00707B5E"/>
    <w:rsid w:val="007102D3"/>
    <w:rsid w:val="007110AF"/>
    <w:rsid w:val="00714B74"/>
    <w:rsid w:val="00720E64"/>
    <w:rsid w:val="00720F25"/>
    <w:rsid w:val="00724C08"/>
    <w:rsid w:val="0072697B"/>
    <w:rsid w:val="00730BC7"/>
    <w:rsid w:val="00730C3D"/>
    <w:rsid w:val="007329E1"/>
    <w:rsid w:val="0073598E"/>
    <w:rsid w:val="00735CBB"/>
    <w:rsid w:val="007361CC"/>
    <w:rsid w:val="00737D58"/>
    <w:rsid w:val="00740863"/>
    <w:rsid w:val="0074137C"/>
    <w:rsid w:val="00741DA8"/>
    <w:rsid w:val="00742E84"/>
    <w:rsid w:val="00743683"/>
    <w:rsid w:val="00743A12"/>
    <w:rsid w:val="00746558"/>
    <w:rsid w:val="00753854"/>
    <w:rsid w:val="0075479C"/>
    <w:rsid w:val="00755B70"/>
    <w:rsid w:val="00756248"/>
    <w:rsid w:val="00756A49"/>
    <w:rsid w:val="007602B9"/>
    <w:rsid w:val="007618D6"/>
    <w:rsid w:val="00761D36"/>
    <w:rsid w:val="0076272C"/>
    <w:rsid w:val="00762921"/>
    <w:rsid w:val="007635CE"/>
    <w:rsid w:val="0076678E"/>
    <w:rsid w:val="0076717F"/>
    <w:rsid w:val="0077027E"/>
    <w:rsid w:val="00770759"/>
    <w:rsid w:val="00772342"/>
    <w:rsid w:val="007736DF"/>
    <w:rsid w:val="00773AC4"/>
    <w:rsid w:val="00773B5B"/>
    <w:rsid w:val="00773E0E"/>
    <w:rsid w:val="007740D3"/>
    <w:rsid w:val="007768C7"/>
    <w:rsid w:val="00776A56"/>
    <w:rsid w:val="007807DE"/>
    <w:rsid w:val="00782F5F"/>
    <w:rsid w:val="00783BA9"/>
    <w:rsid w:val="0078488C"/>
    <w:rsid w:val="0079151F"/>
    <w:rsid w:val="00791F5C"/>
    <w:rsid w:val="007929C4"/>
    <w:rsid w:val="007929DB"/>
    <w:rsid w:val="00792E5D"/>
    <w:rsid w:val="007939CA"/>
    <w:rsid w:val="00795053"/>
    <w:rsid w:val="00795569"/>
    <w:rsid w:val="00795ECE"/>
    <w:rsid w:val="0079609A"/>
    <w:rsid w:val="007962F0"/>
    <w:rsid w:val="007A0574"/>
    <w:rsid w:val="007A05AD"/>
    <w:rsid w:val="007A0E93"/>
    <w:rsid w:val="007A4896"/>
    <w:rsid w:val="007A4A4B"/>
    <w:rsid w:val="007A5255"/>
    <w:rsid w:val="007A770A"/>
    <w:rsid w:val="007A7FCF"/>
    <w:rsid w:val="007B0C0E"/>
    <w:rsid w:val="007B0FB5"/>
    <w:rsid w:val="007B178B"/>
    <w:rsid w:val="007B3A9E"/>
    <w:rsid w:val="007B4191"/>
    <w:rsid w:val="007B5780"/>
    <w:rsid w:val="007B5CA1"/>
    <w:rsid w:val="007B7D73"/>
    <w:rsid w:val="007C1E79"/>
    <w:rsid w:val="007C4944"/>
    <w:rsid w:val="007C54CB"/>
    <w:rsid w:val="007C5517"/>
    <w:rsid w:val="007C659E"/>
    <w:rsid w:val="007D42CD"/>
    <w:rsid w:val="007D4FF9"/>
    <w:rsid w:val="007E1BB9"/>
    <w:rsid w:val="007E321E"/>
    <w:rsid w:val="007E3ED3"/>
    <w:rsid w:val="007E45F6"/>
    <w:rsid w:val="007E4E9D"/>
    <w:rsid w:val="007E5B14"/>
    <w:rsid w:val="007E7320"/>
    <w:rsid w:val="007E76B7"/>
    <w:rsid w:val="007F0376"/>
    <w:rsid w:val="007F04AE"/>
    <w:rsid w:val="007F1968"/>
    <w:rsid w:val="007F34A5"/>
    <w:rsid w:val="007F58C3"/>
    <w:rsid w:val="007F590E"/>
    <w:rsid w:val="007F5A38"/>
    <w:rsid w:val="007F5D12"/>
    <w:rsid w:val="007F67C3"/>
    <w:rsid w:val="0080028D"/>
    <w:rsid w:val="0080052B"/>
    <w:rsid w:val="00802507"/>
    <w:rsid w:val="008048AD"/>
    <w:rsid w:val="00805C12"/>
    <w:rsid w:val="0080666E"/>
    <w:rsid w:val="00811606"/>
    <w:rsid w:val="00811FA7"/>
    <w:rsid w:val="008129B2"/>
    <w:rsid w:val="00813396"/>
    <w:rsid w:val="00814E45"/>
    <w:rsid w:val="008155BA"/>
    <w:rsid w:val="008162B7"/>
    <w:rsid w:val="00816313"/>
    <w:rsid w:val="00816C0F"/>
    <w:rsid w:val="0081792D"/>
    <w:rsid w:val="00817CD9"/>
    <w:rsid w:val="00822038"/>
    <w:rsid w:val="00822897"/>
    <w:rsid w:val="00822A02"/>
    <w:rsid w:val="00823A4E"/>
    <w:rsid w:val="00823E2B"/>
    <w:rsid w:val="00826AE7"/>
    <w:rsid w:val="00826F0B"/>
    <w:rsid w:val="00830D32"/>
    <w:rsid w:val="00831041"/>
    <w:rsid w:val="0083191F"/>
    <w:rsid w:val="00831E7B"/>
    <w:rsid w:val="008339F4"/>
    <w:rsid w:val="00833A07"/>
    <w:rsid w:val="00835434"/>
    <w:rsid w:val="00835D2E"/>
    <w:rsid w:val="00835D9E"/>
    <w:rsid w:val="00836176"/>
    <w:rsid w:val="00836E7F"/>
    <w:rsid w:val="00837DF2"/>
    <w:rsid w:val="00842094"/>
    <w:rsid w:val="00842A68"/>
    <w:rsid w:val="0084463F"/>
    <w:rsid w:val="00844A75"/>
    <w:rsid w:val="0084528D"/>
    <w:rsid w:val="00850A64"/>
    <w:rsid w:val="00855A46"/>
    <w:rsid w:val="00855C4E"/>
    <w:rsid w:val="008564EA"/>
    <w:rsid w:val="00857079"/>
    <w:rsid w:val="00860631"/>
    <w:rsid w:val="00860D54"/>
    <w:rsid w:val="00860EAF"/>
    <w:rsid w:val="008636F9"/>
    <w:rsid w:val="0086476C"/>
    <w:rsid w:val="00865CE8"/>
    <w:rsid w:val="008664EB"/>
    <w:rsid w:val="00867D68"/>
    <w:rsid w:val="00870469"/>
    <w:rsid w:val="00873466"/>
    <w:rsid w:val="008744EA"/>
    <w:rsid w:val="00874DE9"/>
    <w:rsid w:val="00875F25"/>
    <w:rsid w:val="0087715C"/>
    <w:rsid w:val="008778A9"/>
    <w:rsid w:val="00877D3C"/>
    <w:rsid w:val="00880496"/>
    <w:rsid w:val="00882483"/>
    <w:rsid w:val="00882E60"/>
    <w:rsid w:val="00882F96"/>
    <w:rsid w:val="008844A2"/>
    <w:rsid w:val="008845A9"/>
    <w:rsid w:val="008860FC"/>
    <w:rsid w:val="00886D3A"/>
    <w:rsid w:val="008874C1"/>
    <w:rsid w:val="00890513"/>
    <w:rsid w:val="0089070C"/>
    <w:rsid w:val="00890B68"/>
    <w:rsid w:val="008925BC"/>
    <w:rsid w:val="0089260E"/>
    <w:rsid w:val="00892D49"/>
    <w:rsid w:val="008932A3"/>
    <w:rsid w:val="00893CB8"/>
    <w:rsid w:val="00894434"/>
    <w:rsid w:val="00894CA7"/>
    <w:rsid w:val="00894FB2"/>
    <w:rsid w:val="00895002"/>
    <w:rsid w:val="00895BD8"/>
    <w:rsid w:val="0089655B"/>
    <w:rsid w:val="00896C0D"/>
    <w:rsid w:val="00896D03"/>
    <w:rsid w:val="00896EB1"/>
    <w:rsid w:val="008972D1"/>
    <w:rsid w:val="00897BC8"/>
    <w:rsid w:val="008A0838"/>
    <w:rsid w:val="008A13E7"/>
    <w:rsid w:val="008A252E"/>
    <w:rsid w:val="008A3F35"/>
    <w:rsid w:val="008A581A"/>
    <w:rsid w:val="008A5F7F"/>
    <w:rsid w:val="008A63E2"/>
    <w:rsid w:val="008A6630"/>
    <w:rsid w:val="008A6DB9"/>
    <w:rsid w:val="008A7107"/>
    <w:rsid w:val="008A7D83"/>
    <w:rsid w:val="008B0154"/>
    <w:rsid w:val="008B088E"/>
    <w:rsid w:val="008B1963"/>
    <w:rsid w:val="008B20D0"/>
    <w:rsid w:val="008B24F2"/>
    <w:rsid w:val="008B2769"/>
    <w:rsid w:val="008B3356"/>
    <w:rsid w:val="008B37F0"/>
    <w:rsid w:val="008B3E4E"/>
    <w:rsid w:val="008B41BC"/>
    <w:rsid w:val="008B4702"/>
    <w:rsid w:val="008B65B4"/>
    <w:rsid w:val="008C0F54"/>
    <w:rsid w:val="008C10DA"/>
    <w:rsid w:val="008C1C56"/>
    <w:rsid w:val="008C2435"/>
    <w:rsid w:val="008C5503"/>
    <w:rsid w:val="008C5726"/>
    <w:rsid w:val="008C798A"/>
    <w:rsid w:val="008D1615"/>
    <w:rsid w:val="008D1C86"/>
    <w:rsid w:val="008D3255"/>
    <w:rsid w:val="008D47F6"/>
    <w:rsid w:val="008D6371"/>
    <w:rsid w:val="008D69DA"/>
    <w:rsid w:val="008E1296"/>
    <w:rsid w:val="008E270A"/>
    <w:rsid w:val="008E2DC7"/>
    <w:rsid w:val="008E672E"/>
    <w:rsid w:val="008E72E3"/>
    <w:rsid w:val="008F1FD4"/>
    <w:rsid w:val="008F3BF2"/>
    <w:rsid w:val="008F4B7D"/>
    <w:rsid w:val="008F4B82"/>
    <w:rsid w:val="00905C9B"/>
    <w:rsid w:val="00912398"/>
    <w:rsid w:val="009130AF"/>
    <w:rsid w:val="00913825"/>
    <w:rsid w:val="009140B9"/>
    <w:rsid w:val="009141C1"/>
    <w:rsid w:val="009148CA"/>
    <w:rsid w:val="00914EA8"/>
    <w:rsid w:val="0091664E"/>
    <w:rsid w:val="009169A4"/>
    <w:rsid w:val="009170B7"/>
    <w:rsid w:val="00920236"/>
    <w:rsid w:val="009206A6"/>
    <w:rsid w:val="00920AB5"/>
    <w:rsid w:val="009219D9"/>
    <w:rsid w:val="00922197"/>
    <w:rsid w:val="0092287E"/>
    <w:rsid w:val="00922A9D"/>
    <w:rsid w:val="0092347C"/>
    <w:rsid w:val="0092472D"/>
    <w:rsid w:val="00925F58"/>
    <w:rsid w:val="009262AA"/>
    <w:rsid w:val="00926438"/>
    <w:rsid w:val="009323CA"/>
    <w:rsid w:val="0093291C"/>
    <w:rsid w:val="00932DD8"/>
    <w:rsid w:val="00933213"/>
    <w:rsid w:val="00933E80"/>
    <w:rsid w:val="009343D3"/>
    <w:rsid w:val="00937D2C"/>
    <w:rsid w:val="00937FF2"/>
    <w:rsid w:val="00940DF6"/>
    <w:rsid w:val="009411C1"/>
    <w:rsid w:val="00942366"/>
    <w:rsid w:val="00943329"/>
    <w:rsid w:val="00943ED3"/>
    <w:rsid w:val="009443D6"/>
    <w:rsid w:val="009445E7"/>
    <w:rsid w:val="0094654A"/>
    <w:rsid w:val="0094736B"/>
    <w:rsid w:val="0095004D"/>
    <w:rsid w:val="009515AA"/>
    <w:rsid w:val="00951DAA"/>
    <w:rsid w:val="009524D9"/>
    <w:rsid w:val="009526E8"/>
    <w:rsid w:val="00952AF7"/>
    <w:rsid w:val="00952E0A"/>
    <w:rsid w:val="00953DDB"/>
    <w:rsid w:val="00953DF2"/>
    <w:rsid w:val="00955094"/>
    <w:rsid w:val="009550AF"/>
    <w:rsid w:val="00960B49"/>
    <w:rsid w:val="009648C3"/>
    <w:rsid w:val="00964DD4"/>
    <w:rsid w:val="009669F1"/>
    <w:rsid w:val="00966BA6"/>
    <w:rsid w:val="0096732C"/>
    <w:rsid w:val="009675A9"/>
    <w:rsid w:val="00967B10"/>
    <w:rsid w:val="009714E6"/>
    <w:rsid w:val="00971553"/>
    <w:rsid w:val="009717A1"/>
    <w:rsid w:val="00976765"/>
    <w:rsid w:val="00976B7D"/>
    <w:rsid w:val="009774D1"/>
    <w:rsid w:val="00977737"/>
    <w:rsid w:val="00981947"/>
    <w:rsid w:val="00981BE4"/>
    <w:rsid w:val="00981C70"/>
    <w:rsid w:val="00981FF8"/>
    <w:rsid w:val="00982654"/>
    <w:rsid w:val="00982B60"/>
    <w:rsid w:val="009839F3"/>
    <w:rsid w:val="00983A76"/>
    <w:rsid w:val="00985656"/>
    <w:rsid w:val="009878F0"/>
    <w:rsid w:val="00987AB7"/>
    <w:rsid w:val="00987FB6"/>
    <w:rsid w:val="00990761"/>
    <w:rsid w:val="00992467"/>
    <w:rsid w:val="009972A2"/>
    <w:rsid w:val="0099783F"/>
    <w:rsid w:val="009A0B29"/>
    <w:rsid w:val="009A106A"/>
    <w:rsid w:val="009A13D9"/>
    <w:rsid w:val="009A15D9"/>
    <w:rsid w:val="009A1711"/>
    <w:rsid w:val="009A181B"/>
    <w:rsid w:val="009A1C23"/>
    <w:rsid w:val="009A36DD"/>
    <w:rsid w:val="009A3EEC"/>
    <w:rsid w:val="009A4508"/>
    <w:rsid w:val="009A6788"/>
    <w:rsid w:val="009A6A40"/>
    <w:rsid w:val="009B1B6B"/>
    <w:rsid w:val="009B2A0E"/>
    <w:rsid w:val="009B462A"/>
    <w:rsid w:val="009B52AF"/>
    <w:rsid w:val="009B5606"/>
    <w:rsid w:val="009B603A"/>
    <w:rsid w:val="009B7956"/>
    <w:rsid w:val="009C057C"/>
    <w:rsid w:val="009C0789"/>
    <w:rsid w:val="009C0945"/>
    <w:rsid w:val="009C0F33"/>
    <w:rsid w:val="009C125D"/>
    <w:rsid w:val="009C143E"/>
    <w:rsid w:val="009C1E6B"/>
    <w:rsid w:val="009C4651"/>
    <w:rsid w:val="009C53E4"/>
    <w:rsid w:val="009C5CDE"/>
    <w:rsid w:val="009C6162"/>
    <w:rsid w:val="009C74AB"/>
    <w:rsid w:val="009D05E3"/>
    <w:rsid w:val="009D26B5"/>
    <w:rsid w:val="009D3151"/>
    <w:rsid w:val="009D42AA"/>
    <w:rsid w:val="009D5A7B"/>
    <w:rsid w:val="009D7CB0"/>
    <w:rsid w:val="009E013E"/>
    <w:rsid w:val="009E14E6"/>
    <w:rsid w:val="009E2682"/>
    <w:rsid w:val="009E44F2"/>
    <w:rsid w:val="009E4A2E"/>
    <w:rsid w:val="009E4D8D"/>
    <w:rsid w:val="009E6453"/>
    <w:rsid w:val="009E7A0A"/>
    <w:rsid w:val="009F19E8"/>
    <w:rsid w:val="009F1C9C"/>
    <w:rsid w:val="009F272A"/>
    <w:rsid w:val="009F2830"/>
    <w:rsid w:val="009F2A15"/>
    <w:rsid w:val="009F3181"/>
    <w:rsid w:val="009F6EB6"/>
    <w:rsid w:val="009F790B"/>
    <w:rsid w:val="009F7EB5"/>
    <w:rsid w:val="00A01E81"/>
    <w:rsid w:val="00A04AD3"/>
    <w:rsid w:val="00A070BE"/>
    <w:rsid w:val="00A073CB"/>
    <w:rsid w:val="00A07D5A"/>
    <w:rsid w:val="00A1037F"/>
    <w:rsid w:val="00A11CAC"/>
    <w:rsid w:val="00A1419D"/>
    <w:rsid w:val="00A14458"/>
    <w:rsid w:val="00A14C86"/>
    <w:rsid w:val="00A14CD4"/>
    <w:rsid w:val="00A1734E"/>
    <w:rsid w:val="00A17C3A"/>
    <w:rsid w:val="00A202A9"/>
    <w:rsid w:val="00A223EC"/>
    <w:rsid w:val="00A262DF"/>
    <w:rsid w:val="00A2684A"/>
    <w:rsid w:val="00A26A65"/>
    <w:rsid w:val="00A27A9D"/>
    <w:rsid w:val="00A27EB6"/>
    <w:rsid w:val="00A30440"/>
    <w:rsid w:val="00A325AB"/>
    <w:rsid w:val="00A37DC4"/>
    <w:rsid w:val="00A40BC8"/>
    <w:rsid w:val="00A41316"/>
    <w:rsid w:val="00A43008"/>
    <w:rsid w:val="00A45F59"/>
    <w:rsid w:val="00A5218C"/>
    <w:rsid w:val="00A52469"/>
    <w:rsid w:val="00A52E02"/>
    <w:rsid w:val="00A537B6"/>
    <w:rsid w:val="00A54ACF"/>
    <w:rsid w:val="00A57EA4"/>
    <w:rsid w:val="00A60213"/>
    <w:rsid w:val="00A6114B"/>
    <w:rsid w:val="00A615E8"/>
    <w:rsid w:val="00A61C0E"/>
    <w:rsid w:val="00A645D8"/>
    <w:rsid w:val="00A66F9B"/>
    <w:rsid w:val="00A670FB"/>
    <w:rsid w:val="00A702F9"/>
    <w:rsid w:val="00A72343"/>
    <w:rsid w:val="00A730DC"/>
    <w:rsid w:val="00A73A66"/>
    <w:rsid w:val="00A75687"/>
    <w:rsid w:val="00A762AA"/>
    <w:rsid w:val="00A768DC"/>
    <w:rsid w:val="00A76F02"/>
    <w:rsid w:val="00A77399"/>
    <w:rsid w:val="00A77981"/>
    <w:rsid w:val="00A80B95"/>
    <w:rsid w:val="00A82B9E"/>
    <w:rsid w:val="00A82D0D"/>
    <w:rsid w:val="00A83597"/>
    <w:rsid w:val="00A83C79"/>
    <w:rsid w:val="00A841DE"/>
    <w:rsid w:val="00A8559D"/>
    <w:rsid w:val="00A931A3"/>
    <w:rsid w:val="00A9408A"/>
    <w:rsid w:val="00A94F52"/>
    <w:rsid w:val="00A96584"/>
    <w:rsid w:val="00A96795"/>
    <w:rsid w:val="00A96A6A"/>
    <w:rsid w:val="00A96E27"/>
    <w:rsid w:val="00A97343"/>
    <w:rsid w:val="00AA1DAF"/>
    <w:rsid w:val="00AA236F"/>
    <w:rsid w:val="00AA2E90"/>
    <w:rsid w:val="00AA37BC"/>
    <w:rsid w:val="00AA4A29"/>
    <w:rsid w:val="00AA651C"/>
    <w:rsid w:val="00AA74C1"/>
    <w:rsid w:val="00AA7A1B"/>
    <w:rsid w:val="00AB236A"/>
    <w:rsid w:val="00AB3D69"/>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3D01"/>
    <w:rsid w:val="00AE492E"/>
    <w:rsid w:val="00AE4E03"/>
    <w:rsid w:val="00AE53C0"/>
    <w:rsid w:val="00AE64EF"/>
    <w:rsid w:val="00AE7215"/>
    <w:rsid w:val="00AF2763"/>
    <w:rsid w:val="00AF2BA7"/>
    <w:rsid w:val="00AF306C"/>
    <w:rsid w:val="00AF4095"/>
    <w:rsid w:val="00AF420E"/>
    <w:rsid w:val="00AF6040"/>
    <w:rsid w:val="00AF60A5"/>
    <w:rsid w:val="00AF653C"/>
    <w:rsid w:val="00AF7938"/>
    <w:rsid w:val="00B0030B"/>
    <w:rsid w:val="00B00681"/>
    <w:rsid w:val="00B00A5E"/>
    <w:rsid w:val="00B00E83"/>
    <w:rsid w:val="00B0395F"/>
    <w:rsid w:val="00B0457A"/>
    <w:rsid w:val="00B064A0"/>
    <w:rsid w:val="00B06916"/>
    <w:rsid w:val="00B071DB"/>
    <w:rsid w:val="00B135D7"/>
    <w:rsid w:val="00B1388C"/>
    <w:rsid w:val="00B1397B"/>
    <w:rsid w:val="00B13CE7"/>
    <w:rsid w:val="00B13FE9"/>
    <w:rsid w:val="00B14691"/>
    <w:rsid w:val="00B162CD"/>
    <w:rsid w:val="00B17CFF"/>
    <w:rsid w:val="00B23279"/>
    <w:rsid w:val="00B23443"/>
    <w:rsid w:val="00B2531F"/>
    <w:rsid w:val="00B2585A"/>
    <w:rsid w:val="00B25898"/>
    <w:rsid w:val="00B25B77"/>
    <w:rsid w:val="00B2629D"/>
    <w:rsid w:val="00B31011"/>
    <w:rsid w:val="00B316F7"/>
    <w:rsid w:val="00B34926"/>
    <w:rsid w:val="00B36811"/>
    <w:rsid w:val="00B370B2"/>
    <w:rsid w:val="00B371D4"/>
    <w:rsid w:val="00B377D4"/>
    <w:rsid w:val="00B401C1"/>
    <w:rsid w:val="00B403A1"/>
    <w:rsid w:val="00B40456"/>
    <w:rsid w:val="00B40AF8"/>
    <w:rsid w:val="00B426A5"/>
    <w:rsid w:val="00B426C6"/>
    <w:rsid w:val="00B432FD"/>
    <w:rsid w:val="00B44219"/>
    <w:rsid w:val="00B445C8"/>
    <w:rsid w:val="00B45117"/>
    <w:rsid w:val="00B45F40"/>
    <w:rsid w:val="00B524BD"/>
    <w:rsid w:val="00B53037"/>
    <w:rsid w:val="00B5315D"/>
    <w:rsid w:val="00B542EC"/>
    <w:rsid w:val="00B55FC5"/>
    <w:rsid w:val="00B60178"/>
    <w:rsid w:val="00B60EC4"/>
    <w:rsid w:val="00B61DE8"/>
    <w:rsid w:val="00B634D4"/>
    <w:rsid w:val="00B64313"/>
    <w:rsid w:val="00B64829"/>
    <w:rsid w:val="00B650A2"/>
    <w:rsid w:val="00B6548E"/>
    <w:rsid w:val="00B65667"/>
    <w:rsid w:val="00B6639B"/>
    <w:rsid w:val="00B66C70"/>
    <w:rsid w:val="00B66CB7"/>
    <w:rsid w:val="00B66CC0"/>
    <w:rsid w:val="00B7053E"/>
    <w:rsid w:val="00B71FC4"/>
    <w:rsid w:val="00B73CC4"/>
    <w:rsid w:val="00B748E1"/>
    <w:rsid w:val="00B7512F"/>
    <w:rsid w:val="00B767AE"/>
    <w:rsid w:val="00B76A73"/>
    <w:rsid w:val="00B76BDF"/>
    <w:rsid w:val="00B76D6D"/>
    <w:rsid w:val="00B80D2B"/>
    <w:rsid w:val="00B82663"/>
    <w:rsid w:val="00B82B8B"/>
    <w:rsid w:val="00B82E0D"/>
    <w:rsid w:val="00B84330"/>
    <w:rsid w:val="00B84DED"/>
    <w:rsid w:val="00B860AC"/>
    <w:rsid w:val="00B875CA"/>
    <w:rsid w:val="00B87F2A"/>
    <w:rsid w:val="00B91356"/>
    <w:rsid w:val="00B922C3"/>
    <w:rsid w:val="00B92952"/>
    <w:rsid w:val="00B92E54"/>
    <w:rsid w:val="00B94E68"/>
    <w:rsid w:val="00B973A1"/>
    <w:rsid w:val="00B97C78"/>
    <w:rsid w:val="00BA05F4"/>
    <w:rsid w:val="00BA13A5"/>
    <w:rsid w:val="00BA1931"/>
    <w:rsid w:val="00BA1CC0"/>
    <w:rsid w:val="00BA5F96"/>
    <w:rsid w:val="00BA7A2C"/>
    <w:rsid w:val="00BB096A"/>
    <w:rsid w:val="00BB142E"/>
    <w:rsid w:val="00BB226D"/>
    <w:rsid w:val="00BB24FD"/>
    <w:rsid w:val="00BB34CA"/>
    <w:rsid w:val="00BB3B00"/>
    <w:rsid w:val="00BB3B04"/>
    <w:rsid w:val="00BB4123"/>
    <w:rsid w:val="00BB5A8E"/>
    <w:rsid w:val="00BB5FF4"/>
    <w:rsid w:val="00BC00A7"/>
    <w:rsid w:val="00BC04D5"/>
    <w:rsid w:val="00BC13CC"/>
    <w:rsid w:val="00BC2F02"/>
    <w:rsid w:val="00BC32F2"/>
    <w:rsid w:val="00BC4BE2"/>
    <w:rsid w:val="00BC5C1E"/>
    <w:rsid w:val="00BC6211"/>
    <w:rsid w:val="00BC7E45"/>
    <w:rsid w:val="00BD0BA8"/>
    <w:rsid w:val="00BD1AF4"/>
    <w:rsid w:val="00BD32FB"/>
    <w:rsid w:val="00BD3693"/>
    <w:rsid w:val="00BD3FA1"/>
    <w:rsid w:val="00BD4FA3"/>
    <w:rsid w:val="00BD7409"/>
    <w:rsid w:val="00BD7CA7"/>
    <w:rsid w:val="00BE1260"/>
    <w:rsid w:val="00BE3AB7"/>
    <w:rsid w:val="00BE41AA"/>
    <w:rsid w:val="00BE4FA9"/>
    <w:rsid w:val="00BE7F85"/>
    <w:rsid w:val="00BF0B27"/>
    <w:rsid w:val="00BF33EF"/>
    <w:rsid w:val="00BF363C"/>
    <w:rsid w:val="00BF5CE2"/>
    <w:rsid w:val="00BF6CA6"/>
    <w:rsid w:val="00BF72BA"/>
    <w:rsid w:val="00C01B26"/>
    <w:rsid w:val="00C01B39"/>
    <w:rsid w:val="00C01ECD"/>
    <w:rsid w:val="00C02783"/>
    <w:rsid w:val="00C042DD"/>
    <w:rsid w:val="00C04D0B"/>
    <w:rsid w:val="00C05052"/>
    <w:rsid w:val="00C07579"/>
    <w:rsid w:val="00C10F0A"/>
    <w:rsid w:val="00C12EFE"/>
    <w:rsid w:val="00C14310"/>
    <w:rsid w:val="00C1528C"/>
    <w:rsid w:val="00C16A86"/>
    <w:rsid w:val="00C17C3A"/>
    <w:rsid w:val="00C21192"/>
    <w:rsid w:val="00C21AE0"/>
    <w:rsid w:val="00C228CA"/>
    <w:rsid w:val="00C22EE7"/>
    <w:rsid w:val="00C253A1"/>
    <w:rsid w:val="00C27776"/>
    <w:rsid w:val="00C27961"/>
    <w:rsid w:val="00C27E06"/>
    <w:rsid w:val="00C27E68"/>
    <w:rsid w:val="00C328EF"/>
    <w:rsid w:val="00C35489"/>
    <w:rsid w:val="00C35B2B"/>
    <w:rsid w:val="00C36857"/>
    <w:rsid w:val="00C40E95"/>
    <w:rsid w:val="00C41006"/>
    <w:rsid w:val="00C427E3"/>
    <w:rsid w:val="00C43EF8"/>
    <w:rsid w:val="00C44C76"/>
    <w:rsid w:val="00C45B53"/>
    <w:rsid w:val="00C4790A"/>
    <w:rsid w:val="00C479D5"/>
    <w:rsid w:val="00C47DFF"/>
    <w:rsid w:val="00C50538"/>
    <w:rsid w:val="00C50E71"/>
    <w:rsid w:val="00C54129"/>
    <w:rsid w:val="00C5430F"/>
    <w:rsid w:val="00C56AE3"/>
    <w:rsid w:val="00C610B0"/>
    <w:rsid w:val="00C6227C"/>
    <w:rsid w:val="00C64C77"/>
    <w:rsid w:val="00C66CC9"/>
    <w:rsid w:val="00C675E2"/>
    <w:rsid w:val="00C70B5F"/>
    <w:rsid w:val="00C70EAC"/>
    <w:rsid w:val="00C70F5B"/>
    <w:rsid w:val="00C737DC"/>
    <w:rsid w:val="00C742C8"/>
    <w:rsid w:val="00C7535D"/>
    <w:rsid w:val="00C77196"/>
    <w:rsid w:val="00C82545"/>
    <w:rsid w:val="00C825EE"/>
    <w:rsid w:val="00C828B0"/>
    <w:rsid w:val="00C83561"/>
    <w:rsid w:val="00C84709"/>
    <w:rsid w:val="00C86473"/>
    <w:rsid w:val="00C879D3"/>
    <w:rsid w:val="00C90043"/>
    <w:rsid w:val="00C90C6F"/>
    <w:rsid w:val="00C91D90"/>
    <w:rsid w:val="00C91F35"/>
    <w:rsid w:val="00C9379B"/>
    <w:rsid w:val="00C937ED"/>
    <w:rsid w:val="00C93FDB"/>
    <w:rsid w:val="00C94CE9"/>
    <w:rsid w:val="00C9694F"/>
    <w:rsid w:val="00C978AB"/>
    <w:rsid w:val="00CA07E7"/>
    <w:rsid w:val="00CA112C"/>
    <w:rsid w:val="00CA1E58"/>
    <w:rsid w:val="00CA260F"/>
    <w:rsid w:val="00CA2DA3"/>
    <w:rsid w:val="00CA2F0C"/>
    <w:rsid w:val="00CA4851"/>
    <w:rsid w:val="00CA74AC"/>
    <w:rsid w:val="00CB0612"/>
    <w:rsid w:val="00CB0C8A"/>
    <w:rsid w:val="00CB10F1"/>
    <w:rsid w:val="00CB1375"/>
    <w:rsid w:val="00CB2772"/>
    <w:rsid w:val="00CB3DAF"/>
    <w:rsid w:val="00CB5D37"/>
    <w:rsid w:val="00CB60B6"/>
    <w:rsid w:val="00CB629F"/>
    <w:rsid w:val="00CB6A6E"/>
    <w:rsid w:val="00CB6EF4"/>
    <w:rsid w:val="00CB7F52"/>
    <w:rsid w:val="00CC118C"/>
    <w:rsid w:val="00CC1275"/>
    <w:rsid w:val="00CC1966"/>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5A3E"/>
    <w:rsid w:val="00CE6CB2"/>
    <w:rsid w:val="00CF06AE"/>
    <w:rsid w:val="00CF10AF"/>
    <w:rsid w:val="00CF2402"/>
    <w:rsid w:val="00CF3496"/>
    <w:rsid w:val="00CF3C9B"/>
    <w:rsid w:val="00CF4274"/>
    <w:rsid w:val="00CF5A27"/>
    <w:rsid w:val="00CF5CE8"/>
    <w:rsid w:val="00CF63FE"/>
    <w:rsid w:val="00CF666C"/>
    <w:rsid w:val="00CF6B8A"/>
    <w:rsid w:val="00D01E9D"/>
    <w:rsid w:val="00D02679"/>
    <w:rsid w:val="00D0278F"/>
    <w:rsid w:val="00D029B3"/>
    <w:rsid w:val="00D03164"/>
    <w:rsid w:val="00D038EC"/>
    <w:rsid w:val="00D03C98"/>
    <w:rsid w:val="00D03F0F"/>
    <w:rsid w:val="00D04964"/>
    <w:rsid w:val="00D04F3A"/>
    <w:rsid w:val="00D078B9"/>
    <w:rsid w:val="00D148FE"/>
    <w:rsid w:val="00D20BA9"/>
    <w:rsid w:val="00D22722"/>
    <w:rsid w:val="00D22BFC"/>
    <w:rsid w:val="00D22D6A"/>
    <w:rsid w:val="00D24C85"/>
    <w:rsid w:val="00D25461"/>
    <w:rsid w:val="00D30343"/>
    <w:rsid w:val="00D31166"/>
    <w:rsid w:val="00D31480"/>
    <w:rsid w:val="00D325EC"/>
    <w:rsid w:val="00D34B81"/>
    <w:rsid w:val="00D36137"/>
    <w:rsid w:val="00D3650D"/>
    <w:rsid w:val="00D36CBD"/>
    <w:rsid w:val="00D377A4"/>
    <w:rsid w:val="00D37EF8"/>
    <w:rsid w:val="00D40A47"/>
    <w:rsid w:val="00D413C2"/>
    <w:rsid w:val="00D42A9D"/>
    <w:rsid w:val="00D44649"/>
    <w:rsid w:val="00D44971"/>
    <w:rsid w:val="00D44E28"/>
    <w:rsid w:val="00D465D5"/>
    <w:rsid w:val="00D501BC"/>
    <w:rsid w:val="00D5040E"/>
    <w:rsid w:val="00D50A07"/>
    <w:rsid w:val="00D5240C"/>
    <w:rsid w:val="00D54945"/>
    <w:rsid w:val="00D55969"/>
    <w:rsid w:val="00D567AB"/>
    <w:rsid w:val="00D571C6"/>
    <w:rsid w:val="00D5786C"/>
    <w:rsid w:val="00D57C94"/>
    <w:rsid w:val="00D57F60"/>
    <w:rsid w:val="00D6175A"/>
    <w:rsid w:val="00D61DD3"/>
    <w:rsid w:val="00D6213A"/>
    <w:rsid w:val="00D62169"/>
    <w:rsid w:val="00D62DD0"/>
    <w:rsid w:val="00D63AB3"/>
    <w:rsid w:val="00D644B7"/>
    <w:rsid w:val="00D647F2"/>
    <w:rsid w:val="00D651FB"/>
    <w:rsid w:val="00D66022"/>
    <w:rsid w:val="00D6636B"/>
    <w:rsid w:val="00D67161"/>
    <w:rsid w:val="00D67485"/>
    <w:rsid w:val="00D7058E"/>
    <w:rsid w:val="00D708F8"/>
    <w:rsid w:val="00D70A1E"/>
    <w:rsid w:val="00D70F48"/>
    <w:rsid w:val="00D74F6D"/>
    <w:rsid w:val="00D75AA6"/>
    <w:rsid w:val="00D76538"/>
    <w:rsid w:val="00D76D32"/>
    <w:rsid w:val="00D770CE"/>
    <w:rsid w:val="00D80300"/>
    <w:rsid w:val="00D822BB"/>
    <w:rsid w:val="00D8327E"/>
    <w:rsid w:val="00D839AA"/>
    <w:rsid w:val="00D848EE"/>
    <w:rsid w:val="00D851AB"/>
    <w:rsid w:val="00D8538D"/>
    <w:rsid w:val="00D86638"/>
    <w:rsid w:val="00D92313"/>
    <w:rsid w:val="00D928C8"/>
    <w:rsid w:val="00D93550"/>
    <w:rsid w:val="00D93A8B"/>
    <w:rsid w:val="00D9587F"/>
    <w:rsid w:val="00D961EB"/>
    <w:rsid w:val="00D96764"/>
    <w:rsid w:val="00D976F9"/>
    <w:rsid w:val="00DA23B0"/>
    <w:rsid w:val="00DA394E"/>
    <w:rsid w:val="00DA3959"/>
    <w:rsid w:val="00DA5A96"/>
    <w:rsid w:val="00DA6A84"/>
    <w:rsid w:val="00DA7AE9"/>
    <w:rsid w:val="00DB12EF"/>
    <w:rsid w:val="00DB45D8"/>
    <w:rsid w:val="00DB663A"/>
    <w:rsid w:val="00DC072B"/>
    <w:rsid w:val="00DC1920"/>
    <w:rsid w:val="00DC79F9"/>
    <w:rsid w:val="00DD00AF"/>
    <w:rsid w:val="00DD1434"/>
    <w:rsid w:val="00DD1D52"/>
    <w:rsid w:val="00DD257B"/>
    <w:rsid w:val="00DD2ED8"/>
    <w:rsid w:val="00DD577F"/>
    <w:rsid w:val="00DE2554"/>
    <w:rsid w:val="00DE61F3"/>
    <w:rsid w:val="00DE7623"/>
    <w:rsid w:val="00DF14A6"/>
    <w:rsid w:val="00DF482B"/>
    <w:rsid w:val="00DF57C7"/>
    <w:rsid w:val="00DF5EBC"/>
    <w:rsid w:val="00DF67C7"/>
    <w:rsid w:val="00DF6838"/>
    <w:rsid w:val="00DF7314"/>
    <w:rsid w:val="00E040D5"/>
    <w:rsid w:val="00E04D6B"/>
    <w:rsid w:val="00E13679"/>
    <w:rsid w:val="00E14E12"/>
    <w:rsid w:val="00E16DF8"/>
    <w:rsid w:val="00E171BC"/>
    <w:rsid w:val="00E2212C"/>
    <w:rsid w:val="00E2217E"/>
    <w:rsid w:val="00E2306A"/>
    <w:rsid w:val="00E23394"/>
    <w:rsid w:val="00E23CA2"/>
    <w:rsid w:val="00E24CD9"/>
    <w:rsid w:val="00E24F81"/>
    <w:rsid w:val="00E2557A"/>
    <w:rsid w:val="00E2559D"/>
    <w:rsid w:val="00E26E3C"/>
    <w:rsid w:val="00E27261"/>
    <w:rsid w:val="00E274D8"/>
    <w:rsid w:val="00E342CC"/>
    <w:rsid w:val="00E36C66"/>
    <w:rsid w:val="00E36DC4"/>
    <w:rsid w:val="00E37950"/>
    <w:rsid w:val="00E37A8F"/>
    <w:rsid w:val="00E4039F"/>
    <w:rsid w:val="00E40C93"/>
    <w:rsid w:val="00E4247E"/>
    <w:rsid w:val="00E42B68"/>
    <w:rsid w:val="00E43703"/>
    <w:rsid w:val="00E43C26"/>
    <w:rsid w:val="00E43FA8"/>
    <w:rsid w:val="00E44639"/>
    <w:rsid w:val="00E46AEC"/>
    <w:rsid w:val="00E46B99"/>
    <w:rsid w:val="00E46CEA"/>
    <w:rsid w:val="00E4702E"/>
    <w:rsid w:val="00E474F0"/>
    <w:rsid w:val="00E47A9A"/>
    <w:rsid w:val="00E50993"/>
    <w:rsid w:val="00E50A6B"/>
    <w:rsid w:val="00E516F3"/>
    <w:rsid w:val="00E52311"/>
    <w:rsid w:val="00E528F7"/>
    <w:rsid w:val="00E528F9"/>
    <w:rsid w:val="00E536DC"/>
    <w:rsid w:val="00E55684"/>
    <w:rsid w:val="00E602D0"/>
    <w:rsid w:val="00E603C8"/>
    <w:rsid w:val="00E61348"/>
    <w:rsid w:val="00E64DB8"/>
    <w:rsid w:val="00E64EB9"/>
    <w:rsid w:val="00E64F4D"/>
    <w:rsid w:val="00E6613F"/>
    <w:rsid w:val="00E6698E"/>
    <w:rsid w:val="00E6770F"/>
    <w:rsid w:val="00E70CF0"/>
    <w:rsid w:val="00E71440"/>
    <w:rsid w:val="00E72196"/>
    <w:rsid w:val="00E72615"/>
    <w:rsid w:val="00E73654"/>
    <w:rsid w:val="00E736EF"/>
    <w:rsid w:val="00E742A9"/>
    <w:rsid w:val="00E742C0"/>
    <w:rsid w:val="00E753C8"/>
    <w:rsid w:val="00E75858"/>
    <w:rsid w:val="00E75ECD"/>
    <w:rsid w:val="00E76F05"/>
    <w:rsid w:val="00E82192"/>
    <w:rsid w:val="00E848E3"/>
    <w:rsid w:val="00E86A90"/>
    <w:rsid w:val="00E87E60"/>
    <w:rsid w:val="00E9112A"/>
    <w:rsid w:val="00E933EB"/>
    <w:rsid w:val="00E94C91"/>
    <w:rsid w:val="00E94F8C"/>
    <w:rsid w:val="00E95F9A"/>
    <w:rsid w:val="00E97314"/>
    <w:rsid w:val="00E976A2"/>
    <w:rsid w:val="00E97CBF"/>
    <w:rsid w:val="00EA0EFF"/>
    <w:rsid w:val="00EA2DEB"/>
    <w:rsid w:val="00EA4ED3"/>
    <w:rsid w:val="00EA58FE"/>
    <w:rsid w:val="00EA63F2"/>
    <w:rsid w:val="00EA6897"/>
    <w:rsid w:val="00EA6EF0"/>
    <w:rsid w:val="00EA79E3"/>
    <w:rsid w:val="00EB0855"/>
    <w:rsid w:val="00EB0FF8"/>
    <w:rsid w:val="00EB1C37"/>
    <w:rsid w:val="00EB3490"/>
    <w:rsid w:val="00EB4F0F"/>
    <w:rsid w:val="00EC08F5"/>
    <w:rsid w:val="00EC1B0C"/>
    <w:rsid w:val="00EC2B2F"/>
    <w:rsid w:val="00EC41C3"/>
    <w:rsid w:val="00EC7CB1"/>
    <w:rsid w:val="00EC7DBC"/>
    <w:rsid w:val="00EC7F7D"/>
    <w:rsid w:val="00ED2780"/>
    <w:rsid w:val="00ED3258"/>
    <w:rsid w:val="00ED3491"/>
    <w:rsid w:val="00ED4F2C"/>
    <w:rsid w:val="00ED61FF"/>
    <w:rsid w:val="00ED6446"/>
    <w:rsid w:val="00ED688E"/>
    <w:rsid w:val="00EE17DC"/>
    <w:rsid w:val="00EE18B8"/>
    <w:rsid w:val="00EE2870"/>
    <w:rsid w:val="00EE48CC"/>
    <w:rsid w:val="00EE617F"/>
    <w:rsid w:val="00EF008E"/>
    <w:rsid w:val="00EF14EE"/>
    <w:rsid w:val="00EF1834"/>
    <w:rsid w:val="00EF1A73"/>
    <w:rsid w:val="00EF1F20"/>
    <w:rsid w:val="00EF589B"/>
    <w:rsid w:val="00EF62C0"/>
    <w:rsid w:val="00EF66C8"/>
    <w:rsid w:val="00EF6CF6"/>
    <w:rsid w:val="00EF7D2D"/>
    <w:rsid w:val="00F02B3A"/>
    <w:rsid w:val="00F03302"/>
    <w:rsid w:val="00F03716"/>
    <w:rsid w:val="00F048C4"/>
    <w:rsid w:val="00F04A88"/>
    <w:rsid w:val="00F04BC9"/>
    <w:rsid w:val="00F051F3"/>
    <w:rsid w:val="00F0586B"/>
    <w:rsid w:val="00F11B2B"/>
    <w:rsid w:val="00F13C1C"/>
    <w:rsid w:val="00F14BBD"/>
    <w:rsid w:val="00F151F3"/>
    <w:rsid w:val="00F179C0"/>
    <w:rsid w:val="00F205E9"/>
    <w:rsid w:val="00F20F1B"/>
    <w:rsid w:val="00F22E71"/>
    <w:rsid w:val="00F24605"/>
    <w:rsid w:val="00F253B2"/>
    <w:rsid w:val="00F25470"/>
    <w:rsid w:val="00F27237"/>
    <w:rsid w:val="00F277D7"/>
    <w:rsid w:val="00F2792C"/>
    <w:rsid w:val="00F27E28"/>
    <w:rsid w:val="00F307A2"/>
    <w:rsid w:val="00F3248D"/>
    <w:rsid w:val="00F32C8E"/>
    <w:rsid w:val="00F32D41"/>
    <w:rsid w:val="00F333DD"/>
    <w:rsid w:val="00F34226"/>
    <w:rsid w:val="00F34E7B"/>
    <w:rsid w:val="00F361C0"/>
    <w:rsid w:val="00F3628D"/>
    <w:rsid w:val="00F363E0"/>
    <w:rsid w:val="00F36E63"/>
    <w:rsid w:val="00F36E82"/>
    <w:rsid w:val="00F376E4"/>
    <w:rsid w:val="00F404DF"/>
    <w:rsid w:val="00F417FC"/>
    <w:rsid w:val="00F42310"/>
    <w:rsid w:val="00F424B0"/>
    <w:rsid w:val="00F436D8"/>
    <w:rsid w:val="00F43F3B"/>
    <w:rsid w:val="00F44A8F"/>
    <w:rsid w:val="00F546BC"/>
    <w:rsid w:val="00F56A37"/>
    <w:rsid w:val="00F60507"/>
    <w:rsid w:val="00F60736"/>
    <w:rsid w:val="00F61C69"/>
    <w:rsid w:val="00F62F17"/>
    <w:rsid w:val="00F63839"/>
    <w:rsid w:val="00F6459B"/>
    <w:rsid w:val="00F66850"/>
    <w:rsid w:val="00F66FF2"/>
    <w:rsid w:val="00F67FB8"/>
    <w:rsid w:val="00F70A8F"/>
    <w:rsid w:val="00F7139A"/>
    <w:rsid w:val="00F71D53"/>
    <w:rsid w:val="00F72052"/>
    <w:rsid w:val="00F72263"/>
    <w:rsid w:val="00F74174"/>
    <w:rsid w:val="00F7497B"/>
    <w:rsid w:val="00F75079"/>
    <w:rsid w:val="00F76A99"/>
    <w:rsid w:val="00F77FAF"/>
    <w:rsid w:val="00F80395"/>
    <w:rsid w:val="00F81F49"/>
    <w:rsid w:val="00F8456D"/>
    <w:rsid w:val="00F8588F"/>
    <w:rsid w:val="00F8763E"/>
    <w:rsid w:val="00F90D02"/>
    <w:rsid w:val="00F92FD1"/>
    <w:rsid w:val="00F93467"/>
    <w:rsid w:val="00F94484"/>
    <w:rsid w:val="00F953DC"/>
    <w:rsid w:val="00F96716"/>
    <w:rsid w:val="00F97AF0"/>
    <w:rsid w:val="00F97E01"/>
    <w:rsid w:val="00FA0EAC"/>
    <w:rsid w:val="00FA1D86"/>
    <w:rsid w:val="00FA283E"/>
    <w:rsid w:val="00FA2FDA"/>
    <w:rsid w:val="00FA3F38"/>
    <w:rsid w:val="00FA62A0"/>
    <w:rsid w:val="00FA71AC"/>
    <w:rsid w:val="00FB02AC"/>
    <w:rsid w:val="00FB0F9F"/>
    <w:rsid w:val="00FB2D2D"/>
    <w:rsid w:val="00FB35E9"/>
    <w:rsid w:val="00FB4C93"/>
    <w:rsid w:val="00FB5FB0"/>
    <w:rsid w:val="00FB745B"/>
    <w:rsid w:val="00FB7EF9"/>
    <w:rsid w:val="00FC013E"/>
    <w:rsid w:val="00FC2844"/>
    <w:rsid w:val="00FC293A"/>
    <w:rsid w:val="00FC3BE2"/>
    <w:rsid w:val="00FC4EEE"/>
    <w:rsid w:val="00FC7974"/>
    <w:rsid w:val="00FD0160"/>
    <w:rsid w:val="00FD0B0D"/>
    <w:rsid w:val="00FD1259"/>
    <w:rsid w:val="00FD23DE"/>
    <w:rsid w:val="00FD2C77"/>
    <w:rsid w:val="00FD35EB"/>
    <w:rsid w:val="00FD3700"/>
    <w:rsid w:val="00FD4516"/>
    <w:rsid w:val="00FD4C3E"/>
    <w:rsid w:val="00FD6064"/>
    <w:rsid w:val="00FD62C9"/>
    <w:rsid w:val="00FD6E1A"/>
    <w:rsid w:val="00FD75F3"/>
    <w:rsid w:val="00FE0A5A"/>
    <w:rsid w:val="00FE184D"/>
    <w:rsid w:val="00FE3845"/>
    <w:rsid w:val="00FE3C8B"/>
    <w:rsid w:val="00FE4D42"/>
    <w:rsid w:val="00FE5113"/>
    <w:rsid w:val="00FE5B60"/>
    <w:rsid w:val="00FE67AA"/>
    <w:rsid w:val="00FF0317"/>
    <w:rsid w:val="00FF0934"/>
    <w:rsid w:val="00FF1401"/>
    <w:rsid w:val="00FF3086"/>
    <w:rsid w:val="00FF568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30031645">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79716338">
      <w:bodyDiv w:val="1"/>
      <w:marLeft w:val="0"/>
      <w:marRight w:val="0"/>
      <w:marTop w:val="0"/>
      <w:marBottom w:val="0"/>
      <w:divBdr>
        <w:top w:val="none" w:sz="0" w:space="0" w:color="auto"/>
        <w:left w:val="none" w:sz="0" w:space="0" w:color="auto"/>
        <w:bottom w:val="none" w:sz="0" w:space="0" w:color="auto"/>
        <w:right w:val="none" w:sz="0" w:space="0" w:color="auto"/>
      </w:divBdr>
    </w:div>
    <w:div w:id="8022607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70607531">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45317164">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65185324">
      <w:bodyDiv w:val="1"/>
      <w:marLeft w:val="0"/>
      <w:marRight w:val="0"/>
      <w:marTop w:val="0"/>
      <w:marBottom w:val="0"/>
      <w:divBdr>
        <w:top w:val="none" w:sz="0" w:space="0" w:color="auto"/>
        <w:left w:val="none" w:sz="0" w:space="0" w:color="auto"/>
        <w:bottom w:val="none" w:sz="0" w:space="0" w:color="auto"/>
        <w:right w:val="none" w:sz="0" w:space="0" w:color="auto"/>
      </w:divBdr>
    </w:div>
    <w:div w:id="585456076">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6501779">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45160764">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07339193">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28525220">
      <w:bodyDiv w:val="1"/>
      <w:marLeft w:val="0"/>
      <w:marRight w:val="0"/>
      <w:marTop w:val="0"/>
      <w:marBottom w:val="0"/>
      <w:divBdr>
        <w:top w:val="none" w:sz="0" w:space="0" w:color="auto"/>
        <w:left w:val="none" w:sz="0" w:space="0" w:color="auto"/>
        <w:bottom w:val="none" w:sz="0" w:space="0" w:color="auto"/>
        <w:right w:val="none" w:sz="0" w:space="0" w:color="auto"/>
      </w:divBdr>
      <w:divsChild>
        <w:div w:id="901452873">
          <w:marLeft w:val="0"/>
          <w:marRight w:val="0"/>
          <w:marTop w:val="0"/>
          <w:marBottom w:val="0"/>
          <w:divBdr>
            <w:top w:val="none" w:sz="0" w:space="0" w:color="auto"/>
            <w:left w:val="none" w:sz="0" w:space="0" w:color="auto"/>
            <w:bottom w:val="none" w:sz="0" w:space="0" w:color="auto"/>
            <w:right w:val="none" w:sz="0" w:space="0" w:color="auto"/>
          </w:divBdr>
          <w:divsChild>
            <w:div w:id="392242213">
              <w:marLeft w:val="0"/>
              <w:marRight w:val="0"/>
              <w:marTop w:val="0"/>
              <w:marBottom w:val="0"/>
              <w:divBdr>
                <w:top w:val="none" w:sz="0" w:space="0" w:color="auto"/>
                <w:left w:val="none" w:sz="0" w:space="0" w:color="auto"/>
                <w:bottom w:val="none" w:sz="0" w:space="0" w:color="auto"/>
                <w:right w:val="none" w:sz="0" w:space="0" w:color="auto"/>
              </w:divBdr>
              <w:divsChild>
                <w:div w:id="1383749035">
                  <w:marLeft w:val="0"/>
                  <w:marRight w:val="0"/>
                  <w:marTop w:val="0"/>
                  <w:marBottom w:val="0"/>
                  <w:divBdr>
                    <w:top w:val="none" w:sz="0" w:space="0" w:color="auto"/>
                    <w:left w:val="none" w:sz="0" w:space="0" w:color="auto"/>
                    <w:bottom w:val="none" w:sz="0" w:space="0" w:color="auto"/>
                    <w:right w:val="none" w:sz="0" w:space="0" w:color="auto"/>
                  </w:divBdr>
                  <w:divsChild>
                    <w:div w:id="1048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899751794">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26172496">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54350867">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47548262">
      <w:bodyDiv w:val="1"/>
      <w:marLeft w:val="0"/>
      <w:marRight w:val="0"/>
      <w:marTop w:val="0"/>
      <w:marBottom w:val="0"/>
      <w:divBdr>
        <w:top w:val="none" w:sz="0" w:space="0" w:color="auto"/>
        <w:left w:val="none" w:sz="0" w:space="0" w:color="auto"/>
        <w:bottom w:val="none" w:sz="0" w:space="0" w:color="auto"/>
        <w:right w:val="none" w:sz="0" w:space="0" w:color="auto"/>
      </w:divBdr>
      <w:divsChild>
        <w:div w:id="1657340860">
          <w:marLeft w:val="0"/>
          <w:marRight w:val="0"/>
          <w:marTop w:val="0"/>
          <w:marBottom w:val="0"/>
          <w:divBdr>
            <w:top w:val="none" w:sz="0" w:space="0" w:color="auto"/>
            <w:left w:val="none" w:sz="0" w:space="0" w:color="auto"/>
            <w:bottom w:val="none" w:sz="0" w:space="0" w:color="auto"/>
            <w:right w:val="none" w:sz="0" w:space="0" w:color="auto"/>
          </w:divBdr>
          <w:divsChild>
            <w:div w:id="236289129">
              <w:marLeft w:val="0"/>
              <w:marRight w:val="0"/>
              <w:marTop w:val="0"/>
              <w:marBottom w:val="0"/>
              <w:divBdr>
                <w:top w:val="none" w:sz="0" w:space="0" w:color="auto"/>
                <w:left w:val="none" w:sz="0" w:space="0" w:color="auto"/>
                <w:bottom w:val="none" w:sz="0" w:space="0" w:color="auto"/>
                <w:right w:val="none" w:sz="0" w:space="0" w:color="auto"/>
              </w:divBdr>
              <w:divsChild>
                <w:div w:id="1114862390">
                  <w:marLeft w:val="0"/>
                  <w:marRight w:val="0"/>
                  <w:marTop w:val="0"/>
                  <w:marBottom w:val="0"/>
                  <w:divBdr>
                    <w:top w:val="none" w:sz="0" w:space="0" w:color="auto"/>
                    <w:left w:val="none" w:sz="0" w:space="0" w:color="auto"/>
                    <w:bottom w:val="none" w:sz="0" w:space="0" w:color="auto"/>
                    <w:right w:val="none" w:sz="0" w:space="0" w:color="auto"/>
                  </w:divBdr>
                  <w:divsChild>
                    <w:div w:id="9702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0699333">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137557">
      <w:bodyDiv w:val="1"/>
      <w:marLeft w:val="0"/>
      <w:marRight w:val="0"/>
      <w:marTop w:val="0"/>
      <w:marBottom w:val="0"/>
      <w:divBdr>
        <w:top w:val="none" w:sz="0" w:space="0" w:color="auto"/>
        <w:left w:val="none" w:sz="0" w:space="0" w:color="auto"/>
        <w:bottom w:val="none" w:sz="0" w:space="0" w:color="auto"/>
        <w:right w:val="none" w:sz="0" w:space="0" w:color="auto"/>
      </w:divBdr>
      <w:divsChild>
        <w:div w:id="484589314">
          <w:marLeft w:val="0"/>
          <w:marRight w:val="0"/>
          <w:marTop w:val="0"/>
          <w:marBottom w:val="0"/>
          <w:divBdr>
            <w:top w:val="none" w:sz="0" w:space="0" w:color="auto"/>
            <w:left w:val="none" w:sz="0" w:space="0" w:color="auto"/>
            <w:bottom w:val="none" w:sz="0" w:space="0" w:color="auto"/>
            <w:right w:val="none" w:sz="0" w:space="0" w:color="auto"/>
          </w:divBdr>
          <w:divsChild>
            <w:div w:id="1035738428">
              <w:marLeft w:val="0"/>
              <w:marRight w:val="0"/>
              <w:marTop w:val="0"/>
              <w:marBottom w:val="0"/>
              <w:divBdr>
                <w:top w:val="none" w:sz="0" w:space="0" w:color="auto"/>
                <w:left w:val="none" w:sz="0" w:space="0" w:color="auto"/>
                <w:bottom w:val="none" w:sz="0" w:space="0" w:color="auto"/>
                <w:right w:val="none" w:sz="0" w:space="0" w:color="auto"/>
              </w:divBdr>
              <w:divsChild>
                <w:div w:id="1480880815">
                  <w:marLeft w:val="0"/>
                  <w:marRight w:val="0"/>
                  <w:marTop w:val="0"/>
                  <w:marBottom w:val="0"/>
                  <w:divBdr>
                    <w:top w:val="none" w:sz="0" w:space="0" w:color="auto"/>
                    <w:left w:val="none" w:sz="0" w:space="0" w:color="auto"/>
                    <w:bottom w:val="none" w:sz="0" w:space="0" w:color="auto"/>
                    <w:right w:val="none" w:sz="0" w:space="0" w:color="auto"/>
                  </w:divBdr>
                  <w:divsChild>
                    <w:div w:id="2112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215633">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01262882">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73245143">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49916422">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series/DGS10" TargetMode="External"/><Relationship Id="rId18" Type="http://schemas.openxmlformats.org/officeDocument/2006/relationships/hyperlink" Target="https://fred.stlouisfed.org/series/CIVPART" TargetMode="External"/><Relationship Id="rId26" Type="http://schemas.openxmlformats.org/officeDocument/2006/relationships/hyperlink" Target="https://fred.stlouisfed.org/series/APU000074714" TargetMode="External"/><Relationship Id="rId39" Type="http://schemas.openxmlformats.org/officeDocument/2006/relationships/hyperlink" Target="https://fred.stlouisfed.org/series/PCECTPICTM" TargetMode="External"/><Relationship Id="rId21" Type="http://schemas.openxmlformats.org/officeDocument/2006/relationships/hyperlink" Target="https://fred.stlouisfed.org/series/JTSJOL" TargetMode="External"/><Relationship Id="rId34" Type="http://schemas.openxmlformats.org/officeDocument/2006/relationships/hyperlink" Target="https://fred.stlouisfed.org/series/CUUR0000SETA01" TargetMode="External"/><Relationship Id="rId7" Type="http://schemas.openxmlformats.org/officeDocument/2006/relationships/hyperlink" Target="https://fred.stlouisfed.org/series/A006RY2Q224SBEA" TargetMode="External"/><Relationship Id="rId12" Type="http://schemas.openxmlformats.org/officeDocument/2006/relationships/hyperlink" Target="https://fred.stlouisfed.org/series/DFEDTARU" TargetMode="External"/><Relationship Id="rId17" Type="http://schemas.openxmlformats.org/officeDocument/2006/relationships/hyperlink" Target="https://fred.stlouisfed.org/series/CLF16OV" TargetMode="External"/><Relationship Id="rId25" Type="http://schemas.openxmlformats.org/officeDocument/2006/relationships/hyperlink" Target="https://fred.stlouisfed.org/series/CPILEGSL" TargetMode="External"/><Relationship Id="rId33" Type="http://schemas.openxmlformats.org/officeDocument/2006/relationships/hyperlink" Target="https://fred.stlouisfed.org/series/PCE" TargetMode="External"/><Relationship Id="rId38" Type="http://schemas.openxmlformats.org/officeDocument/2006/relationships/hyperlink" Target="https://fred.stlouisfed.org/series/GDPC1CTM"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UNRATE" TargetMode="External"/><Relationship Id="rId20" Type="http://schemas.openxmlformats.org/officeDocument/2006/relationships/hyperlink" Target="https://fred.stlouisfed.org/series/JTSQUL" TargetMode="External"/><Relationship Id="rId29" Type="http://schemas.openxmlformats.org/officeDocument/2006/relationships/hyperlink" Target="https://fred.stlouisfed.org/series/DCOILWTICO"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822RY2Q224SBEA" TargetMode="External"/><Relationship Id="rId11" Type="http://schemas.openxmlformats.org/officeDocument/2006/relationships/hyperlink" Target="https://fred.stlouisfed.org/release/tables?rid=18&amp;eid=289&amp;od=2022-06-30" TargetMode="External"/><Relationship Id="rId24" Type="http://schemas.openxmlformats.org/officeDocument/2006/relationships/hyperlink" Target="https://fred.stlouisfed.org/series/CPIAUCSL" TargetMode="External"/><Relationship Id="rId32" Type="http://schemas.openxmlformats.org/officeDocument/2006/relationships/hyperlink" Target="https://fred.stlouisfed.org/series/SPCS20RSA" TargetMode="External"/><Relationship Id="rId37" Type="http://schemas.openxmlformats.org/officeDocument/2006/relationships/hyperlink" Target="https://fred.stlouisfed.org/series/VIXCLS" TargetMode="External"/><Relationship Id="rId40" Type="http://schemas.openxmlformats.org/officeDocument/2006/relationships/hyperlink" Target="https://fred.stlouisfed.org/series/UNRATECTM" TargetMode="External"/><Relationship Id="rId5" Type="http://schemas.openxmlformats.org/officeDocument/2006/relationships/hyperlink" Target="https://fred.stlouisfed.org/series/DPCERY2Q224SBEA" TargetMode="External"/><Relationship Id="rId15" Type="http://schemas.openxmlformats.org/officeDocument/2006/relationships/hyperlink" Target="https://fred.stlouisfed.org/series/DAAA" TargetMode="External"/><Relationship Id="rId23" Type="http://schemas.openxmlformats.org/officeDocument/2006/relationships/hyperlink" Target="https://fred.stlouisfed.org/series/PAYEMS" TargetMode="External"/><Relationship Id="rId28" Type="http://schemas.openxmlformats.org/officeDocument/2006/relationships/hyperlink" Target="https://fred.stlouisfed.org/series/T5YIE" TargetMode="External"/><Relationship Id="rId36" Type="http://schemas.openxmlformats.org/officeDocument/2006/relationships/hyperlink" Target="https://fred.stlouisfed.org/series/UMCSENT" TargetMode="External"/><Relationship Id="rId10" Type="http://schemas.openxmlformats.org/officeDocument/2006/relationships/hyperlink" Target="https://fred.stlouisfed.org/series/FEDFUNDS" TargetMode="External"/><Relationship Id="rId19" Type="http://schemas.openxmlformats.org/officeDocument/2006/relationships/hyperlink" Target="https://www.philadelphiafed.org/surveys-and-data/real-time-data-research/livingston-survey" TargetMode="External"/><Relationship Id="rId31" Type="http://schemas.openxmlformats.org/officeDocument/2006/relationships/hyperlink" Target="https://fred.stlouisfed.org/series/MORTGAGE30US" TargetMode="External"/><Relationship Id="rId4" Type="http://schemas.openxmlformats.org/officeDocument/2006/relationships/hyperlink" Target="https://fred.stlouisfed.org/series/A019RY2Q224SBEA" TargetMode="External"/><Relationship Id="rId9" Type="http://schemas.openxmlformats.org/officeDocument/2006/relationships/hyperlink" Target="https://fred.stlouisfed.org/series/MCUMFN" TargetMode="External"/><Relationship Id="rId14" Type="http://schemas.openxmlformats.org/officeDocument/2006/relationships/hyperlink" Target="https://fred.stlouisfed.org/series/DBAA" TargetMode="External"/><Relationship Id="rId22" Type="http://schemas.openxmlformats.org/officeDocument/2006/relationships/hyperlink" Target="https://fred.stlouisfed.org/series/U6RATE" TargetMode="External"/><Relationship Id="rId27" Type="http://schemas.openxmlformats.org/officeDocument/2006/relationships/hyperlink" Target="https://fred.stlouisfed.org/series/PPIACO" TargetMode="External"/><Relationship Id="rId30" Type="http://schemas.openxmlformats.org/officeDocument/2006/relationships/hyperlink" Target="https://fred.stlouisfed.org/series/HOUST" TargetMode="External"/><Relationship Id="rId35" Type="http://schemas.openxmlformats.org/officeDocument/2006/relationships/hyperlink" Target="https://fred.stlouisfed.org/series/CUSR0000SETA02" TargetMode="External"/><Relationship Id="rId8" Type="http://schemas.openxmlformats.org/officeDocument/2006/relationships/hyperlink" Target="https://fred.stlouisfed.org/series/INDPRO" TargetMode="External"/><Relationship Id="rId3" Type="http://schemas.openxmlformats.org/officeDocument/2006/relationships/hyperlink" Target="https://fred.stlouisfed.org/series/GDP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23</Pages>
  <Words>2972</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7</cp:revision>
  <cp:lastPrinted>2022-11-01T11:07:00Z</cp:lastPrinted>
  <dcterms:created xsi:type="dcterms:W3CDTF">2022-11-01T10:05:00Z</dcterms:created>
  <dcterms:modified xsi:type="dcterms:W3CDTF">2022-11-01T22:39:00Z</dcterms:modified>
</cp:coreProperties>
</file>