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625127297"/>
        <w:docPartObj>
          <w:docPartGallery w:val="Cover Pages"/>
          <w:docPartUnique/>
        </w:docPartObj>
      </w:sdtPr>
      <w:sdtEndPr/>
      <w:sdtContent>
        <w:p w14:paraId="5380ED24" w14:textId="77777777" w:rsidR="005B1168" w:rsidRDefault="005B1168" w:rsidP="002E6FDE">
          <w:pPr>
            <w:jc w:val="right"/>
          </w:pPr>
        </w:p>
        <w:p w14:paraId="3B0C0374" w14:textId="77777777" w:rsidR="005B1168" w:rsidRDefault="005B1168" w:rsidP="002E6FDE">
          <w:pPr>
            <w:jc w:val="right"/>
          </w:pPr>
        </w:p>
        <w:p w14:paraId="2ABEC867" w14:textId="14166ACD" w:rsidR="000F1648" w:rsidRDefault="002E6FDE" w:rsidP="002E6FDE">
          <w:pPr>
            <w:jc w:val="right"/>
          </w:pPr>
          <w:r>
            <w:rPr>
              <w:noProof/>
            </w:rPr>
            <w:drawing>
              <wp:inline distT="0" distB="0" distL="0" distR="0" wp14:anchorId="4299616C" wp14:editId="27A6337A">
                <wp:extent cx="1993396" cy="60960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agnifi_logo_large_300dpi_fla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3396" cy="609601"/>
                        </a:xfrm>
                        <a:prstGeom prst="rect">
                          <a:avLst/>
                        </a:prstGeom>
                      </pic:spPr>
                    </pic:pic>
                  </a:graphicData>
                </a:graphic>
              </wp:inline>
            </w:drawing>
          </w:r>
        </w:p>
        <w:p w14:paraId="45CC237F" w14:textId="77777777" w:rsidR="000F1648" w:rsidRDefault="000F1648" w:rsidP="002E6FDE">
          <w:pPr>
            <w:jc w:val="right"/>
          </w:pPr>
        </w:p>
        <w:p w14:paraId="149D5EEE" w14:textId="437AA377" w:rsidR="00005111" w:rsidRDefault="00005111" w:rsidP="002E6FDE">
          <w:pPr>
            <w:jc w:val="right"/>
          </w:pPr>
          <w:r>
            <w:rPr>
              <w:noProof/>
            </w:rPr>
            <mc:AlternateContent>
              <mc:Choice Requires="wps">
                <w:drawing>
                  <wp:anchor distT="0" distB="0" distL="114300" distR="114300" simplePos="0" relativeHeight="251656704" behindDoc="0" locked="0" layoutInCell="1" allowOverlap="1" wp14:anchorId="149D5FB9" wp14:editId="4D4E2E2D">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9D5FEA" w14:textId="0C9D7184" w:rsidR="00105413" w:rsidRDefault="00DC43C8" w:rsidP="00DC43C8">
                                <w:pPr>
                                  <w:pStyle w:val="NoSpacing"/>
                                  <w:jc w:val="right"/>
                                  <w:rPr>
                                    <w:color w:val="595959" w:themeColor="text1" w:themeTint="A6"/>
                                    <w:sz w:val="28"/>
                                    <w:szCs w:val="28"/>
                                  </w:rPr>
                                </w:pPr>
                                <w:r w:rsidRPr="00DC43C8">
                                  <w:rPr>
                                    <w:color w:val="595959" w:themeColor="text1" w:themeTint="A6"/>
                                    <w:sz w:val="28"/>
                                    <w:szCs w:val="28"/>
                                  </w:rPr>
                                  <w:t>www.tagnifi.com</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149D5FB9" id="_x0000_t202" coordsize="21600,21600" o:spt="202" path="m,l,21600r21600,l21600,xe">
                    <v:stroke joinstyle="miter"/>
                    <v:path gradientshapeok="t" o:connecttype="rect"/>
                  </v:shapetype>
                  <v:shape id="Text Box 152" o:spid="_x0000_s1026" type="#_x0000_t202" style="position:absolute;left:0;text-align:left;margin-left:0;margin-top:0;width:8in;height:1in;z-index:251656704;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p w14:paraId="149D5FEA" w14:textId="0C9D7184" w:rsidR="00105413" w:rsidRDefault="00DC43C8" w:rsidP="00DC43C8">
                          <w:pPr>
                            <w:pStyle w:val="NoSpacing"/>
                            <w:jc w:val="right"/>
                            <w:rPr>
                              <w:color w:val="595959" w:themeColor="text1" w:themeTint="A6"/>
                              <w:sz w:val="28"/>
                              <w:szCs w:val="28"/>
                            </w:rPr>
                          </w:pPr>
                          <w:r w:rsidRPr="00DC43C8">
                            <w:rPr>
                              <w:color w:val="595959" w:themeColor="text1" w:themeTint="A6"/>
                              <w:sz w:val="28"/>
                              <w:szCs w:val="28"/>
                            </w:rPr>
                            <w:t>www.tagnifi.com</w:t>
                          </w:r>
                        </w:p>
                      </w:txbxContent>
                    </v:textbox>
                    <w10:wrap type="square" anchorx="page" anchory="page"/>
                  </v:shape>
                </w:pict>
              </mc:Fallback>
            </mc:AlternateContent>
          </w:r>
          <w:r>
            <w:rPr>
              <w:noProof/>
            </w:rPr>
            <mc:AlternateContent>
              <mc:Choice Requires="wps">
                <w:drawing>
                  <wp:anchor distT="0" distB="0" distL="114300" distR="114300" simplePos="0" relativeHeight="251658752" behindDoc="0" locked="0" layoutInCell="1" allowOverlap="1" wp14:anchorId="149D5FBB" wp14:editId="10E89770">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9D5FEB" w14:textId="77777777" w:rsidR="00105413" w:rsidRPr="00460436" w:rsidRDefault="00105413">
                                <w:pPr>
                                  <w:pStyle w:val="NoSpacing"/>
                                  <w:jc w:val="right"/>
                                  <w:rPr>
                                    <w:color w:val="008FD5"/>
                                    <w:sz w:val="28"/>
                                    <w:szCs w:val="28"/>
                                  </w:rPr>
                                </w:pPr>
                                <w:r w:rsidRPr="00460436">
                                  <w:rPr>
                                    <w:color w:val="008FD5"/>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149D5FEC" w14:textId="62FB90CC" w:rsidR="00105413" w:rsidRDefault="00105413">
                                    <w:pPr>
                                      <w:pStyle w:val="NoSpacing"/>
                                      <w:jc w:val="right"/>
                                      <w:rPr>
                                        <w:color w:val="595959" w:themeColor="text1" w:themeTint="A6"/>
                                        <w:sz w:val="20"/>
                                        <w:szCs w:val="20"/>
                                      </w:rPr>
                                    </w:pPr>
                                    <w:r w:rsidRPr="00005111">
                                      <w:rPr>
                                        <w:color w:val="595959" w:themeColor="text1" w:themeTint="A6"/>
                                        <w:sz w:val="20"/>
                                        <w:szCs w:val="20"/>
                                      </w:rPr>
                                      <w:t xml:space="preserve">Designed for business valuation professionals, </w:t>
                                    </w:r>
                                    <w:proofErr w:type="spellStart"/>
                                    <w:r w:rsidRPr="00005111">
                                      <w:rPr>
                                        <w:color w:val="595959" w:themeColor="text1" w:themeTint="A6"/>
                                        <w:sz w:val="20"/>
                                        <w:szCs w:val="20"/>
                                      </w:rPr>
                                      <w:t>TagniFi’s</w:t>
                                    </w:r>
                                    <w:proofErr w:type="spellEnd"/>
                                    <w:r w:rsidRPr="00005111">
                                      <w:rPr>
                                        <w:color w:val="595959" w:themeColor="text1" w:themeTint="A6"/>
                                        <w:sz w:val="20"/>
                                        <w:szCs w:val="20"/>
                                      </w:rPr>
                                      <w:t xml:space="preserve"> Quarterly Economic </w:t>
                                    </w:r>
                                    <w:r>
                                      <w:rPr>
                                        <w:color w:val="595959" w:themeColor="text1" w:themeTint="A6"/>
                                        <w:sz w:val="20"/>
                                        <w:szCs w:val="20"/>
                                      </w:rPr>
                                      <w:t>Update</w:t>
                                    </w:r>
                                    <w:r w:rsidRPr="00005111">
                                      <w:rPr>
                                        <w:color w:val="595959" w:themeColor="text1" w:themeTint="A6"/>
                                        <w:sz w:val="20"/>
                                        <w:szCs w:val="20"/>
                                      </w:rPr>
                                      <w:t xml:space="preserve"> provides timely macroeconomic data</w:t>
                                    </w:r>
                                    <w:r>
                                      <w:rPr>
                                        <w:color w:val="595959" w:themeColor="text1" w:themeTint="A6"/>
                                        <w:sz w:val="20"/>
                                        <w:szCs w:val="20"/>
                                      </w:rPr>
                                      <w:t xml:space="preserve"> to satisfy Revenue Ruling 59-60.</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149D5FBB" id="Text Box 153" o:spid="_x0000_s1027" type="#_x0000_t202" style="position:absolute;left:0;text-align:left;margin-left:0;margin-top:0;width:8in;height:79.5pt;z-index:25165875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14:paraId="149D5FEB" w14:textId="77777777" w:rsidR="00105413" w:rsidRPr="00460436" w:rsidRDefault="00105413">
                          <w:pPr>
                            <w:pStyle w:val="NoSpacing"/>
                            <w:jc w:val="right"/>
                            <w:rPr>
                              <w:color w:val="008FD5"/>
                              <w:sz w:val="28"/>
                              <w:szCs w:val="28"/>
                            </w:rPr>
                          </w:pPr>
                          <w:r w:rsidRPr="00460436">
                            <w:rPr>
                              <w:color w:val="008FD5"/>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149D5FEC" w14:textId="62FB90CC" w:rsidR="00105413" w:rsidRDefault="00105413">
                              <w:pPr>
                                <w:pStyle w:val="NoSpacing"/>
                                <w:jc w:val="right"/>
                                <w:rPr>
                                  <w:color w:val="595959" w:themeColor="text1" w:themeTint="A6"/>
                                  <w:sz w:val="20"/>
                                  <w:szCs w:val="20"/>
                                </w:rPr>
                              </w:pPr>
                              <w:r w:rsidRPr="00005111">
                                <w:rPr>
                                  <w:color w:val="595959" w:themeColor="text1" w:themeTint="A6"/>
                                  <w:sz w:val="20"/>
                                  <w:szCs w:val="20"/>
                                </w:rPr>
                                <w:t xml:space="preserve">Designed for business valuation professionals, </w:t>
                              </w:r>
                              <w:proofErr w:type="spellStart"/>
                              <w:r w:rsidRPr="00005111">
                                <w:rPr>
                                  <w:color w:val="595959" w:themeColor="text1" w:themeTint="A6"/>
                                  <w:sz w:val="20"/>
                                  <w:szCs w:val="20"/>
                                </w:rPr>
                                <w:t>TagniFi’s</w:t>
                              </w:r>
                              <w:proofErr w:type="spellEnd"/>
                              <w:r w:rsidRPr="00005111">
                                <w:rPr>
                                  <w:color w:val="595959" w:themeColor="text1" w:themeTint="A6"/>
                                  <w:sz w:val="20"/>
                                  <w:szCs w:val="20"/>
                                </w:rPr>
                                <w:t xml:space="preserve"> Quarterly Economic </w:t>
                              </w:r>
                              <w:r>
                                <w:rPr>
                                  <w:color w:val="595959" w:themeColor="text1" w:themeTint="A6"/>
                                  <w:sz w:val="20"/>
                                  <w:szCs w:val="20"/>
                                </w:rPr>
                                <w:t>Update</w:t>
                              </w:r>
                              <w:r w:rsidRPr="00005111">
                                <w:rPr>
                                  <w:color w:val="595959" w:themeColor="text1" w:themeTint="A6"/>
                                  <w:sz w:val="20"/>
                                  <w:szCs w:val="20"/>
                                </w:rPr>
                                <w:t xml:space="preserve"> provides timely macroeconomic data</w:t>
                              </w:r>
                              <w:r>
                                <w:rPr>
                                  <w:color w:val="595959" w:themeColor="text1" w:themeTint="A6"/>
                                  <w:sz w:val="20"/>
                                  <w:szCs w:val="20"/>
                                </w:rPr>
                                <w:t xml:space="preserve"> to satisfy Revenue Ruling 59-60.</w:t>
                              </w:r>
                            </w:p>
                          </w:sdtContent>
                        </w:sdt>
                      </w:txbxContent>
                    </v:textbox>
                    <w10:wrap type="square" anchorx="page" anchory="page"/>
                  </v:shape>
                </w:pict>
              </mc:Fallback>
            </mc:AlternateContent>
          </w:r>
        </w:p>
        <w:p w14:paraId="149D5EEF" w14:textId="079EFC32" w:rsidR="00005111" w:rsidRDefault="000F1648" w:rsidP="000F1648">
          <w:pPr>
            <w:ind w:hanging="900"/>
          </w:pPr>
          <w:r>
            <w:rPr>
              <w:noProof/>
            </w:rPr>
            <mc:AlternateContent>
              <mc:Choice Requires="wps">
                <w:drawing>
                  <wp:anchor distT="0" distB="0" distL="114300" distR="114300" simplePos="0" relativeHeight="251654656" behindDoc="0" locked="0" layoutInCell="1" allowOverlap="1" wp14:anchorId="149D5FBD" wp14:editId="198431CC">
                    <wp:simplePos x="0" y="0"/>
                    <wp:positionH relativeFrom="page">
                      <wp:posOffset>228600</wp:posOffset>
                    </wp:positionH>
                    <wp:positionV relativeFrom="page">
                      <wp:posOffset>5173980</wp:posOffset>
                    </wp:positionV>
                    <wp:extent cx="7315200" cy="148844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488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9D5FED" w14:textId="77777777" w:rsidR="00105413" w:rsidRPr="00460436" w:rsidRDefault="00574DB8" w:rsidP="0099783F">
                                <w:pPr>
                                  <w:ind w:left="-1260"/>
                                  <w:jc w:val="right"/>
                                  <w:rPr>
                                    <w:color w:val="008FD5"/>
                                    <w:sz w:val="64"/>
                                    <w:szCs w:val="64"/>
                                  </w:rPr>
                                </w:pPr>
                                <w:sdt>
                                  <w:sdtPr>
                                    <w:rPr>
                                      <w:caps/>
                                      <w:color w:val="008FD5"/>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05413" w:rsidRPr="00460436">
                                      <w:rPr>
                                        <w:caps/>
                                        <w:color w:val="008FD5"/>
                                        <w:sz w:val="64"/>
                                        <w:szCs w:val="64"/>
                                      </w:rPr>
                                      <w:t>Quarterly Economic Update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49D5FEE" w14:textId="3C475C8B" w:rsidR="00105413" w:rsidRDefault="00105413">
                                    <w:pPr>
                                      <w:jc w:val="right"/>
                                      <w:rPr>
                                        <w:smallCaps/>
                                        <w:color w:val="404040" w:themeColor="text1" w:themeTint="BF"/>
                                        <w:sz w:val="36"/>
                                        <w:szCs w:val="36"/>
                                      </w:rPr>
                                    </w:pPr>
                                    <w:r>
                                      <w:rPr>
                                        <w:color w:val="404040" w:themeColor="text1" w:themeTint="BF"/>
                                        <w:sz w:val="36"/>
                                        <w:szCs w:val="36"/>
                                      </w:rPr>
                                      <w:t>For the 4th Quarter of 2018</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149D5FBD" id="Text Box 154" o:spid="_x0000_s1028" type="#_x0000_t202" style="position:absolute;margin-left:18pt;margin-top:407.4pt;width:8in;height:117.2pt;z-index:251654656;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" filled="f" stroked="f" strokeweight=".5pt">
                    <v:textbox inset="126pt,0,54pt,0">
                      <w:txbxContent>
                        <w:p w14:paraId="149D5FED" w14:textId="77777777" w:rsidR="00105413" w:rsidRPr="00460436" w:rsidRDefault="00574DB8" w:rsidP="0099783F">
                          <w:pPr>
                            <w:ind w:left="-1260"/>
                            <w:jc w:val="right"/>
                            <w:rPr>
                              <w:color w:val="008FD5"/>
                              <w:sz w:val="64"/>
                              <w:szCs w:val="64"/>
                            </w:rPr>
                          </w:pPr>
                          <w:sdt>
                            <w:sdtPr>
                              <w:rPr>
                                <w:caps/>
                                <w:color w:val="008FD5"/>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05413" w:rsidRPr="00460436">
                                <w:rPr>
                                  <w:caps/>
                                  <w:color w:val="008FD5"/>
                                  <w:sz w:val="64"/>
                                  <w:szCs w:val="64"/>
                                </w:rPr>
                                <w:t>Quarterly Economic Update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49D5FEE" w14:textId="3C475C8B" w:rsidR="00105413" w:rsidRDefault="00105413">
                              <w:pPr>
                                <w:jc w:val="right"/>
                                <w:rPr>
                                  <w:smallCaps/>
                                  <w:color w:val="404040" w:themeColor="text1" w:themeTint="BF"/>
                                  <w:sz w:val="36"/>
                                  <w:szCs w:val="36"/>
                                </w:rPr>
                              </w:pPr>
                              <w:r>
                                <w:rPr>
                                  <w:color w:val="404040" w:themeColor="text1" w:themeTint="BF"/>
                                  <w:sz w:val="36"/>
                                  <w:szCs w:val="36"/>
                                </w:rPr>
                                <w:t>For the 4th Quarter of 2018</w:t>
                              </w:r>
                            </w:p>
                          </w:sdtContent>
                        </w:sdt>
                      </w:txbxContent>
                    </v:textbox>
                    <w10:wrap type="square" anchorx="page" anchory="page"/>
                  </v:shape>
                </w:pict>
              </mc:Fallback>
            </mc:AlternateContent>
          </w:r>
          <w:r w:rsidR="00005111">
            <w:br w:type="page"/>
          </w:r>
        </w:p>
      </w:sdtContent>
    </w:sdt>
    <w:p w14:paraId="149D5EF0" w14:textId="77777777" w:rsidR="00217AD5" w:rsidRDefault="00005111" w:rsidP="00005111">
      <w:pPr>
        <w:pStyle w:val="Heading1"/>
      </w:pPr>
      <w:r>
        <w:lastRenderedPageBreak/>
        <w:t>Summary</w:t>
      </w:r>
    </w:p>
    <w:p w14:paraId="32ED0265" w14:textId="6A10BF3D" w:rsidR="00B064A0" w:rsidRPr="005C493F" w:rsidRDefault="00B064A0" w:rsidP="00005111">
      <w:r w:rsidRPr="005C493F">
        <w:t xml:space="preserve">According to Federal Reserve Chairman Jerome Powell, </w:t>
      </w:r>
      <w:r w:rsidR="00AB6F46">
        <w:t xml:space="preserve">the U.S. maintained “solid” economic growth in 2018 but showed some signs of weakening toward year-end. The Fed’s outlook is growing uncertain due to a softening in global economic indicators, especially </w:t>
      </w:r>
      <w:r w:rsidR="00337BD8">
        <w:t xml:space="preserve">as signs point to economic slowdown in China. A strong labor market and gains in disposable income provide some momentum for the U.S. economy as it faces headwinds from concerns over global trade policy, </w:t>
      </w:r>
      <w:r w:rsidR="00D928C8">
        <w:t xml:space="preserve">weakening </w:t>
      </w:r>
      <w:r w:rsidR="00337BD8">
        <w:t xml:space="preserve">international economies, and a slow start on home soil due to the U.S. government shutdown </w:t>
      </w:r>
      <w:r w:rsidR="005B1ACA">
        <w:t>to begin</w:t>
      </w:r>
      <w:r w:rsidR="00337BD8">
        <w:t xml:space="preserve"> 2019.</w:t>
      </w:r>
    </w:p>
    <w:p w14:paraId="7311FBD6" w14:textId="57BC951A" w:rsidR="00074123" w:rsidRDefault="00337BD8" w:rsidP="00005111">
      <w:r>
        <w:t>Worries over the global</w:t>
      </w:r>
      <w:r w:rsidR="00BD0BA8">
        <w:t xml:space="preserve"> economy ha</w:t>
      </w:r>
      <w:r>
        <w:t xml:space="preserve">ve </w:t>
      </w:r>
      <w:r w:rsidR="00BD0BA8">
        <w:t>had an impact on oil prices</w:t>
      </w:r>
      <w:r>
        <w:t>, which had been rising since mid-2017</w:t>
      </w:r>
      <w:r w:rsidR="00BD0BA8">
        <w:t xml:space="preserve">. </w:t>
      </w:r>
      <w:r>
        <w:t>C</w:t>
      </w:r>
      <w:r w:rsidR="00FE3845">
        <w:t xml:space="preserve">rude oil </w:t>
      </w:r>
      <w:r w:rsidR="00EA6897">
        <w:t>prices</w:t>
      </w:r>
      <w:r w:rsidR="00BC6211">
        <w:rPr>
          <w:rStyle w:val="FootnoteReference"/>
        </w:rPr>
        <w:footnoteReference w:id="1"/>
      </w:r>
      <w:r w:rsidR="00EA6897">
        <w:t xml:space="preserve"> </w:t>
      </w:r>
      <w:r>
        <w:t>fell sharply over the 4</w:t>
      </w:r>
      <w:r w:rsidRPr="00337BD8">
        <w:rPr>
          <w:vertAlign w:val="superscript"/>
        </w:rPr>
        <w:t>th</w:t>
      </w:r>
      <w:r>
        <w:t xml:space="preserve"> quarter to </w:t>
      </w:r>
      <w:r w:rsidR="00490AFD">
        <w:t>$</w:t>
      </w:r>
      <w:r>
        <w:t>49.52</w:t>
      </w:r>
      <w:r w:rsidR="00490AFD">
        <w:t xml:space="preserve"> per barrel </w:t>
      </w:r>
      <w:r>
        <w:t>in December, down 29.5</w:t>
      </w:r>
      <w:r w:rsidR="00027E1E">
        <w:t xml:space="preserve">% from the previous quarter and </w:t>
      </w:r>
      <w:r>
        <w:t>14.4</w:t>
      </w:r>
      <w:r w:rsidR="00D851AB" w:rsidRPr="00892D49">
        <w:t xml:space="preserve">% </w:t>
      </w:r>
      <w:r>
        <w:t>over the</w:t>
      </w:r>
      <w:r w:rsidR="000017CB" w:rsidRPr="00892D49">
        <w:t xml:space="preserve"> last year</w:t>
      </w:r>
      <w:r w:rsidR="00A5218C">
        <w:t>.</w:t>
      </w:r>
    </w:p>
    <w:p w14:paraId="78B0DE7C" w14:textId="77777777" w:rsidR="00DC43C8" w:rsidRDefault="00DC43C8" w:rsidP="00005111"/>
    <w:p w14:paraId="03A78437" w14:textId="584D8C6F" w:rsidR="00116B91" w:rsidRDefault="00BB0EFC" w:rsidP="002406D9">
      <w:pPr>
        <w:jc w:val="center"/>
      </w:pPr>
      <w:r>
        <w:rPr>
          <w:noProof/>
        </w:rPr>
        <w:drawing>
          <wp:inline distT="0" distB="0" distL="0" distR="0" wp14:anchorId="44019270" wp14:editId="6DEDD692">
            <wp:extent cx="3609340" cy="27432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9340" cy="2743200"/>
                    </a:xfrm>
                    <a:prstGeom prst="rect">
                      <a:avLst/>
                    </a:prstGeom>
                    <a:noFill/>
                  </pic:spPr>
                </pic:pic>
              </a:graphicData>
            </a:graphic>
          </wp:inline>
        </w:drawing>
      </w:r>
    </w:p>
    <w:p w14:paraId="221DA48D" w14:textId="59E3DFE6" w:rsidR="00337BD8" w:rsidRDefault="00337BD8" w:rsidP="00AF2763"/>
    <w:p w14:paraId="022CFF26" w14:textId="6E7E4134" w:rsidR="003477B7" w:rsidRDefault="00BD0BA8" w:rsidP="00AF2763">
      <w:r>
        <w:t>Driven by the prospect of continued interest rate hikes, t</w:t>
      </w:r>
      <w:r w:rsidR="009E4D8D" w:rsidRPr="00CA74AC">
        <w:t>he U.S. dollar index</w:t>
      </w:r>
      <w:r w:rsidR="00053E46">
        <w:rPr>
          <w:rStyle w:val="FootnoteReference"/>
        </w:rPr>
        <w:footnoteReference w:id="2"/>
      </w:r>
      <w:r w:rsidR="009E4D8D" w:rsidRPr="00CA74AC">
        <w:t xml:space="preserve"> </w:t>
      </w:r>
      <w:r>
        <w:t>has risen</w:t>
      </w:r>
      <w:r w:rsidR="00660A13" w:rsidRPr="00CA74AC">
        <w:t xml:space="preserve"> by </w:t>
      </w:r>
      <w:r w:rsidR="005B1ACA">
        <w:t>2.38</w:t>
      </w:r>
      <w:r w:rsidR="009E4D8D" w:rsidRPr="00CA74AC">
        <w:t xml:space="preserve">% from the </w:t>
      </w:r>
      <w:r w:rsidR="005B1ACA">
        <w:t>3</w:t>
      </w:r>
      <w:r w:rsidR="005B1ACA" w:rsidRPr="005B1ACA">
        <w:rPr>
          <w:vertAlign w:val="superscript"/>
        </w:rPr>
        <w:t>rd</w:t>
      </w:r>
      <w:r w:rsidR="005B1ACA">
        <w:t xml:space="preserve"> </w:t>
      </w:r>
      <w:r w:rsidR="009E4D8D" w:rsidRPr="00CA74AC">
        <w:t xml:space="preserve">quarter and </w:t>
      </w:r>
      <w:r w:rsidR="005B1ACA">
        <w:t>7.12</w:t>
      </w:r>
      <w:r w:rsidR="009E4D8D" w:rsidRPr="00CA74AC">
        <w:t xml:space="preserve">% </w:t>
      </w:r>
      <w:r w:rsidR="005B1ACA">
        <w:t>since</w:t>
      </w:r>
      <w:r w:rsidR="009E4D8D" w:rsidRPr="00CA74AC">
        <w:t xml:space="preserve"> the same period last year.</w:t>
      </w:r>
      <w:r w:rsidR="00E24F81" w:rsidRPr="00CA74AC">
        <w:t xml:space="preserve"> </w:t>
      </w:r>
      <w:r w:rsidR="005B1ACA">
        <w:t xml:space="preserve">The gains came despite a U.S. government shutdown, mounting tension between President Donald Trump and the Fed, and </w:t>
      </w:r>
      <w:r w:rsidR="00E37A8F">
        <w:t>fears that FOMC rate increases could cause the U.S. economy to be dragged down by worrying global economic and political conditions such as slowed growth in China and the EU and the impending implementation of Brexit.</w:t>
      </w:r>
    </w:p>
    <w:p w14:paraId="7C986757" w14:textId="77777777" w:rsidR="00EB3E76" w:rsidRDefault="00EB3E76" w:rsidP="00AF2763"/>
    <w:p w14:paraId="59085317" w14:textId="49D218B2" w:rsidR="003477B7" w:rsidRDefault="00BB0EFC" w:rsidP="002406D9">
      <w:pPr>
        <w:jc w:val="center"/>
      </w:pPr>
      <w:r>
        <w:rPr>
          <w:noProof/>
        </w:rPr>
        <w:drawing>
          <wp:inline distT="0" distB="0" distL="0" distR="0" wp14:anchorId="765D6287" wp14:editId="4DCF6E61">
            <wp:extent cx="4097020" cy="27495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7020" cy="2749550"/>
                    </a:xfrm>
                    <a:prstGeom prst="rect">
                      <a:avLst/>
                    </a:prstGeom>
                    <a:noFill/>
                  </pic:spPr>
                </pic:pic>
              </a:graphicData>
            </a:graphic>
          </wp:inline>
        </w:drawing>
      </w:r>
    </w:p>
    <w:p w14:paraId="1C0A4FE4" w14:textId="77777777" w:rsidR="00BB0EFC" w:rsidRDefault="00BB0EFC" w:rsidP="002406D9">
      <w:pPr>
        <w:jc w:val="center"/>
      </w:pPr>
    </w:p>
    <w:p w14:paraId="149D5EF9" w14:textId="77777777" w:rsidR="002731EF" w:rsidRDefault="002731EF" w:rsidP="001475FF">
      <w:pPr>
        <w:pStyle w:val="Heading1"/>
      </w:pPr>
      <w:r>
        <w:t>Economic Highlights</w:t>
      </w:r>
    </w:p>
    <w:p w14:paraId="149D5EFA" w14:textId="4B3D8C86" w:rsidR="002608F3" w:rsidRPr="00195B12" w:rsidRDefault="002608F3" w:rsidP="00E528F7">
      <w:pPr>
        <w:pStyle w:val="ListParagraph"/>
        <w:numPr>
          <w:ilvl w:val="0"/>
          <w:numId w:val="3"/>
        </w:numPr>
      </w:pPr>
      <w:r w:rsidRPr="00195B12">
        <w:t xml:space="preserve">Real GDP growth </w:t>
      </w:r>
      <w:r w:rsidR="00195B12" w:rsidRPr="00195B12">
        <w:t>de</w:t>
      </w:r>
      <w:r w:rsidRPr="00195B12">
        <w:t xml:space="preserve">celerated in </w:t>
      </w:r>
      <w:r w:rsidR="00463560">
        <w:t xml:space="preserve">the </w:t>
      </w:r>
      <w:r w:rsidR="00E37A8F">
        <w:t>4</w:t>
      </w:r>
      <w:r w:rsidR="00E37A8F" w:rsidRPr="00E37A8F">
        <w:rPr>
          <w:vertAlign w:val="superscript"/>
        </w:rPr>
        <w:t>th</w:t>
      </w:r>
      <w:r w:rsidR="00E37A8F">
        <w:t xml:space="preserve"> </w:t>
      </w:r>
      <w:r w:rsidR="00463560">
        <w:t xml:space="preserve">quarter </w:t>
      </w:r>
      <w:r w:rsidRPr="00195B12">
        <w:t xml:space="preserve">to an annual rate of </w:t>
      </w:r>
      <w:r w:rsidR="00E37A8F">
        <w:t>2.6</w:t>
      </w:r>
      <w:r w:rsidRPr="00195B12">
        <w:t xml:space="preserve">%, </w:t>
      </w:r>
      <w:r w:rsidR="00195B12" w:rsidRPr="00195B12">
        <w:t>down</w:t>
      </w:r>
      <w:r w:rsidRPr="00195B12">
        <w:t xml:space="preserve"> </w:t>
      </w:r>
      <w:r w:rsidR="00195B12" w:rsidRPr="00195B12">
        <w:t>by</w:t>
      </w:r>
      <w:r w:rsidRPr="00195B12">
        <w:t xml:space="preserve"> 0.</w:t>
      </w:r>
      <w:r w:rsidR="00E37A8F">
        <w:t>8</w:t>
      </w:r>
      <w:r w:rsidRPr="00195B12">
        <w:t xml:space="preserve">% </w:t>
      </w:r>
      <w:r w:rsidR="00F74174">
        <w:t>from</w:t>
      </w:r>
      <w:r w:rsidRPr="00195B12">
        <w:t xml:space="preserve"> the previous quarter.</w:t>
      </w:r>
    </w:p>
    <w:p w14:paraId="149D5EFB" w14:textId="11738B21" w:rsidR="002731EF" w:rsidRPr="00E43703" w:rsidRDefault="003E4ACB" w:rsidP="00E528F7">
      <w:pPr>
        <w:pStyle w:val="ListParagraph"/>
        <w:numPr>
          <w:ilvl w:val="0"/>
          <w:numId w:val="3"/>
        </w:numPr>
      </w:pPr>
      <w:r w:rsidRPr="00E43703">
        <w:t xml:space="preserve">Oil prices </w:t>
      </w:r>
      <w:r w:rsidR="00E37A8F">
        <w:t>plummeted</w:t>
      </w:r>
      <w:r w:rsidRPr="00E43703">
        <w:t xml:space="preserve">, with WTI crude </w:t>
      </w:r>
      <w:r w:rsidR="00E37A8F">
        <w:t>down to</w:t>
      </w:r>
      <w:r w:rsidRPr="00E43703">
        <w:t xml:space="preserve"> </w:t>
      </w:r>
      <w:r w:rsidR="006575D2" w:rsidRPr="00E43703">
        <w:t>$</w:t>
      </w:r>
      <w:r w:rsidR="00E37A8F">
        <w:t>49.52</w:t>
      </w:r>
      <w:r w:rsidR="006575D2" w:rsidRPr="00E43703">
        <w:t xml:space="preserve"> </w:t>
      </w:r>
      <w:r w:rsidR="00D851AB" w:rsidRPr="00E43703">
        <w:t xml:space="preserve">per barrel in </w:t>
      </w:r>
      <w:r w:rsidR="00E37A8F">
        <w:t>December</w:t>
      </w:r>
      <w:r w:rsidRPr="00E43703">
        <w:t>.</w:t>
      </w:r>
    </w:p>
    <w:p w14:paraId="149D5EFC" w14:textId="4C089165" w:rsidR="00E24F81" w:rsidRPr="002E0DC9" w:rsidRDefault="00E24F81" w:rsidP="00E528F7">
      <w:pPr>
        <w:pStyle w:val="ListParagraph"/>
        <w:numPr>
          <w:ilvl w:val="0"/>
          <w:numId w:val="3"/>
        </w:numPr>
      </w:pPr>
      <w:r w:rsidRPr="002E0DC9">
        <w:t xml:space="preserve">The U.S. dollar index increased by </w:t>
      </w:r>
      <w:r w:rsidR="00E37A8F">
        <w:t>2.38</w:t>
      </w:r>
      <w:r w:rsidRPr="002E0DC9">
        <w:t xml:space="preserve">% in the </w:t>
      </w:r>
      <w:r w:rsidR="00E37A8F">
        <w:t>4</w:t>
      </w:r>
      <w:r w:rsidR="00E37A8F" w:rsidRPr="00E37A8F">
        <w:rPr>
          <w:vertAlign w:val="superscript"/>
        </w:rPr>
        <w:t>th</w:t>
      </w:r>
      <w:r w:rsidR="00E37A8F">
        <w:t xml:space="preserve"> </w:t>
      </w:r>
      <w:r w:rsidRPr="002E0DC9">
        <w:t xml:space="preserve">quarter and </w:t>
      </w:r>
      <w:r w:rsidR="00E37A8F">
        <w:t>7.12</w:t>
      </w:r>
      <w:r w:rsidRPr="002E0DC9">
        <w:t xml:space="preserve">% </w:t>
      </w:r>
      <w:r w:rsidR="00E37A8F">
        <w:t>since</w:t>
      </w:r>
      <w:r w:rsidRPr="002E0DC9">
        <w:t xml:space="preserve"> the same period last year.</w:t>
      </w:r>
    </w:p>
    <w:p w14:paraId="149D5EFD" w14:textId="3650B778" w:rsidR="0076717F" w:rsidRPr="009323CA" w:rsidRDefault="00E50993" w:rsidP="00E528F7">
      <w:pPr>
        <w:pStyle w:val="ListParagraph"/>
        <w:numPr>
          <w:ilvl w:val="0"/>
          <w:numId w:val="3"/>
        </w:numPr>
      </w:pPr>
      <w:r w:rsidRPr="009323CA">
        <w:t xml:space="preserve">In </w:t>
      </w:r>
      <w:r w:rsidR="00E37A8F">
        <w:t>December,</w:t>
      </w:r>
      <w:r w:rsidRPr="009323CA">
        <w:t xml:space="preserve"> the Federal Reserve </w:t>
      </w:r>
      <w:r w:rsidR="00E37A8F" w:rsidRPr="004709B0">
        <w:t>raise</w:t>
      </w:r>
      <w:r w:rsidR="00E37A8F">
        <w:t>d</w:t>
      </w:r>
      <w:r w:rsidR="00E37A8F" w:rsidRPr="004709B0">
        <w:t xml:space="preserve"> the federal funds target rate</w:t>
      </w:r>
      <w:r w:rsidR="00E37A8F">
        <w:t xml:space="preserve"> </w:t>
      </w:r>
      <w:r w:rsidR="00E37A8F" w:rsidRPr="004709B0">
        <w:t xml:space="preserve">to </w:t>
      </w:r>
      <w:r w:rsidR="00E37A8F">
        <w:t xml:space="preserve">a range of 2.25 to </w:t>
      </w:r>
      <w:r w:rsidR="00E37A8F" w:rsidRPr="004709B0">
        <w:t>2.5</w:t>
      </w:r>
      <w:r w:rsidR="00E37A8F">
        <w:t>0</w:t>
      </w:r>
      <w:r w:rsidR="00E37A8F" w:rsidRPr="004709B0">
        <w:t xml:space="preserve"> percent</w:t>
      </w:r>
      <w:r w:rsidRPr="009323CA">
        <w:t xml:space="preserve">. </w:t>
      </w:r>
    </w:p>
    <w:p w14:paraId="149D5EFE" w14:textId="0521F416" w:rsidR="003E4ACB" w:rsidRPr="002F1C7B" w:rsidRDefault="003E4ACB" w:rsidP="00E528F7">
      <w:pPr>
        <w:pStyle w:val="ListParagraph"/>
        <w:numPr>
          <w:ilvl w:val="0"/>
          <w:numId w:val="3"/>
        </w:numPr>
      </w:pPr>
      <w:r w:rsidRPr="002F1C7B">
        <w:t xml:space="preserve">Interest rates </w:t>
      </w:r>
      <w:r w:rsidR="00E37A8F">
        <w:t>declined slightly</w:t>
      </w:r>
      <w:r w:rsidRPr="002F1C7B">
        <w:t xml:space="preserve"> during the quarter with the 10-y</w:t>
      </w:r>
      <w:r w:rsidR="002F1C7B" w:rsidRPr="002F1C7B">
        <w:t xml:space="preserve">ear U.S. treasury </w:t>
      </w:r>
      <w:r w:rsidR="00BD0BA8">
        <w:t>yielding</w:t>
      </w:r>
      <w:r w:rsidR="002F1C7B" w:rsidRPr="002F1C7B">
        <w:t xml:space="preserve"> </w:t>
      </w:r>
      <w:r w:rsidR="00E37A8F">
        <w:t>2.6</w:t>
      </w:r>
      <w:r w:rsidR="001F7970">
        <w:t>9</w:t>
      </w:r>
      <w:r w:rsidRPr="002F1C7B">
        <w:t xml:space="preserve">% </w:t>
      </w:r>
      <w:r w:rsidR="004D0515" w:rsidRPr="002F1C7B">
        <w:t>yield and the 30-y</w:t>
      </w:r>
      <w:r w:rsidR="002F1C7B" w:rsidRPr="002F1C7B">
        <w:t>ear U.S. treasury yielding</w:t>
      </w:r>
      <w:r w:rsidR="004D0515" w:rsidRPr="002F1C7B">
        <w:t xml:space="preserve"> 3</w:t>
      </w:r>
      <w:r w:rsidR="002F1C7B" w:rsidRPr="002F1C7B">
        <w:t>.</w:t>
      </w:r>
      <w:r w:rsidR="00E37A8F">
        <w:t>02</w:t>
      </w:r>
      <w:r w:rsidR="002F1C7B" w:rsidRPr="002F1C7B">
        <w:t>%</w:t>
      </w:r>
      <w:r w:rsidR="004D0515" w:rsidRPr="002F1C7B">
        <w:t>.</w:t>
      </w:r>
    </w:p>
    <w:p w14:paraId="149D5EFF" w14:textId="3617661F" w:rsidR="003E4ACB" w:rsidRPr="009515AA" w:rsidRDefault="006E4B4F" w:rsidP="00E528F7">
      <w:pPr>
        <w:pStyle w:val="ListParagraph"/>
        <w:numPr>
          <w:ilvl w:val="0"/>
          <w:numId w:val="3"/>
        </w:numPr>
      </w:pPr>
      <w:r w:rsidRPr="009515AA">
        <w:t xml:space="preserve">Inflation </w:t>
      </w:r>
      <w:r w:rsidR="00BD0BA8">
        <w:t>was</w:t>
      </w:r>
      <w:r w:rsidRPr="009515AA">
        <w:t xml:space="preserve"> maintained </w:t>
      </w:r>
      <w:r w:rsidR="00CA2F0C" w:rsidRPr="009515AA">
        <w:t xml:space="preserve">at </w:t>
      </w:r>
      <w:r w:rsidRPr="009515AA">
        <w:t>the Fed’s target level of 2</w:t>
      </w:r>
      <w:r w:rsidR="001116CA">
        <w:t xml:space="preserve"> percent</w:t>
      </w:r>
      <w:r w:rsidRPr="009515AA">
        <w:t xml:space="preserve"> </w:t>
      </w:r>
      <w:r w:rsidR="00CA2F0C" w:rsidRPr="009515AA">
        <w:t>for</w:t>
      </w:r>
      <w:r w:rsidR="00ED3491" w:rsidRPr="009515AA">
        <w:t xml:space="preserve"> the quarter</w:t>
      </w:r>
      <w:r w:rsidR="003E4ACB" w:rsidRPr="009515AA">
        <w:t>.</w:t>
      </w:r>
    </w:p>
    <w:p w14:paraId="149D5F00" w14:textId="16FF1895" w:rsidR="003E4ACB" w:rsidRPr="004F330B" w:rsidRDefault="00F74174" w:rsidP="00E528F7">
      <w:pPr>
        <w:pStyle w:val="ListParagraph"/>
        <w:numPr>
          <w:ilvl w:val="0"/>
          <w:numId w:val="3"/>
        </w:numPr>
      </w:pPr>
      <w:r>
        <w:t>T</w:t>
      </w:r>
      <w:r w:rsidR="003E4ACB" w:rsidRPr="004F330B">
        <w:t xml:space="preserve">he housing market </w:t>
      </w:r>
      <w:r w:rsidR="00627DE7" w:rsidRPr="004F330B">
        <w:t xml:space="preserve">showed </w:t>
      </w:r>
      <w:r w:rsidR="00D928C8">
        <w:t>weakness</w:t>
      </w:r>
      <w:r w:rsidR="00EE2870" w:rsidRPr="004F330B">
        <w:t xml:space="preserve"> as</w:t>
      </w:r>
      <w:r w:rsidR="005917C1" w:rsidRPr="004F330B">
        <w:t xml:space="preserve"> the </w:t>
      </w:r>
      <w:r w:rsidR="00627DE7" w:rsidRPr="004F330B">
        <w:t xml:space="preserve">number of new housing starts </w:t>
      </w:r>
      <w:r w:rsidR="00C1528C" w:rsidRPr="004F330B">
        <w:t xml:space="preserve">in </w:t>
      </w:r>
      <w:r w:rsidR="00D928C8">
        <w:t>December</w:t>
      </w:r>
      <w:r w:rsidR="00C1528C" w:rsidRPr="004F330B">
        <w:t xml:space="preserve"> </w:t>
      </w:r>
      <w:r w:rsidR="00627DE7" w:rsidRPr="004F330B">
        <w:t xml:space="preserve">decreased by </w:t>
      </w:r>
      <w:r w:rsidR="00D928C8">
        <w:t>14.0</w:t>
      </w:r>
      <w:r w:rsidR="00D928C8" w:rsidRPr="0094654A">
        <w:t>% to 1.</w:t>
      </w:r>
      <w:r w:rsidR="00D928C8">
        <w:t>04</w:t>
      </w:r>
      <w:r w:rsidR="00D928C8" w:rsidRPr="0094654A">
        <w:t xml:space="preserve"> million</w:t>
      </w:r>
      <w:r w:rsidR="00D928C8">
        <w:t>,</w:t>
      </w:r>
      <w:r w:rsidR="00D928C8" w:rsidRPr="0094654A">
        <w:t xml:space="preserve"> </w:t>
      </w:r>
      <w:r w:rsidR="00D928C8">
        <w:t>their lowest monthly level since March 2015</w:t>
      </w:r>
      <w:r w:rsidR="005917C1" w:rsidRPr="004F330B">
        <w:t>.</w:t>
      </w:r>
    </w:p>
    <w:p w14:paraId="72D69FBD" w14:textId="7F5F962B" w:rsidR="00F94484" w:rsidRDefault="00811FA7" w:rsidP="00F94484">
      <w:pPr>
        <w:pStyle w:val="ListParagraph"/>
        <w:numPr>
          <w:ilvl w:val="0"/>
          <w:numId w:val="3"/>
        </w:numPr>
      </w:pPr>
      <w:r w:rsidRPr="00BE7F85">
        <w:t xml:space="preserve">The US labor market </w:t>
      </w:r>
      <w:r w:rsidR="00BE7F85" w:rsidRPr="00BE7F85">
        <w:t>remained strong</w:t>
      </w:r>
      <w:r w:rsidR="00D928C8">
        <w:t>, although the unemployment rate edged up slightly to end the 4</w:t>
      </w:r>
      <w:r w:rsidR="00D928C8" w:rsidRPr="00D74F6D">
        <w:rPr>
          <w:vertAlign w:val="superscript"/>
        </w:rPr>
        <w:t>th</w:t>
      </w:r>
      <w:r w:rsidR="00D928C8">
        <w:t xml:space="preserve"> quarter at 3.9%</w:t>
      </w:r>
      <w:r w:rsidR="005917C1" w:rsidRPr="00BE7F85">
        <w:t>.</w:t>
      </w:r>
    </w:p>
    <w:p w14:paraId="149D5F03" w14:textId="5C9C9DD3" w:rsidR="0076717F" w:rsidRPr="00F94484" w:rsidRDefault="00FC013E" w:rsidP="00F94484">
      <w:pPr>
        <w:pStyle w:val="ListParagraph"/>
        <w:numPr>
          <w:ilvl w:val="0"/>
          <w:numId w:val="3"/>
        </w:numPr>
      </w:pPr>
      <w:r w:rsidRPr="00F94484">
        <w:t>U</w:t>
      </w:r>
      <w:r w:rsidR="00F74174">
        <w:t>.</w:t>
      </w:r>
      <w:r w:rsidRPr="00F94484">
        <w:t>S</w:t>
      </w:r>
      <w:r w:rsidR="00F74174">
        <w:t>.</w:t>
      </w:r>
      <w:r w:rsidRPr="00F94484">
        <w:t xml:space="preserve"> </w:t>
      </w:r>
      <w:r w:rsidR="00F94484" w:rsidRPr="00F94484">
        <w:t xml:space="preserve">capital </w:t>
      </w:r>
      <w:r w:rsidRPr="00F94484">
        <w:t>markets</w:t>
      </w:r>
      <w:r w:rsidR="00D928C8">
        <w:t xml:space="preserve"> weakened among fears of economic slowdown, with the S</w:t>
      </w:r>
      <w:r w:rsidR="00D928C8" w:rsidRPr="00093D9A">
        <w:t xml:space="preserve">&amp;P 500 </w:t>
      </w:r>
      <w:r w:rsidR="00D928C8">
        <w:t>dropping 14.0</w:t>
      </w:r>
      <w:r w:rsidR="00D928C8" w:rsidRPr="00093D9A">
        <w:t>% from the previous quarte</w:t>
      </w:r>
      <w:r w:rsidR="00D928C8">
        <w:t>r</w:t>
      </w:r>
      <w:r w:rsidR="002608F3" w:rsidRPr="00F94484">
        <w:t>.</w:t>
      </w:r>
      <w:r w:rsidR="0076717F">
        <w:br w:type="page"/>
      </w:r>
    </w:p>
    <w:p w14:paraId="149D5F04" w14:textId="77777777" w:rsidR="00057711" w:rsidRDefault="00057711" w:rsidP="00057711">
      <w:pPr>
        <w:pStyle w:val="Heading1"/>
      </w:pPr>
      <w:r>
        <w:lastRenderedPageBreak/>
        <w:t>Business Activity</w:t>
      </w:r>
    </w:p>
    <w:p w14:paraId="5016DC8F" w14:textId="0F189E29" w:rsidR="002406D9" w:rsidRDefault="0080028D" w:rsidP="00057711">
      <w:r w:rsidRPr="003C1F24">
        <w:t>According to the Bureau of Economic Analysis</w:t>
      </w:r>
      <w:r w:rsidR="002608F3" w:rsidRPr="003C1F24">
        <w:t xml:space="preserve"> (BEA)</w:t>
      </w:r>
      <w:r w:rsidRPr="003C1F24">
        <w:t>, real gross domestic product (GDP)</w:t>
      </w:r>
      <w:r w:rsidR="00A8559D">
        <w:rPr>
          <w:rStyle w:val="FootnoteReference"/>
        </w:rPr>
        <w:footnoteReference w:id="3"/>
      </w:r>
      <w:r w:rsidRPr="003C1F24">
        <w:t xml:space="preserve"> </w:t>
      </w:r>
      <w:r w:rsidR="00BD0BA8">
        <w:t xml:space="preserve">for the </w:t>
      </w:r>
      <w:r w:rsidR="00CF10AF">
        <w:t>4</w:t>
      </w:r>
      <w:r w:rsidR="00CF10AF" w:rsidRPr="00CF10AF">
        <w:rPr>
          <w:vertAlign w:val="superscript"/>
        </w:rPr>
        <w:t>th</w:t>
      </w:r>
      <w:r w:rsidR="00CF10AF">
        <w:t xml:space="preserve"> </w:t>
      </w:r>
      <w:r w:rsidR="00BD0BA8">
        <w:t>quarter of 2018</w:t>
      </w:r>
      <w:r w:rsidR="00E72615">
        <w:t xml:space="preserve"> </w:t>
      </w:r>
      <w:r w:rsidR="00BD0BA8">
        <w:t xml:space="preserve">grew </w:t>
      </w:r>
      <w:r w:rsidRPr="00A60213">
        <w:t xml:space="preserve">at an annual rate of </w:t>
      </w:r>
      <w:r w:rsidR="00CF10AF">
        <w:t>2.6</w:t>
      </w:r>
      <w:r w:rsidR="00321AA2">
        <w:t>%</w:t>
      </w:r>
      <w:r w:rsidR="001756EC" w:rsidRPr="00A60213">
        <w:t>,</w:t>
      </w:r>
      <w:r w:rsidRPr="00A60213">
        <w:t xml:space="preserve"> </w:t>
      </w:r>
      <w:r w:rsidR="00CF10AF">
        <w:t>about the same as</w:t>
      </w:r>
      <w:r w:rsidR="00B40AF8" w:rsidRPr="00A60213">
        <w:t xml:space="preserve"> the 30-year average rate of 2.5</w:t>
      </w:r>
      <w:r w:rsidRPr="00A60213">
        <w:t>%.</w:t>
      </w:r>
      <w:r w:rsidR="001756EC" w:rsidRPr="00A60213">
        <w:t xml:space="preserve"> </w:t>
      </w:r>
      <w:r w:rsidR="0041138E">
        <w:t>T</w:t>
      </w:r>
      <w:r w:rsidR="00CF10AF">
        <w:t xml:space="preserve">he </w:t>
      </w:r>
      <w:r w:rsidR="0041138E">
        <w:t xml:space="preserve">growth </w:t>
      </w:r>
      <w:r w:rsidR="00CF10AF">
        <w:t xml:space="preserve">rate decreased </w:t>
      </w:r>
      <w:r w:rsidR="0041138E">
        <w:t>0.8% from the</w:t>
      </w:r>
      <w:r w:rsidR="001756EC" w:rsidRPr="00A60213">
        <w:t xml:space="preserve"> </w:t>
      </w:r>
      <w:r w:rsidR="00CF10AF">
        <w:t>3.</w:t>
      </w:r>
      <w:r w:rsidR="0041138E">
        <w:t>4</w:t>
      </w:r>
      <w:r w:rsidR="001756EC" w:rsidRPr="00A60213">
        <w:t xml:space="preserve">% </w:t>
      </w:r>
      <w:r w:rsidR="0041138E">
        <w:t>recorded</w:t>
      </w:r>
      <w:r w:rsidR="001756EC" w:rsidRPr="00A60213">
        <w:t xml:space="preserve"> in the </w:t>
      </w:r>
      <w:r w:rsidR="00CF10AF">
        <w:t>3</w:t>
      </w:r>
      <w:r w:rsidR="00CF10AF" w:rsidRPr="00CF10AF">
        <w:rPr>
          <w:vertAlign w:val="superscript"/>
        </w:rPr>
        <w:t>rd</w:t>
      </w:r>
      <w:r w:rsidR="00CF10AF">
        <w:t xml:space="preserve"> </w:t>
      </w:r>
      <w:r w:rsidR="001756EC" w:rsidRPr="00A60213">
        <w:t>quarter. According to the BEA</w:t>
      </w:r>
      <w:r w:rsidR="0041138E">
        <w:t>,</w:t>
      </w:r>
      <w:r w:rsidR="001756EC" w:rsidRPr="00A60213">
        <w:t xml:space="preserve"> </w:t>
      </w:r>
      <w:r w:rsidR="0041138E">
        <w:t>the recent deceleration reflected declines</w:t>
      </w:r>
      <w:r w:rsidR="0041138E" w:rsidRPr="0041138E">
        <w:t xml:space="preserve"> in private inventory investment, PCE, and government spending </w:t>
      </w:r>
      <w:r w:rsidR="0041138E">
        <w:t>at the federal,</w:t>
      </w:r>
      <w:r w:rsidR="0041138E" w:rsidRPr="0041138E">
        <w:t xml:space="preserve"> state</w:t>
      </w:r>
      <w:r w:rsidR="0041138E">
        <w:t>,</w:t>
      </w:r>
      <w:r w:rsidR="0041138E" w:rsidRPr="0041138E">
        <w:t xml:space="preserve"> and local </w:t>
      </w:r>
      <w:r w:rsidR="0041138E">
        <w:t>levels</w:t>
      </w:r>
      <w:r w:rsidR="00A60213" w:rsidRPr="00A60213">
        <w:t>.</w:t>
      </w:r>
    </w:p>
    <w:p w14:paraId="3E785021" w14:textId="77777777" w:rsidR="00DC43C8" w:rsidRDefault="00DC43C8" w:rsidP="00057711"/>
    <w:p w14:paraId="149D5F08" w14:textId="74EF1F32" w:rsidR="002608F3" w:rsidRDefault="00780FE9" w:rsidP="00BA7A2C">
      <w:pPr>
        <w:jc w:val="center"/>
      </w:pPr>
      <w:r>
        <w:rPr>
          <w:noProof/>
        </w:rPr>
        <w:drawing>
          <wp:inline distT="0" distB="0" distL="0" distR="0" wp14:anchorId="2B78EF0C" wp14:editId="6CE05378">
            <wp:extent cx="4097020" cy="27495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7020" cy="2749550"/>
                    </a:xfrm>
                    <a:prstGeom prst="rect">
                      <a:avLst/>
                    </a:prstGeom>
                    <a:noFill/>
                  </pic:spPr>
                </pic:pic>
              </a:graphicData>
            </a:graphic>
          </wp:inline>
        </w:drawing>
      </w:r>
    </w:p>
    <w:p w14:paraId="235AB08E" w14:textId="77777777" w:rsidR="00DC43C8" w:rsidRDefault="00DC43C8" w:rsidP="00BA7A2C">
      <w:pPr>
        <w:jc w:val="center"/>
      </w:pPr>
    </w:p>
    <w:p w14:paraId="6C71C3B4" w14:textId="33328C4E" w:rsidR="00BC4BE2" w:rsidRDefault="00EF008E" w:rsidP="00174BCD">
      <w:r w:rsidRPr="00F20F1B">
        <w:t xml:space="preserve">As of </w:t>
      </w:r>
      <w:r w:rsidR="0041138E">
        <w:t>December</w:t>
      </w:r>
      <w:r w:rsidRPr="00F20F1B">
        <w:t>, the Industrial Production Index</w:t>
      </w:r>
      <w:r w:rsidR="006A114D">
        <w:rPr>
          <w:rStyle w:val="FootnoteReference"/>
        </w:rPr>
        <w:footnoteReference w:id="4"/>
      </w:r>
      <w:r w:rsidRPr="00F20F1B">
        <w:t xml:space="preserve"> continued rising </w:t>
      </w:r>
      <w:r w:rsidR="008636F9">
        <w:t xml:space="preserve">to an all-time high of </w:t>
      </w:r>
      <w:r w:rsidRPr="00F20F1B">
        <w:t>1</w:t>
      </w:r>
      <w:r w:rsidR="0041138E">
        <w:t>10</w:t>
      </w:r>
      <w:r w:rsidRPr="00F20F1B">
        <w:t>.</w:t>
      </w:r>
      <w:r w:rsidR="0041138E">
        <w:t>08</w:t>
      </w:r>
      <w:r w:rsidR="008636F9">
        <w:t xml:space="preserve"> boosted by </w:t>
      </w:r>
      <w:r w:rsidR="00BD0BA8">
        <w:t xml:space="preserve">the </w:t>
      </w:r>
      <w:r w:rsidR="008636F9">
        <w:t>manufacturing</w:t>
      </w:r>
      <w:r w:rsidR="0041138E">
        <w:t xml:space="preserve"> sector, especially motor vehicle production. The</w:t>
      </w:r>
      <w:r w:rsidR="008636F9">
        <w:t xml:space="preserve"> mining </w:t>
      </w:r>
      <w:r w:rsidR="0041138E">
        <w:t xml:space="preserve">industry also </w:t>
      </w:r>
      <w:r w:rsidR="007807DE">
        <w:t>had increased output, while utility production fell</w:t>
      </w:r>
      <w:r w:rsidR="008636F9">
        <w:t xml:space="preserve">. </w:t>
      </w:r>
      <w:r w:rsidR="00332197">
        <w:t>The Industrial Production Index rose by 1.</w:t>
      </w:r>
      <w:r w:rsidR="009C1E6B">
        <w:t>0</w:t>
      </w:r>
      <w:r w:rsidR="00332197">
        <w:t xml:space="preserve">% compared to the previous quarter and </w:t>
      </w:r>
      <w:r w:rsidR="009C1E6B">
        <w:t>4.1</w:t>
      </w:r>
      <w:r w:rsidR="00332197">
        <w:t>% over the same period last year.</w:t>
      </w:r>
    </w:p>
    <w:p w14:paraId="149D5F1F" w14:textId="774A803D" w:rsidR="00172307" w:rsidRDefault="00172307" w:rsidP="00BA7A2C">
      <w:pPr>
        <w:jc w:val="center"/>
        <w:rPr>
          <w:noProof/>
        </w:rPr>
      </w:pPr>
    </w:p>
    <w:p w14:paraId="0026899E" w14:textId="20B3EC6D" w:rsidR="00780FE9" w:rsidRDefault="00780FE9" w:rsidP="00BA7A2C">
      <w:pPr>
        <w:jc w:val="center"/>
      </w:pPr>
      <w:r>
        <w:rPr>
          <w:noProof/>
        </w:rPr>
        <w:lastRenderedPageBreak/>
        <w:drawing>
          <wp:inline distT="0" distB="0" distL="0" distR="0" wp14:anchorId="01823741" wp14:editId="48048181">
            <wp:extent cx="3816350" cy="2737485"/>
            <wp:effectExtent l="0" t="0" r="0" b="571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6350" cy="2737485"/>
                    </a:xfrm>
                    <a:prstGeom prst="rect">
                      <a:avLst/>
                    </a:prstGeom>
                    <a:noFill/>
                  </pic:spPr>
                </pic:pic>
              </a:graphicData>
            </a:graphic>
          </wp:inline>
        </w:drawing>
      </w:r>
    </w:p>
    <w:p w14:paraId="3181CCA4" w14:textId="77777777" w:rsidR="007E539A" w:rsidRDefault="007E539A" w:rsidP="00BA7A2C">
      <w:pPr>
        <w:jc w:val="center"/>
      </w:pPr>
    </w:p>
    <w:p w14:paraId="149D5F20" w14:textId="72147876" w:rsidR="00005111" w:rsidRPr="005261C1" w:rsidRDefault="00005111" w:rsidP="005261C1">
      <w:pPr>
        <w:pStyle w:val="Heading1"/>
      </w:pPr>
      <w:r w:rsidRPr="005261C1">
        <w:t>Interest Rates</w:t>
      </w:r>
    </w:p>
    <w:p w14:paraId="2614BD84" w14:textId="79C6A2D3" w:rsidR="00B00681" w:rsidRDefault="00AE64EF" w:rsidP="00005111">
      <w:pPr>
        <w:rPr>
          <w:color w:val="000000" w:themeColor="text1"/>
        </w:rPr>
      </w:pPr>
      <w:r>
        <w:t xml:space="preserve">The </w:t>
      </w:r>
      <w:r w:rsidR="0061080D" w:rsidRPr="0005726F">
        <w:t>U.S. treasury yield curve</w:t>
      </w:r>
      <w:r w:rsidR="00833A07">
        <w:rPr>
          <w:rStyle w:val="FootnoteReference"/>
        </w:rPr>
        <w:footnoteReference w:id="5"/>
      </w:r>
      <w:r w:rsidR="0061080D" w:rsidRPr="0005726F">
        <w:t xml:space="preserve"> remains </w:t>
      </w:r>
      <w:r w:rsidR="001C0F2A">
        <w:t>relatively flat</w:t>
      </w:r>
      <w:r w:rsidR="0061080D" w:rsidRPr="0005726F">
        <w:t xml:space="preserve"> with the 1-year treasury yielding </w:t>
      </w:r>
      <w:r w:rsidR="007B0C0E" w:rsidRPr="0005726F">
        <w:t>2</w:t>
      </w:r>
      <w:r w:rsidR="0061080D" w:rsidRPr="0005726F">
        <w:t>.</w:t>
      </w:r>
      <w:r>
        <w:t>63</w:t>
      </w:r>
      <w:r w:rsidR="0061080D" w:rsidRPr="0005726F">
        <w:t xml:space="preserve">% and the 30-year treasury yielding </w:t>
      </w:r>
      <w:r w:rsidR="007B0C0E" w:rsidRPr="0005726F">
        <w:t>3</w:t>
      </w:r>
      <w:r w:rsidR="0061080D" w:rsidRPr="0005726F">
        <w:t>.</w:t>
      </w:r>
      <w:r>
        <w:t>02</w:t>
      </w:r>
      <w:r w:rsidR="0061080D" w:rsidRPr="0005726F">
        <w:t>%.</w:t>
      </w:r>
      <w:r w:rsidR="00E75ECD" w:rsidRPr="0005726F">
        <w:t xml:space="preserve"> </w:t>
      </w:r>
      <w:r w:rsidR="00D851AB" w:rsidRPr="0005726F">
        <w:t xml:space="preserve">The annual yield on the 10-year treasury ended the quarter at </w:t>
      </w:r>
      <w:r>
        <w:t>2.</w:t>
      </w:r>
      <w:r w:rsidR="009C1E6B">
        <w:t>69</w:t>
      </w:r>
      <w:r w:rsidR="00D851AB" w:rsidRPr="0005726F">
        <w:t xml:space="preserve">%. </w:t>
      </w:r>
      <w:r w:rsidR="00D851AB" w:rsidRPr="00255530">
        <w:t>T</w:t>
      </w:r>
      <w:r w:rsidR="00E75ECD" w:rsidRPr="00255530">
        <w:t xml:space="preserve">he </w:t>
      </w:r>
      <w:r w:rsidR="00DF67C7" w:rsidRPr="00255530">
        <w:t>yi</w:t>
      </w:r>
      <w:r w:rsidR="0003136B" w:rsidRPr="00255530">
        <w:t xml:space="preserve">eld curve </w:t>
      </w:r>
      <w:r>
        <w:t xml:space="preserve">has come close to inverting during December 2018, </w:t>
      </w:r>
      <w:r w:rsidR="0003136B" w:rsidRPr="00255530">
        <w:t>indicating</w:t>
      </w:r>
      <w:r w:rsidR="001C0F2A">
        <w:t xml:space="preserve"> </w:t>
      </w:r>
      <w:r>
        <w:t xml:space="preserve">the </w:t>
      </w:r>
      <w:r w:rsidR="001C0F2A">
        <w:t>potential for an economic slowdown</w:t>
      </w:r>
      <w:r w:rsidR="00DF67C7" w:rsidRPr="00AE64EF">
        <w:rPr>
          <w:color w:val="000000" w:themeColor="text1"/>
        </w:rPr>
        <w:t>.</w:t>
      </w:r>
      <w:r w:rsidRPr="00AE64EF">
        <w:rPr>
          <w:color w:val="000000" w:themeColor="text1"/>
        </w:rPr>
        <w:t xml:space="preserve"> Recent volatility in treasury reflect</w:t>
      </w:r>
      <w:r w:rsidRPr="007807DE">
        <w:rPr>
          <w:color w:val="000000" w:themeColor="text1"/>
        </w:rPr>
        <w:t xml:space="preserve"> investors</w:t>
      </w:r>
      <w:r w:rsidRPr="00AE64EF">
        <w:rPr>
          <w:color w:val="000000" w:themeColor="text1"/>
        </w:rPr>
        <w:t>’</w:t>
      </w:r>
      <w:r w:rsidRPr="007807DE">
        <w:rPr>
          <w:color w:val="000000" w:themeColor="text1"/>
        </w:rPr>
        <w:t xml:space="preserve"> </w:t>
      </w:r>
      <w:r>
        <w:rPr>
          <w:color w:val="000000" w:themeColor="text1"/>
        </w:rPr>
        <w:t>fears surrounding</w:t>
      </w:r>
      <w:r w:rsidRPr="007807DE">
        <w:rPr>
          <w:color w:val="000000" w:themeColor="text1"/>
        </w:rPr>
        <w:t xml:space="preserve"> tighter monetary policy</w:t>
      </w:r>
      <w:r>
        <w:rPr>
          <w:color w:val="000000" w:themeColor="text1"/>
        </w:rPr>
        <w:t xml:space="preserve"> </w:t>
      </w:r>
      <w:r w:rsidRPr="007807DE">
        <w:rPr>
          <w:color w:val="000000" w:themeColor="text1"/>
        </w:rPr>
        <w:t>and an ongoing U.S.-China trade war.</w:t>
      </w:r>
    </w:p>
    <w:p w14:paraId="204C0DA3" w14:textId="77777777" w:rsidR="007E539A" w:rsidRPr="00AE64EF" w:rsidRDefault="007E539A" w:rsidP="00005111">
      <w:pPr>
        <w:rPr>
          <w:color w:val="000000" w:themeColor="text1"/>
        </w:rPr>
      </w:pPr>
    </w:p>
    <w:p w14:paraId="149D5F23" w14:textId="1054D2F7" w:rsidR="0061080D" w:rsidRDefault="00C66CE7" w:rsidP="006C7116">
      <w:pPr>
        <w:jc w:val="center"/>
      </w:pPr>
      <w:r>
        <w:rPr>
          <w:noProof/>
        </w:rPr>
        <w:drawing>
          <wp:inline distT="0" distB="0" distL="0" distR="0" wp14:anchorId="26D1A48D" wp14:editId="4D63FFB0">
            <wp:extent cx="3493135" cy="2743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93135" cy="2743200"/>
                    </a:xfrm>
                    <a:prstGeom prst="rect">
                      <a:avLst/>
                    </a:prstGeom>
                    <a:noFill/>
                  </pic:spPr>
                </pic:pic>
              </a:graphicData>
            </a:graphic>
          </wp:inline>
        </w:drawing>
      </w:r>
    </w:p>
    <w:p w14:paraId="031CA932" w14:textId="54359801" w:rsidR="00B00681" w:rsidRDefault="00171C8E" w:rsidP="00005111">
      <w:r w:rsidRPr="004709B0">
        <w:lastRenderedPageBreak/>
        <w:t xml:space="preserve">In </w:t>
      </w:r>
      <w:r w:rsidR="00AE64EF">
        <w:t>December</w:t>
      </w:r>
      <w:r w:rsidR="00FE4D42">
        <w:t>,</w:t>
      </w:r>
      <w:r w:rsidRPr="004709B0">
        <w:t xml:space="preserve"> the Federal Reserve voted to </w:t>
      </w:r>
      <w:r w:rsidR="003376CD" w:rsidRPr="004709B0">
        <w:t xml:space="preserve">raise </w:t>
      </w:r>
      <w:r w:rsidR="00D851AB" w:rsidRPr="004709B0">
        <w:t>the federal funds target rate</w:t>
      </w:r>
      <w:r w:rsidR="00740863">
        <w:t xml:space="preserve"> </w:t>
      </w:r>
      <w:r w:rsidR="004709B0" w:rsidRPr="004709B0">
        <w:t xml:space="preserve">to </w:t>
      </w:r>
      <w:r w:rsidR="00624AEF">
        <w:t>a range of 2</w:t>
      </w:r>
      <w:r w:rsidR="00C9379B">
        <w:t>.</w:t>
      </w:r>
      <w:r w:rsidR="00AE64EF">
        <w:t>25</w:t>
      </w:r>
      <w:r w:rsidR="00624AEF">
        <w:t xml:space="preserve"> to </w:t>
      </w:r>
      <w:r w:rsidR="004709B0" w:rsidRPr="004709B0">
        <w:t>2.5</w:t>
      </w:r>
      <w:r w:rsidR="00AE64EF">
        <w:t>0</w:t>
      </w:r>
      <w:r w:rsidR="004709B0" w:rsidRPr="004709B0">
        <w:t xml:space="preserve"> percent</w:t>
      </w:r>
      <w:r w:rsidR="00AE64EF">
        <w:t xml:space="preserve">, the fourth increase in 2018. </w:t>
      </w:r>
      <w:r w:rsidR="000B0583">
        <w:t xml:space="preserve">This action was in keeping with the Committee’s medium-term plans and was attributed to </w:t>
      </w:r>
      <w:r w:rsidR="000B0583" w:rsidRPr="000B0583">
        <w:t xml:space="preserve">sustained </w:t>
      </w:r>
      <w:r w:rsidR="000B0583">
        <w:t>economic growth</w:t>
      </w:r>
      <w:r w:rsidR="000B0583" w:rsidRPr="000B0583">
        <w:t>, strong labor market conditions, and inflation</w:t>
      </w:r>
      <w:r w:rsidR="009F272A">
        <w:t>.</w:t>
      </w:r>
      <w:r w:rsidR="003F5061">
        <w:t xml:space="preserve"> </w:t>
      </w:r>
      <w:r w:rsidR="000B0583">
        <w:t xml:space="preserve">The Committee expects to slow rate increases </w:t>
      </w:r>
      <w:bookmarkStart w:id="0" w:name="OLE_LINK1"/>
      <w:r w:rsidR="000B0583">
        <w:t xml:space="preserve">to slow </w:t>
      </w:r>
      <w:bookmarkEnd w:id="0"/>
      <w:r w:rsidR="000B0583">
        <w:t xml:space="preserve">in 2019. </w:t>
      </w:r>
      <w:r w:rsidR="003F5061">
        <w:t>The effective federal funds rate</w:t>
      </w:r>
      <w:r w:rsidR="003F5061">
        <w:rPr>
          <w:rStyle w:val="FootnoteReference"/>
        </w:rPr>
        <w:footnoteReference w:id="6"/>
      </w:r>
      <w:r w:rsidR="003F5061">
        <w:t xml:space="preserve"> as of </w:t>
      </w:r>
      <w:r w:rsidR="000B0583">
        <w:t>December</w:t>
      </w:r>
      <w:r w:rsidR="003F5061">
        <w:t xml:space="preserve"> is at </w:t>
      </w:r>
      <w:r w:rsidR="000B0583">
        <w:t>2.27</w:t>
      </w:r>
      <w:r w:rsidR="003F5061">
        <w:t>%.</w:t>
      </w:r>
    </w:p>
    <w:p w14:paraId="27152E17" w14:textId="77777777" w:rsidR="00DC43C8" w:rsidRDefault="00DC43C8" w:rsidP="00005111"/>
    <w:p w14:paraId="149D5F27" w14:textId="3976E090" w:rsidR="00E528F7" w:rsidRDefault="00C66CE7" w:rsidP="00BA7A2C">
      <w:pPr>
        <w:jc w:val="center"/>
      </w:pPr>
      <w:r>
        <w:rPr>
          <w:noProof/>
        </w:rPr>
        <w:drawing>
          <wp:inline distT="0" distB="0" distL="0" distR="0" wp14:anchorId="7FFF4F60" wp14:editId="15109D7F">
            <wp:extent cx="3499485" cy="2743200"/>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99485" cy="2743200"/>
                    </a:xfrm>
                    <a:prstGeom prst="rect">
                      <a:avLst/>
                    </a:prstGeom>
                    <a:noFill/>
                  </pic:spPr>
                </pic:pic>
              </a:graphicData>
            </a:graphic>
          </wp:inline>
        </w:drawing>
      </w:r>
    </w:p>
    <w:p w14:paraId="6A817AC4" w14:textId="77777777" w:rsidR="00DC43C8" w:rsidRDefault="00DC43C8" w:rsidP="005261C1"/>
    <w:p w14:paraId="6241BBD5" w14:textId="3741986E" w:rsidR="00DC43C8" w:rsidRDefault="002978F9" w:rsidP="005261C1">
      <w:r w:rsidRPr="003376CD">
        <w:t xml:space="preserve">During the </w:t>
      </w:r>
      <w:r w:rsidR="000B0583">
        <w:t xml:space="preserve">fourth </w:t>
      </w:r>
      <w:r w:rsidRPr="003376CD">
        <w:t>quarter</w:t>
      </w:r>
      <w:r w:rsidR="000B0583">
        <w:t>,</w:t>
      </w:r>
      <w:r w:rsidRPr="003376CD">
        <w:t xml:space="preserve"> the yield on the 10-year U.S. treasury</w:t>
      </w:r>
      <w:r w:rsidR="004759DB">
        <w:rPr>
          <w:rStyle w:val="FootnoteReference"/>
        </w:rPr>
        <w:footnoteReference w:id="7"/>
      </w:r>
      <w:r w:rsidRPr="003376CD">
        <w:t xml:space="preserve"> </w:t>
      </w:r>
      <w:r w:rsidR="007C1E79">
        <w:t>peaked at</w:t>
      </w:r>
      <w:r w:rsidRPr="003376CD">
        <w:t xml:space="preserve"> </w:t>
      </w:r>
      <w:r w:rsidR="00DF482B">
        <w:t>3.</w:t>
      </w:r>
      <w:r w:rsidR="000B0583">
        <w:t>24</w:t>
      </w:r>
      <w:r w:rsidRPr="003376CD">
        <w:t>%</w:t>
      </w:r>
      <w:r w:rsidR="000B0583">
        <w:t xml:space="preserve"> in November, then slid steadily to 2.69</w:t>
      </w:r>
      <w:r w:rsidR="007C1E79">
        <w:t>%</w:t>
      </w:r>
      <w:r w:rsidR="000B0583">
        <w:t xml:space="preserve"> to end the quarter</w:t>
      </w:r>
      <w:r w:rsidRPr="003376CD">
        <w:t>.</w:t>
      </w:r>
      <w:r w:rsidR="004965CE" w:rsidRPr="003376CD">
        <w:t xml:space="preserve"> This is well</w:t>
      </w:r>
      <w:r w:rsidR="00071875" w:rsidRPr="003376CD">
        <w:t xml:space="preserve"> below the average yield of </w:t>
      </w:r>
      <w:r w:rsidR="003376CD" w:rsidRPr="003376CD">
        <w:t>4.</w:t>
      </w:r>
      <w:r w:rsidR="000738AD">
        <w:t>7</w:t>
      </w:r>
      <w:r w:rsidR="007C1E79">
        <w:t>2</w:t>
      </w:r>
      <w:r w:rsidR="004965CE" w:rsidRPr="003376CD">
        <w:t>% over the last 30 years</w:t>
      </w:r>
      <w:r w:rsidR="007C1E79">
        <w:t>,</w:t>
      </w:r>
      <w:r w:rsidR="000874E3" w:rsidRPr="003376CD">
        <w:t xml:space="preserve"> yet above the </w:t>
      </w:r>
      <w:r w:rsidR="00F3628D">
        <w:t>2.</w:t>
      </w:r>
      <w:r w:rsidR="007C1E79">
        <w:t>40</w:t>
      </w:r>
      <w:r w:rsidR="000874E3" w:rsidRPr="003376CD">
        <w:t xml:space="preserve">% </w:t>
      </w:r>
      <w:r w:rsidR="0016688A" w:rsidRPr="003376CD">
        <w:t xml:space="preserve">yield </w:t>
      </w:r>
      <w:r w:rsidR="00C9379B">
        <w:t xml:space="preserve">from </w:t>
      </w:r>
      <w:r w:rsidR="00F3628D">
        <w:t>the same period last year</w:t>
      </w:r>
      <w:r w:rsidR="00CB629F" w:rsidRPr="003376CD">
        <w:t>.</w:t>
      </w:r>
    </w:p>
    <w:p w14:paraId="13F84A28" w14:textId="77777777" w:rsidR="00DC43C8" w:rsidRDefault="00DC43C8" w:rsidP="005261C1"/>
    <w:p w14:paraId="149D5F2B" w14:textId="6933EB82" w:rsidR="00E528F7" w:rsidRDefault="00DC43C8" w:rsidP="00BA7A2C">
      <w:pPr>
        <w:jc w:val="center"/>
      </w:pPr>
      <w:r>
        <w:rPr>
          <w:noProof/>
        </w:rPr>
        <w:lastRenderedPageBreak/>
        <w:drawing>
          <wp:inline distT="0" distB="0" distL="0" distR="0" wp14:anchorId="0E97EFF5" wp14:editId="63B33CA3">
            <wp:extent cx="3499485" cy="274955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99485" cy="2749550"/>
                    </a:xfrm>
                    <a:prstGeom prst="rect">
                      <a:avLst/>
                    </a:prstGeom>
                    <a:noFill/>
                  </pic:spPr>
                </pic:pic>
              </a:graphicData>
            </a:graphic>
          </wp:inline>
        </w:drawing>
      </w:r>
    </w:p>
    <w:p w14:paraId="07DED5B6" w14:textId="77777777" w:rsidR="00DC43C8" w:rsidRDefault="00DC43C8" w:rsidP="00BA7A2C">
      <w:pPr>
        <w:jc w:val="center"/>
      </w:pPr>
    </w:p>
    <w:p w14:paraId="149D5F2D" w14:textId="5D1ADCB1" w:rsidR="00172307" w:rsidRDefault="00F02B3A" w:rsidP="00460436">
      <w:r w:rsidRPr="007E5B14">
        <w:t xml:space="preserve">Corporate bond yields </w:t>
      </w:r>
      <w:r w:rsidR="00C9379B">
        <w:t xml:space="preserve">also </w:t>
      </w:r>
      <w:r w:rsidRPr="007E5B14">
        <w:t>increased this quarter, with the Moody’s Baa Corpor</w:t>
      </w:r>
      <w:r w:rsidR="00102080" w:rsidRPr="007E5B14">
        <w:t xml:space="preserve">ate Bond Yield </w:t>
      </w:r>
      <w:r w:rsidR="004E3393" w:rsidRPr="007E5B14">
        <w:t>Index</w:t>
      </w:r>
      <w:r w:rsidR="004E5EC0">
        <w:rPr>
          <w:rStyle w:val="FootnoteReference"/>
        </w:rPr>
        <w:footnoteReference w:id="8"/>
      </w:r>
      <w:r w:rsidR="004E3393" w:rsidRPr="007E5B14">
        <w:t xml:space="preserve"> </w:t>
      </w:r>
      <w:r w:rsidR="00102080" w:rsidRPr="007E5B14">
        <w:t xml:space="preserve">ending the </w:t>
      </w:r>
      <w:r w:rsidR="007C1E79">
        <w:t>4</w:t>
      </w:r>
      <w:r w:rsidR="007C1E79" w:rsidRPr="007C1E79">
        <w:rPr>
          <w:vertAlign w:val="superscript"/>
        </w:rPr>
        <w:t>th</w:t>
      </w:r>
      <w:r w:rsidR="007C1E79">
        <w:t xml:space="preserve"> </w:t>
      </w:r>
      <w:r w:rsidR="00102080" w:rsidRPr="007E5B14">
        <w:t>quarter</w:t>
      </w:r>
      <w:r w:rsidRPr="007E5B14">
        <w:t xml:space="preserve"> at </w:t>
      </w:r>
      <w:r w:rsidR="007C1E79">
        <w:t>5.13</w:t>
      </w:r>
      <w:r w:rsidR="004965CE" w:rsidRPr="007E5B14">
        <w:t xml:space="preserve">% compared to </w:t>
      </w:r>
      <w:r w:rsidR="003376CD" w:rsidRPr="007E5B14">
        <w:t>4.</w:t>
      </w:r>
      <w:r w:rsidR="00252A9B">
        <w:t>8</w:t>
      </w:r>
      <w:r w:rsidR="007C1E79">
        <w:t>8</w:t>
      </w:r>
      <w:r w:rsidRPr="007E5B14">
        <w:t>% for the previous quarter</w:t>
      </w:r>
      <w:r w:rsidR="004965CE" w:rsidRPr="007E5B14">
        <w:t xml:space="preserve"> and 4.</w:t>
      </w:r>
      <w:r w:rsidR="007C1E79">
        <w:t>22</w:t>
      </w:r>
      <w:r w:rsidR="004965CE" w:rsidRPr="007E5B14">
        <w:t>% for the same period last year</w:t>
      </w:r>
      <w:r w:rsidRPr="007E5B14">
        <w:t xml:space="preserve">. </w:t>
      </w:r>
      <w:r w:rsidR="00102080" w:rsidRPr="00AF6040">
        <w:t>While higher than last year, t</w:t>
      </w:r>
      <w:r w:rsidRPr="00AF6040">
        <w:t>hese ra</w:t>
      </w:r>
      <w:r w:rsidR="00855A46" w:rsidRPr="00AF6040">
        <w:t>tes remain well below the index’s</w:t>
      </w:r>
      <w:r w:rsidRPr="00AF6040">
        <w:t xml:space="preserve"> </w:t>
      </w:r>
      <w:r w:rsidR="008A5F7F" w:rsidRPr="00AF6040">
        <w:t xml:space="preserve">average </w:t>
      </w:r>
      <w:r w:rsidR="00174B44" w:rsidRPr="00AF6040">
        <w:t xml:space="preserve">yield </w:t>
      </w:r>
      <w:r w:rsidR="006A0819">
        <w:t>of 7.0</w:t>
      </w:r>
      <w:r w:rsidR="007C1E79">
        <w:t>7</w:t>
      </w:r>
      <w:r w:rsidR="008A5F7F" w:rsidRPr="00AF6040">
        <w:t>%</w:t>
      </w:r>
      <w:r w:rsidR="004965CE" w:rsidRPr="00AF6040">
        <w:t xml:space="preserve"> for the last 30 years</w:t>
      </w:r>
      <w:r w:rsidRPr="00AF6040">
        <w:t>.</w:t>
      </w:r>
    </w:p>
    <w:p w14:paraId="42E05F8E" w14:textId="77777777" w:rsidR="004E7265" w:rsidRDefault="004E7265" w:rsidP="00460436"/>
    <w:p w14:paraId="149D5F2E" w14:textId="48C54578" w:rsidR="00493CF1" w:rsidRPr="00460436" w:rsidRDefault="00DC43C8" w:rsidP="00F205E9">
      <w:pPr>
        <w:jc w:val="center"/>
      </w:pPr>
      <w:r>
        <w:rPr>
          <w:noProof/>
        </w:rPr>
        <w:drawing>
          <wp:inline distT="0" distB="0" distL="0" distR="0" wp14:anchorId="790FB2F9" wp14:editId="6A689266">
            <wp:extent cx="3493135" cy="2743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93135" cy="2743200"/>
                    </a:xfrm>
                    <a:prstGeom prst="rect">
                      <a:avLst/>
                    </a:prstGeom>
                    <a:noFill/>
                  </pic:spPr>
                </pic:pic>
              </a:graphicData>
            </a:graphic>
          </wp:inline>
        </w:drawing>
      </w:r>
    </w:p>
    <w:p w14:paraId="149D5F2F" w14:textId="479C442E" w:rsidR="00005111" w:rsidRDefault="00005111" w:rsidP="005261C1">
      <w:pPr>
        <w:pStyle w:val="Heading1"/>
      </w:pPr>
      <w:r>
        <w:lastRenderedPageBreak/>
        <w:t>Employment</w:t>
      </w:r>
    </w:p>
    <w:p w14:paraId="149D5F31" w14:textId="16F21066" w:rsidR="00C05052" w:rsidRPr="00D74F6D" w:rsidRDefault="00322C58" w:rsidP="00B84330">
      <w:pPr>
        <w:rPr>
          <w:color w:val="000000" w:themeColor="text1"/>
        </w:rPr>
      </w:pPr>
      <w:r>
        <w:t xml:space="preserve">In the </w:t>
      </w:r>
      <w:r w:rsidR="00865CE8">
        <w:t>4</w:t>
      </w:r>
      <w:r w:rsidR="00865CE8" w:rsidRPr="00865CE8">
        <w:rPr>
          <w:vertAlign w:val="superscript"/>
        </w:rPr>
        <w:t>th</w:t>
      </w:r>
      <w:r>
        <w:t xml:space="preserve"> quarter, t</w:t>
      </w:r>
      <w:r w:rsidR="00D03F0F">
        <w:t xml:space="preserve">he </w:t>
      </w:r>
      <w:r w:rsidR="00F24605">
        <w:t>U</w:t>
      </w:r>
      <w:r w:rsidR="00BC00A7">
        <w:t>.</w:t>
      </w:r>
      <w:r w:rsidR="00F24605">
        <w:t>S</w:t>
      </w:r>
      <w:r w:rsidR="00BC00A7">
        <w:t>.</w:t>
      </w:r>
      <w:r w:rsidR="00F24605">
        <w:t xml:space="preserve"> </w:t>
      </w:r>
      <w:r w:rsidR="00D74F6D">
        <w:t>unemployment rate</w:t>
      </w:r>
      <w:r w:rsidR="00D03F0F">
        <w:t xml:space="preserve"> </w:t>
      </w:r>
      <w:r w:rsidR="00D74F6D">
        <w:t>remained close to its</w:t>
      </w:r>
      <w:r w:rsidR="00621173">
        <w:t xml:space="preserve"> lowest </w:t>
      </w:r>
      <w:r w:rsidR="00D74F6D">
        <w:t xml:space="preserve">level </w:t>
      </w:r>
      <w:r>
        <w:t>since 1969</w:t>
      </w:r>
      <w:r w:rsidR="00ED688E" w:rsidRPr="00865CE8">
        <w:rPr>
          <w:color w:val="000000" w:themeColor="text1"/>
        </w:rPr>
        <w:t xml:space="preserve">. </w:t>
      </w:r>
      <w:r w:rsidR="00105413">
        <w:rPr>
          <w:color w:val="000000" w:themeColor="text1"/>
        </w:rPr>
        <w:t xml:space="preserve">While the unemployment rate increased slightly, the rise was attributed to new job seekers being enticed into the labor market. </w:t>
      </w:r>
      <w:r w:rsidR="00865CE8" w:rsidRPr="00865CE8">
        <w:rPr>
          <w:color w:val="000000" w:themeColor="text1"/>
        </w:rPr>
        <w:t>T</w:t>
      </w:r>
      <w:r w:rsidR="00102080" w:rsidRPr="00865CE8">
        <w:rPr>
          <w:color w:val="000000" w:themeColor="text1"/>
        </w:rPr>
        <w:t xml:space="preserve">otal </w:t>
      </w:r>
      <w:r w:rsidR="00DB663A" w:rsidRPr="00D74F6D">
        <w:rPr>
          <w:color w:val="000000" w:themeColor="text1"/>
        </w:rPr>
        <w:t>nonfarm payrolls</w:t>
      </w:r>
      <w:r w:rsidR="0052077C" w:rsidRPr="00D74F6D">
        <w:rPr>
          <w:rStyle w:val="FootnoteReference"/>
          <w:color w:val="000000" w:themeColor="text1"/>
        </w:rPr>
        <w:footnoteReference w:id="9"/>
      </w:r>
      <w:r w:rsidR="00DB663A" w:rsidRPr="00D74F6D">
        <w:rPr>
          <w:color w:val="000000" w:themeColor="text1"/>
        </w:rPr>
        <w:t xml:space="preserve"> </w:t>
      </w:r>
      <w:r w:rsidR="00071875" w:rsidRPr="00D74F6D">
        <w:rPr>
          <w:color w:val="000000" w:themeColor="text1"/>
        </w:rPr>
        <w:t xml:space="preserve">have </w:t>
      </w:r>
      <w:r w:rsidR="00DB663A" w:rsidRPr="00D74F6D">
        <w:rPr>
          <w:color w:val="000000" w:themeColor="text1"/>
        </w:rPr>
        <w:t>increased</w:t>
      </w:r>
      <w:r w:rsidR="00D501BC" w:rsidRPr="00D74F6D">
        <w:rPr>
          <w:color w:val="000000" w:themeColor="text1"/>
        </w:rPr>
        <w:t xml:space="preserve"> by 2.</w:t>
      </w:r>
      <w:r w:rsidR="00865CE8">
        <w:rPr>
          <w:color w:val="000000" w:themeColor="text1"/>
        </w:rPr>
        <w:t>7</w:t>
      </w:r>
      <w:r w:rsidR="00C05052" w:rsidRPr="00D74F6D">
        <w:rPr>
          <w:color w:val="000000" w:themeColor="text1"/>
        </w:rPr>
        <w:t xml:space="preserve"> million over the same period last year.</w:t>
      </w:r>
    </w:p>
    <w:p w14:paraId="115E6D5F" w14:textId="77777777" w:rsidR="003042F3" w:rsidRDefault="003042F3" w:rsidP="004D099A">
      <w:pPr>
        <w:jc w:val="center"/>
      </w:pPr>
    </w:p>
    <w:p w14:paraId="149D5F33" w14:textId="6E96962C" w:rsidR="00B84330" w:rsidRDefault="003042F3" w:rsidP="004D099A">
      <w:pPr>
        <w:jc w:val="center"/>
      </w:pPr>
      <w:r>
        <w:rPr>
          <w:noProof/>
        </w:rPr>
        <w:drawing>
          <wp:inline distT="0" distB="0" distL="0" distR="0" wp14:anchorId="1DF8DC87" wp14:editId="31D9ABDE">
            <wp:extent cx="3846830" cy="2743200"/>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46830" cy="2743200"/>
                    </a:xfrm>
                    <a:prstGeom prst="rect">
                      <a:avLst/>
                    </a:prstGeom>
                    <a:noFill/>
                  </pic:spPr>
                </pic:pic>
              </a:graphicData>
            </a:graphic>
          </wp:inline>
        </w:drawing>
      </w:r>
    </w:p>
    <w:p w14:paraId="220C0CD3" w14:textId="77777777" w:rsidR="003042F3" w:rsidRDefault="003042F3" w:rsidP="004D099A">
      <w:pPr>
        <w:jc w:val="center"/>
      </w:pPr>
    </w:p>
    <w:p w14:paraId="149D5F35" w14:textId="26E682A7" w:rsidR="00D644B7" w:rsidRDefault="00D74F6D" w:rsidP="00005111">
      <w:r>
        <w:t>The</w:t>
      </w:r>
      <w:r w:rsidR="00C05052" w:rsidRPr="00925F58">
        <w:t xml:space="preserve"> unemp</w:t>
      </w:r>
      <w:r w:rsidR="00F81F49" w:rsidRPr="00925F58">
        <w:t>loyment rate</w:t>
      </w:r>
      <w:r w:rsidR="00C937ED">
        <w:rPr>
          <w:rStyle w:val="FootnoteReference"/>
        </w:rPr>
        <w:footnoteReference w:id="10"/>
      </w:r>
      <w:r w:rsidR="00F81F49" w:rsidRPr="00925F58">
        <w:t xml:space="preserve"> </w:t>
      </w:r>
      <w:r>
        <w:t>edged up from its 39-year low</w:t>
      </w:r>
      <w:r w:rsidR="00065E14">
        <w:t xml:space="preserve"> of </w:t>
      </w:r>
      <w:r w:rsidR="00D501BC" w:rsidRPr="00925F58">
        <w:t>3</w:t>
      </w:r>
      <w:r w:rsidR="00F81F49" w:rsidRPr="00925F58">
        <w:t>.</w:t>
      </w:r>
      <w:r w:rsidR="00D501BC" w:rsidRPr="00925F58">
        <w:t>7</w:t>
      </w:r>
      <w:r w:rsidR="00C05052" w:rsidRPr="00925F58">
        <w:t>%</w:t>
      </w:r>
      <w:r>
        <w:t xml:space="preserve"> to end the 4</w:t>
      </w:r>
      <w:r w:rsidRPr="00D74F6D">
        <w:rPr>
          <w:vertAlign w:val="superscript"/>
        </w:rPr>
        <w:t>th</w:t>
      </w:r>
      <w:r>
        <w:t xml:space="preserve"> quarter at 3.9%. Despite the recent uptick, the rate was d</w:t>
      </w:r>
      <w:r w:rsidR="00F81F49" w:rsidRPr="00925F58">
        <w:t>own 0.</w:t>
      </w:r>
      <w:r>
        <w:t>2</w:t>
      </w:r>
      <w:r w:rsidR="00865CE8">
        <w:t xml:space="preserve"> percentage point</w:t>
      </w:r>
      <w:r w:rsidR="00C05052" w:rsidRPr="00925F58">
        <w:t xml:space="preserve"> </w:t>
      </w:r>
      <w:r w:rsidR="001744C6" w:rsidRPr="00925F58">
        <w:t xml:space="preserve">from the same period a year ago and </w:t>
      </w:r>
      <w:r>
        <w:t xml:space="preserve">remained </w:t>
      </w:r>
      <w:r w:rsidR="001744C6" w:rsidRPr="00925F58">
        <w:t xml:space="preserve">well below the 30-year average </w:t>
      </w:r>
      <w:r w:rsidR="00D644B7" w:rsidRPr="00925F58">
        <w:t xml:space="preserve">unemployment rate </w:t>
      </w:r>
      <w:r w:rsidR="001744C6" w:rsidRPr="00925F58">
        <w:t xml:space="preserve">of </w:t>
      </w:r>
      <w:r w:rsidR="00D501BC" w:rsidRPr="00925F58">
        <w:t>5.9</w:t>
      </w:r>
      <w:r w:rsidR="001744C6" w:rsidRPr="00925F58">
        <w:t>%.</w:t>
      </w:r>
      <w:r w:rsidR="00D644B7" w:rsidRPr="00925F58">
        <w:t xml:space="preserve"> </w:t>
      </w:r>
      <w:r w:rsidR="00065E14">
        <w:t>The unemployment rate has been falling stea</w:t>
      </w:r>
      <w:r w:rsidR="004E2AB3">
        <w:t>dily since the Great Recessio</w:t>
      </w:r>
      <w:r w:rsidR="00D20BA9">
        <w:t>n</w:t>
      </w:r>
      <w:r w:rsidR="00A57EA4">
        <w:t>.</w:t>
      </w:r>
    </w:p>
    <w:p w14:paraId="1926EEEC" w14:textId="40229DE9" w:rsidR="0017576B" w:rsidRDefault="00820B1C" w:rsidP="00820B1C">
      <w:pPr>
        <w:jc w:val="center"/>
      </w:pPr>
      <w:r>
        <w:rPr>
          <w:noProof/>
        </w:rPr>
        <w:lastRenderedPageBreak/>
        <w:drawing>
          <wp:inline distT="0" distB="0" distL="0" distR="0" wp14:anchorId="4F83188C" wp14:editId="35F53ABC">
            <wp:extent cx="3493135" cy="2743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93135" cy="2743200"/>
                    </a:xfrm>
                    <a:prstGeom prst="rect">
                      <a:avLst/>
                    </a:prstGeom>
                    <a:noFill/>
                  </pic:spPr>
                </pic:pic>
              </a:graphicData>
            </a:graphic>
          </wp:inline>
        </w:drawing>
      </w:r>
    </w:p>
    <w:p w14:paraId="149D5F38" w14:textId="77777777" w:rsidR="00005111" w:rsidRDefault="00005111" w:rsidP="001475FF">
      <w:pPr>
        <w:pStyle w:val="Heading1"/>
      </w:pPr>
      <w:r>
        <w:t>Inflation</w:t>
      </w:r>
    </w:p>
    <w:p w14:paraId="149D5F3A" w14:textId="59193D63" w:rsidR="00172307" w:rsidRDefault="00AB498D" w:rsidP="00005111">
      <w:r w:rsidRPr="00AB498D">
        <w:t>The Fed reported that the U</w:t>
      </w:r>
      <w:r w:rsidR="00BC00A7">
        <w:t>.</w:t>
      </w:r>
      <w:r w:rsidRPr="00AB498D">
        <w:t>S</w:t>
      </w:r>
      <w:r w:rsidR="00BC00A7">
        <w:t>.</w:t>
      </w:r>
      <w:r w:rsidRPr="00AB498D">
        <w:t xml:space="preserve"> economy achieved </w:t>
      </w:r>
      <w:r w:rsidR="00B53037">
        <w:t>its</w:t>
      </w:r>
      <w:r w:rsidRPr="00AB498D">
        <w:t xml:space="preserve"> 2</w:t>
      </w:r>
      <w:r w:rsidR="00105413">
        <w:t>-</w:t>
      </w:r>
      <w:r w:rsidR="00B53037">
        <w:t>percent</w:t>
      </w:r>
      <w:r w:rsidRPr="00AB498D">
        <w:t xml:space="preserve"> i</w:t>
      </w:r>
      <w:r w:rsidR="006F7FB2" w:rsidRPr="00AB498D">
        <w:t xml:space="preserve">nflation </w:t>
      </w:r>
      <w:r w:rsidRPr="00AB498D">
        <w:t xml:space="preserve">target in </w:t>
      </w:r>
      <w:r w:rsidR="006F7FB2" w:rsidRPr="00AB498D">
        <w:t xml:space="preserve">the </w:t>
      </w:r>
      <w:r w:rsidR="00E37A8F">
        <w:t>4</w:t>
      </w:r>
      <w:r w:rsidR="00E37A8F" w:rsidRPr="00E37A8F">
        <w:rPr>
          <w:vertAlign w:val="superscript"/>
        </w:rPr>
        <w:t>th</w:t>
      </w:r>
      <w:r w:rsidR="00E37A8F">
        <w:t xml:space="preserve"> </w:t>
      </w:r>
      <w:r w:rsidR="006F7FB2" w:rsidRPr="00AB498D">
        <w:t>quarter</w:t>
      </w:r>
      <w:r w:rsidR="001E7445">
        <w:t xml:space="preserve">. </w:t>
      </w:r>
      <w:r w:rsidR="006F7FB2" w:rsidRPr="00AB498D">
        <w:t xml:space="preserve"> </w:t>
      </w:r>
      <w:r w:rsidR="001E7445" w:rsidRPr="00EF66C8">
        <w:rPr>
          <w:color w:val="000000" w:themeColor="text1"/>
        </w:rPr>
        <w:t xml:space="preserve">Going forward, the Fed </w:t>
      </w:r>
      <w:r w:rsidR="00F8456D" w:rsidRPr="00EF66C8">
        <w:rPr>
          <w:color w:val="000000" w:themeColor="text1"/>
        </w:rPr>
        <w:t xml:space="preserve">is </w:t>
      </w:r>
      <w:r w:rsidR="001E7445" w:rsidRPr="00EF66C8">
        <w:rPr>
          <w:color w:val="000000" w:themeColor="text1"/>
        </w:rPr>
        <w:t>expecting inflationary pressures to</w:t>
      </w:r>
      <w:r w:rsidRPr="00EF66C8">
        <w:rPr>
          <w:color w:val="000000" w:themeColor="text1"/>
        </w:rPr>
        <w:t xml:space="preserve"> </w:t>
      </w:r>
      <w:r w:rsidR="00EF66C8" w:rsidRPr="00EF66C8">
        <w:rPr>
          <w:color w:val="000000" w:themeColor="text1"/>
        </w:rPr>
        <w:t>moderate, as world financial conditions have tightened</w:t>
      </w:r>
      <w:r w:rsidR="006F7FB2" w:rsidRPr="00EF66C8">
        <w:rPr>
          <w:color w:val="000000" w:themeColor="text1"/>
        </w:rPr>
        <w:t xml:space="preserve">. </w:t>
      </w:r>
      <w:r w:rsidR="006F7FB2" w:rsidRPr="0016088B">
        <w:t>The Consumer Price Index (CPI)</w:t>
      </w:r>
      <w:r w:rsidR="0076678E">
        <w:rPr>
          <w:rStyle w:val="FootnoteReference"/>
        </w:rPr>
        <w:footnoteReference w:id="11"/>
      </w:r>
      <w:r w:rsidR="006F7FB2" w:rsidRPr="0016088B">
        <w:t xml:space="preserve"> increased </w:t>
      </w:r>
      <w:r w:rsidR="0016088B" w:rsidRPr="0016088B">
        <w:t xml:space="preserve">by </w:t>
      </w:r>
      <w:r w:rsidR="00D36CBD">
        <w:t>1</w:t>
      </w:r>
      <w:r w:rsidR="0016088B" w:rsidRPr="0016088B">
        <w:t>.</w:t>
      </w:r>
      <w:r w:rsidR="00D36CBD">
        <w:t>95</w:t>
      </w:r>
      <w:r w:rsidR="0016088B" w:rsidRPr="0016088B">
        <w:t>%</w:t>
      </w:r>
      <w:r w:rsidR="006F7FB2" w:rsidRPr="0016088B">
        <w:t xml:space="preserve"> </w:t>
      </w:r>
      <w:r w:rsidR="0016088B" w:rsidRPr="0016088B">
        <w:t xml:space="preserve">from </w:t>
      </w:r>
      <w:r w:rsidR="006F7FB2" w:rsidRPr="0016088B">
        <w:t>the same period last year.</w:t>
      </w:r>
      <w:r w:rsidR="00B071DB" w:rsidRPr="0016088B">
        <w:t xml:space="preserve"> </w:t>
      </w:r>
      <w:r w:rsidR="00BD3693">
        <w:t>According to Federal Reserve Bank of New York’s S</w:t>
      </w:r>
      <w:r w:rsidR="00A82B9E">
        <w:t>urvey of Consumer Expectations,</w:t>
      </w:r>
      <w:r w:rsidR="00BD3693">
        <w:t xml:space="preserve"> inflation</w:t>
      </w:r>
      <w:r w:rsidR="00A82B9E">
        <w:t xml:space="preserve"> </w:t>
      </w:r>
      <w:r w:rsidR="001E7445">
        <w:t xml:space="preserve">expectations </w:t>
      </w:r>
      <w:r w:rsidR="00BD3693">
        <w:t xml:space="preserve">one and three years </w:t>
      </w:r>
      <w:r w:rsidR="00BC00A7">
        <w:t>out</w:t>
      </w:r>
      <w:r w:rsidR="00BD3693">
        <w:t xml:space="preserve"> </w:t>
      </w:r>
      <w:r w:rsidR="001E7445">
        <w:t>are</w:t>
      </w:r>
      <w:r w:rsidR="00A82B9E">
        <w:t xml:space="preserve"> </w:t>
      </w:r>
      <w:r w:rsidR="00D36CBD">
        <w:t xml:space="preserve">holding virtually steady at </w:t>
      </w:r>
      <w:r w:rsidR="00BD3693">
        <w:t xml:space="preserve">3%. </w:t>
      </w:r>
    </w:p>
    <w:p w14:paraId="3854E9F7" w14:textId="77777777" w:rsidR="00BD6E2F" w:rsidRDefault="00BD6E2F" w:rsidP="00005111"/>
    <w:p w14:paraId="149D5F3C" w14:textId="63373C82" w:rsidR="00B94E68" w:rsidRDefault="00BD6E2F" w:rsidP="0026599C">
      <w:pPr>
        <w:jc w:val="center"/>
      </w:pPr>
      <w:r>
        <w:rPr>
          <w:noProof/>
        </w:rPr>
        <w:drawing>
          <wp:inline distT="0" distB="0" distL="0" distR="0" wp14:anchorId="74F3B776" wp14:editId="35D26346">
            <wp:extent cx="3493135" cy="2743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93135" cy="2743200"/>
                    </a:xfrm>
                    <a:prstGeom prst="rect">
                      <a:avLst/>
                    </a:prstGeom>
                    <a:noFill/>
                  </pic:spPr>
                </pic:pic>
              </a:graphicData>
            </a:graphic>
          </wp:inline>
        </w:drawing>
      </w:r>
    </w:p>
    <w:p w14:paraId="149D5F3E" w14:textId="7F74D860" w:rsidR="00A11CAC" w:rsidRDefault="006F7FB2" w:rsidP="006F7FB2">
      <w:r w:rsidRPr="004E4B6F">
        <w:lastRenderedPageBreak/>
        <w:t>Prices at the prod</w:t>
      </w:r>
      <w:r w:rsidR="000E6A61" w:rsidRPr="004E4B6F">
        <w:t xml:space="preserve">ucer level </w:t>
      </w:r>
      <w:r w:rsidR="00EF66C8">
        <w:t>decelerated in the 4</w:t>
      </w:r>
      <w:r w:rsidR="00EF66C8" w:rsidRPr="00EF66C8">
        <w:rPr>
          <w:vertAlign w:val="superscript"/>
        </w:rPr>
        <w:t>th</w:t>
      </w:r>
      <w:r w:rsidR="00EF66C8">
        <w:t xml:space="preserve"> quarter</w:t>
      </w:r>
      <w:r w:rsidRPr="004E4B6F">
        <w:t>, with the Producer Pr</w:t>
      </w:r>
      <w:r w:rsidR="00174B44" w:rsidRPr="004E4B6F">
        <w:t>ice Index (PPI)</w:t>
      </w:r>
      <w:r w:rsidR="00CB1375">
        <w:rPr>
          <w:rStyle w:val="FootnoteReference"/>
        </w:rPr>
        <w:footnoteReference w:id="12"/>
      </w:r>
      <w:r w:rsidR="00174B44" w:rsidRPr="004E4B6F">
        <w:t xml:space="preserve"> </w:t>
      </w:r>
      <w:r w:rsidR="007B7D73" w:rsidRPr="004E4B6F">
        <w:t xml:space="preserve">increasing by </w:t>
      </w:r>
      <w:r w:rsidR="00EF66C8">
        <w:t>2.95</w:t>
      </w:r>
      <w:r w:rsidR="00174B44" w:rsidRPr="004E4B6F">
        <w:t>%</w:t>
      </w:r>
      <w:r w:rsidRPr="004E4B6F">
        <w:t xml:space="preserve"> compared to the same period last year. </w:t>
      </w:r>
      <w:r w:rsidR="00EF66C8">
        <w:t>Producer-level inflation</w:t>
      </w:r>
      <w:r w:rsidR="0031179D" w:rsidRPr="004E4B6F">
        <w:t xml:space="preserve"> remain</w:t>
      </w:r>
      <w:r w:rsidR="00EF66C8">
        <w:t>s</w:t>
      </w:r>
      <w:r w:rsidR="0031179D" w:rsidRPr="004E4B6F">
        <w:t xml:space="preserve"> </w:t>
      </w:r>
      <w:r w:rsidR="001E7445">
        <w:t xml:space="preserve">above </w:t>
      </w:r>
      <w:r w:rsidR="0031179D" w:rsidRPr="004E4B6F">
        <w:t>the 30-year average of 2.2</w:t>
      </w:r>
      <w:r w:rsidR="00EF66C8">
        <w:t>6</w:t>
      </w:r>
      <w:r w:rsidR="0031179D" w:rsidRPr="004E4B6F">
        <w:t xml:space="preserve">%. </w:t>
      </w:r>
    </w:p>
    <w:p w14:paraId="409DCD4A" w14:textId="77777777" w:rsidR="00BD6E2F" w:rsidRDefault="00BD6E2F" w:rsidP="006F7FB2"/>
    <w:p w14:paraId="149D5F40" w14:textId="6ACD4AF5" w:rsidR="00B94E68" w:rsidRDefault="00B53BD2" w:rsidP="0017576B">
      <w:pPr>
        <w:jc w:val="center"/>
      </w:pPr>
      <w:r>
        <w:rPr>
          <w:noProof/>
        </w:rPr>
        <w:drawing>
          <wp:inline distT="0" distB="0" distL="0" distR="0" wp14:anchorId="4FB80939" wp14:editId="03518E50">
            <wp:extent cx="3493135" cy="2743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93135" cy="2743200"/>
                    </a:xfrm>
                    <a:prstGeom prst="rect">
                      <a:avLst/>
                    </a:prstGeom>
                    <a:noFill/>
                  </pic:spPr>
                </pic:pic>
              </a:graphicData>
            </a:graphic>
          </wp:inline>
        </w:drawing>
      </w:r>
    </w:p>
    <w:p w14:paraId="149D5F41" w14:textId="77777777" w:rsidR="00005111" w:rsidRDefault="00005111" w:rsidP="001475FF">
      <w:pPr>
        <w:pStyle w:val="Heading1"/>
      </w:pPr>
      <w:r>
        <w:t>Housing</w:t>
      </w:r>
    </w:p>
    <w:p w14:paraId="149D5F42" w14:textId="527C8157" w:rsidR="00005111" w:rsidRDefault="00B0395F">
      <w:r w:rsidRPr="0094654A">
        <w:t xml:space="preserve">During the </w:t>
      </w:r>
      <w:r w:rsidR="00DC1920">
        <w:t>4</w:t>
      </w:r>
      <w:r w:rsidR="00DC1920" w:rsidRPr="00DC1920">
        <w:rPr>
          <w:vertAlign w:val="superscript"/>
        </w:rPr>
        <w:t>th</w:t>
      </w:r>
      <w:r w:rsidRPr="0094654A">
        <w:t xml:space="preserve"> quarter, the h</w:t>
      </w:r>
      <w:r w:rsidR="00CD0AEC" w:rsidRPr="0094654A">
        <w:t xml:space="preserve">ousing </w:t>
      </w:r>
      <w:r w:rsidRPr="0094654A">
        <w:t xml:space="preserve">market </w:t>
      </w:r>
      <w:r w:rsidR="00DC1920">
        <w:t>continued</w:t>
      </w:r>
      <w:r w:rsidR="002B16D0" w:rsidRPr="0094654A">
        <w:t xml:space="preserve"> to show </w:t>
      </w:r>
      <w:r w:rsidR="008B65B4" w:rsidRPr="0094654A">
        <w:t>sign</w:t>
      </w:r>
      <w:r w:rsidR="00B60178" w:rsidRPr="00773B5B">
        <w:t>s</w:t>
      </w:r>
      <w:r w:rsidRPr="0094654A">
        <w:t xml:space="preserve"> of weakness as new home starts</w:t>
      </w:r>
      <w:r w:rsidR="00C828B0">
        <w:rPr>
          <w:rStyle w:val="FootnoteReference"/>
        </w:rPr>
        <w:footnoteReference w:id="13"/>
      </w:r>
      <w:r w:rsidRPr="0094654A">
        <w:t xml:space="preserve"> fell by </w:t>
      </w:r>
      <w:r w:rsidR="00DC1920">
        <w:t>14.0</w:t>
      </w:r>
      <w:r w:rsidRPr="0094654A">
        <w:t>% to 1.</w:t>
      </w:r>
      <w:r w:rsidR="00DC1920">
        <w:t>04</w:t>
      </w:r>
      <w:r w:rsidRPr="0094654A">
        <w:t xml:space="preserve"> million in </w:t>
      </w:r>
      <w:r w:rsidR="00DC1920">
        <w:t>December</w:t>
      </w:r>
      <w:r w:rsidR="0026329B">
        <w:t>,</w:t>
      </w:r>
      <w:r w:rsidRPr="0094654A">
        <w:t xml:space="preserve"> </w:t>
      </w:r>
      <w:r w:rsidR="0026329B">
        <w:t>their lowest monthly level since March 2015</w:t>
      </w:r>
      <w:r w:rsidRPr="0094654A">
        <w:t xml:space="preserve">. </w:t>
      </w:r>
      <w:r w:rsidR="0026329B">
        <w:t xml:space="preserve">Multi-family dwellings saw the largest drop. </w:t>
      </w:r>
      <w:r w:rsidRPr="0094654A">
        <w:t xml:space="preserve">The </w:t>
      </w:r>
      <w:r w:rsidR="008B65B4" w:rsidRPr="0094654A">
        <w:t xml:space="preserve">main </w:t>
      </w:r>
      <w:r w:rsidRPr="0094654A">
        <w:t xml:space="preserve">factors for the monthly decline are believed to be </w:t>
      </w:r>
      <w:r w:rsidR="00DC1920">
        <w:t>high</w:t>
      </w:r>
      <w:r w:rsidRPr="0094654A">
        <w:t xml:space="preserve"> mortgage rates</w:t>
      </w:r>
      <w:r w:rsidR="00DC1920">
        <w:t xml:space="preserve"> and home prices, coupled with </w:t>
      </w:r>
      <w:r w:rsidR="0026329B">
        <w:t>stock market declines</w:t>
      </w:r>
      <w:r w:rsidRPr="0094654A">
        <w:t>. T</w:t>
      </w:r>
      <w:r w:rsidR="00424E74" w:rsidRPr="0094654A">
        <w:t>he</w:t>
      </w:r>
      <w:r w:rsidRPr="0094654A">
        <w:t xml:space="preserve"> current</w:t>
      </w:r>
      <w:r w:rsidR="00424E74" w:rsidRPr="0094654A">
        <w:t xml:space="preserve"> level </w:t>
      </w:r>
      <w:r w:rsidRPr="0094654A">
        <w:t xml:space="preserve">is </w:t>
      </w:r>
      <w:r w:rsidR="00424E74" w:rsidRPr="0094654A">
        <w:t>well above the lows seen in 2009 when only 0.5 million new homes were built</w:t>
      </w:r>
      <w:r w:rsidR="0026329B">
        <w:t>,</w:t>
      </w:r>
      <w:r w:rsidR="00424E74" w:rsidRPr="0094654A">
        <w:t xml:space="preserve"> yet below the 30-year average of 1.</w:t>
      </w:r>
      <w:r w:rsidR="005E3622" w:rsidRPr="0094654A">
        <w:t>31</w:t>
      </w:r>
      <w:r w:rsidR="00424E74" w:rsidRPr="0094654A">
        <w:t xml:space="preserve"> </w:t>
      </w:r>
      <w:r w:rsidR="00424E74" w:rsidRPr="004F1527">
        <w:t>million.</w:t>
      </w:r>
      <w:r w:rsidR="00F80395">
        <w:t xml:space="preserve"> </w:t>
      </w:r>
    </w:p>
    <w:p w14:paraId="149D5F44" w14:textId="1254A94A" w:rsidR="00B5315D" w:rsidRDefault="00B53BD2" w:rsidP="001B4B76">
      <w:pPr>
        <w:jc w:val="center"/>
      </w:pPr>
      <w:r>
        <w:rPr>
          <w:noProof/>
        </w:rPr>
        <w:lastRenderedPageBreak/>
        <w:drawing>
          <wp:inline distT="0" distB="0" distL="0" distR="0" wp14:anchorId="2D12608F" wp14:editId="54D9442B">
            <wp:extent cx="3816350" cy="2743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6350" cy="2743200"/>
                    </a:xfrm>
                    <a:prstGeom prst="rect">
                      <a:avLst/>
                    </a:prstGeom>
                    <a:noFill/>
                  </pic:spPr>
                </pic:pic>
              </a:graphicData>
            </a:graphic>
          </wp:inline>
        </w:drawing>
      </w:r>
    </w:p>
    <w:p w14:paraId="54EF3653" w14:textId="77777777" w:rsidR="00B53BD2" w:rsidRDefault="00B53BD2" w:rsidP="001B4B76">
      <w:pPr>
        <w:jc w:val="center"/>
      </w:pPr>
    </w:p>
    <w:p w14:paraId="149D5F46" w14:textId="559BF9DD" w:rsidR="00A96795" w:rsidRDefault="00A223EC" w:rsidP="000A1224">
      <w:r>
        <w:t xml:space="preserve">The cost </w:t>
      </w:r>
      <w:r w:rsidR="00BC00A7">
        <w:t xml:space="preserve">of financing </w:t>
      </w:r>
      <w:r>
        <w:t xml:space="preserve">for </w:t>
      </w:r>
      <w:r w:rsidR="001B4B76">
        <w:t xml:space="preserve">would-be home-buyers </w:t>
      </w:r>
      <w:r w:rsidR="0026329B">
        <w:t xml:space="preserve">peaked </w:t>
      </w:r>
      <w:r w:rsidR="00105413">
        <w:t>in</w:t>
      </w:r>
      <w:r w:rsidR="0026329B">
        <w:t xml:space="preserve"> November </w:t>
      </w:r>
      <w:r w:rsidR="001B4B76">
        <w:t>as the 30-year fixed-rate mortgage</w:t>
      </w:r>
      <w:r w:rsidR="00250313">
        <w:rPr>
          <w:rStyle w:val="FootnoteReference"/>
        </w:rPr>
        <w:footnoteReference w:id="14"/>
      </w:r>
      <w:r w:rsidR="001B4B76">
        <w:t xml:space="preserve"> </w:t>
      </w:r>
      <w:r w:rsidR="0026329B">
        <w:t>reached</w:t>
      </w:r>
      <w:r w:rsidR="001B4B76">
        <w:t xml:space="preserve"> 4.</w:t>
      </w:r>
      <w:r w:rsidR="0026329B">
        <w:t>94</w:t>
      </w:r>
      <w:r w:rsidR="001B4B76">
        <w:t xml:space="preserve">%, the highest </w:t>
      </w:r>
      <w:r w:rsidR="001E7445">
        <w:t xml:space="preserve">level </w:t>
      </w:r>
      <w:r w:rsidR="0026329B">
        <w:t xml:space="preserve">since February 2011, then </w:t>
      </w:r>
      <w:r w:rsidR="00BE4FA9">
        <w:t>slipped</w:t>
      </w:r>
      <w:r w:rsidR="0026329B">
        <w:t xml:space="preserve"> to </w:t>
      </w:r>
      <w:r w:rsidR="00BE4FA9">
        <w:t>4.55% to close out 2018.</w:t>
      </w:r>
      <w:r w:rsidR="001B4B76">
        <w:t xml:space="preserve"> </w:t>
      </w:r>
      <w:r w:rsidR="00BE4FA9">
        <w:t>The decline was attributed to investor anxiety</w:t>
      </w:r>
      <w:r w:rsidR="001B4B76">
        <w:t xml:space="preserve">.  </w:t>
      </w:r>
    </w:p>
    <w:p w14:paraId="5BCD7F41" w14:textId="77777777" w:rsidR="00B53BD2" w:rsidRDefault="00B53BD2" w:rsidP="000A1224"/>
    <w:p w14:paraId="149D5F48" w14:textId="724B7FDD" w:rsidR="00D42A9D" w:rsidRDefault="00A07F45" w:rsidP="00453708">
      <w:pPr>
        <w:jc w:val="center"/>
      </w:pPr>
      <w:r>
        <w:rPr>
          <w:noProof/>
        </w:rPr>
        <w:drawing>
          <wp:inline distT="0" distB="0" distL="0" distR="0" wp14:anchorId="557EBECE" wp14:editId="503A5279">
            <wp:extent cx="3816350" cy="2737485"/>
            <wp:effectExtent l="0" t="0" r="0" b="571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6350" cy="2737485"/>
                    </a:xfrm>
                    <a:prstGeom prst="rect">
                      <a:avLst/>
                    </a:prstGeom>
                    <a:noFill/>
                  </pic:spPr>
                </pic:pic>
              </a:graphicData>
            </a:graphic>
          </wp:inline>
        </w:drawing>
      </w:r>
    </w:p>
    <w:p w14:paraId="557543D0" w14:textId="77777777" w:rsidR="005A005F" w:rsidRDefault="005A005F" w:rsidP="00453708">
      <w:pPr>
        <w:jc w:val="center"/>
      </w:pPr>
    </w:p>
    <w:p w14:paraId="149D5F4A" w14:textId="22C16D6B" w:rsidR="00C07579" w:rsidRDefault="00B767AE" w:rsidP="00773B5B">
      <w:r>
        <w:lastRenderedPageBreak/>
        <w:t>The S&amp;</w:t>
      </w:r>
      <w:r w:rsidR="00BD1AF4">
        <w:t>P Case-Shiller Home Price Index (20-city)</w:t>
      </w:r>
      <w:r w:rsidR="00B2585A">
        <w:rPr>
          <w:rStyle w:val="FootnoteReference"/>
        </w:rPr>
        <w:footnoteReference w:id="15"/>
      </w:r>
      <w:r w:rsidR="00BD1AF4">
        <w:t xml:space="preserve"> </w:t>
      </w:r>
      <w:r w:rsidR="00BE4FA9">
        <w:t>for</w:t>
      </w:r>
      <w:r w:rsidR="00BD1AF4">
        <w:t xml:space="preserve"> </w:t>
      </w:r>
      <w:r w:rsidR="00BE4FA9">
        <w:t>December</w:t>
      </w:r>
      <w:r w:rsidR="00BD1AF4">
        <w:t xml:space="preserve"> 2018 </w:t>
      </w:r>
      <w:r>
        <w:t xml:space="preserve">reaffirms the </w:t>
      </w:r>
      <w:r w:rsidR="00BD1AF4">
        <w:t xml:space="preserve">vulnerability of the </w:t>
      </w:r>
      <w:r>
        <w:t xml:space="preserve">housing market </w:t>
      </w:r>
      <w:r w:rsidR="00EF589B">
        <w:t xml:space="preserve">in the </w:t>
      </w:r>
      <w:r w:rsidR="00BE4FA9">
        <w:t>4</w:t>
      </w:r>
      <w:r w:rsidR="00BE4FA9" w:rsidRPr="00BE4FA9">
        <w:rPr>
          <w:vertAlign w:val="superscript"/>
        </w:rPr>
        <w:t>th</w:t>
      </w:r>
      <w:r w:rsidR="00EF589B">
        <w:t xml:space="preserve"> quarter </w:t>
      </w:r>
      <w:r>
        <w:t xml:space="preserve">as </w:t>
      </w:r>
      <w:r w:rsidR="00B7053E">
        <w:t>home prices are still rising but the rate of increase slowed down</w:t>
      </w:r>
      <w:r w:rsidR="002972D2">
        <w:t xml:space="preserve">, a by-product of a </w:t>
      </w:r>
      <w:r w:rsidR="00805C12">
        <w:t>decline in demand</w:t>
      </w:r>
      <w:r w:rsidR="00B7053E">
        <w:t xml:space="preserve">. </w:t>
      </w:r>
      <w:r w:rsidR="005C532B">
        <w:t>December’s growth in</w:t>
      </w:r>
      <w:r w:rsidR="00B7053E">
        <w:t xml:space="preserve"> </w:t>
      </w:r>
      <w:r w:rsidR="00BD1AF4">
        <w:t>annual home price</w:t>
      </w:r>
      <w:r w:rsidR="005C532B">
        <w:t>s was</w:t>
      </w:r>
      <w:r w:rsidR="00E2306A">
        <w:t xml:space="preserve"> </w:t>
      </w:r>
      <w:r w:rsidR="00BE4FA9">
        <w:t>4.2</w:t>
      </w:r>
      <w:r w:rsidR="00E2306A">
        <w:t xml:space="preserve">%, the </w:t>
      </w:r>
      <w:r w:rsidR="00BE4FA9">
        <w:t>lowest since September 2012.</w:t>
      </w:r>
      <w:r w:rsidR="00E2306A">
        <w:t xml:space="preserve"> </w:t>
      </w:r>
      <w:r w:rsidR="0096732C">
        <w:t>The index ha</w:t>
      </w:r>
      <w:r w:rsidR="00BC00A7">
        <w:t>d</w:t>
      </w:r>
      <w:r w:rsidR="0096732C">
        <w:t xml:space="preserve"> been </w:t>
      </w:r>
      <w:r w:rsidR="00BC00A7">
        <w:t xml:space="preserve">experiencing </w:t>
      </w:r>
      <w:r w:rsidR="00BE4FA9">
        <w:t>steady</w:t>
      </w:r>
      <w:r w:rsidR="0096732C">
        <w:t xml:space="preserve"> </w:t>
      </w:r>
      <w:r w:rsidR="008B20D0">
        <w:t xml:space="preserve">annual price </w:t>
      </w:r>
      <w:r w:rsidR="00EF589B">
        <w:t>increase</w:t>
      </w:r>
      <w:r w:rsidR="00BC00A7">
        <w:t>s</w:t>
      </w:r>
      <w:r w:rsidR="00EF589B">
        <w:t xml:space="preserve"> </w:t>
      </w:r>
      <w:r w:rsidR="00BE4FA9">
        <w:t>of at least 5</w:t>
      </w:r>
      <w:r w:rsidR="005C532B">
        <w:t>.0</w:t>
      </w:r>
      <w:r w:rsidR="00BE4FA9">
        <w:t xml:space="preserve">% since </w:t>
      </w:r>
      <w:r w:rsidR="005C532B">
        <w:t>July</w:t>
      </w:r>
      <w:r w:rsidR="00BE4FA9">
        <w:t xml:space="preserve"> 2015</w:t>
      </w:r>
      <w:r w:rsidR="0096732C">
        <w:t>.</w:t>
      </w:r>
    </w:p>
    <w:p w14:paraId="718F5904" w14:textId="77777777" w:rsidR="00B41840" w:rsidRDefault="00B41840" w:rsidP="00773B5B"/>
    <w:p w14:paraId="149D5F4C" w14:textId="544CD62D" w:rsidR="0064538F" w:rsidRDefault="00B41840" w:rsidP="002775DB">
      <w:pPr>
        <w:jc w:val="center"/>
      </w:pPr>
      <w:r>
        <w:rPr>
          <w:noProof/>
        </w:rPr>
        <w:drawing>
          <wp:inline distT="0" distB="0" distL="0" distR="0" wp14:anchorId="1BD33178" wp14:editId="3E4E1372">
            <wp:extent cx="3493135" cy="27432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93135" cy="2743200"/>
                    </a:xfrm>
                    <a:prstGeom prst="rect">
                      <a:avLst/>
                    </a:prstGeom>
                    <a:noFill/>
                  </pic:spPr>
                </pic:pic>
              </a:graphicData>
            </a:graphic>
          </wp:inline>
        </w:drawing>
      </w:r>
    </w:p>
    <w:p w14:paraId="149D5F4D" w14:textId="52E84594" w:rsidR="00005111" w:rsidRDefault="0079609A" w:rsidP="001475FF">
      <w:pPr>
        <w:pStyle w:val="Heading1"/>
      </w:pPr>
      <w:r>
        <w:t>Consumer Spending</w:t>
      </w:r>
    </w:p>
    <w:p w14:paraId="149D5F4F" w14:textId="21DB71F6" w:rsidR="0064538F" w:rsidRDefault="002F6282" w:rsidP="00005111">
      <w:r>
        <w:t>Boosted by gains for long-lasting goods and for services</w:t>
      </w:r>
      <w:r w:rsidR="006F4DB7" w:rsidRPr="00FD4516">
        <w:t>,</w:t>
      </w:r>
      <w:r w:rsidR="0079609A" w:rsidRPr="00FD4516">
        <w:t xml:space="preserve"> </w:t>
      </w:r>
      <w:r w:rsidR="00860631" w:rsidRPr="00FD4516">
        <w:t>t</w:t>
      </w:r>
      <w:r w:rsidR="0079609A" w:rsidRPr="00FD4516">
        <w:t>he</w:t>
      </w:r>
      <w:r w:rsidR="0079609A" w:rsidRPr="00971553">
        <w:t xml:space="preserve"> level of Personal Consumption Expenditures (PCE)</w:t>
      </w:r>
      <w:r w:rsidR="00421F60">
        <w:rPr>
          <w:rStyle w:val="FootnoteReference"/>
        </w:rPr>
        <w:footnoteReference w:id="16"/>
      </w:r>
      <w:r w:rsidR="0079609A" w:rsidRPr="00971553">
        <w:t xml:space="preserve"> increased </w:t>
      </w:r>
      <w:r w:rsidR="00914EA8">
        <w:t xml:space="preserve">by </w:t>
      </w:r>
      <w:r w:rsidR="008129B2">
        <w:t>3.98</w:t>
      </w:r>
      <w:r w:rsidR="0079609A" w:rsidRPr="00971553">
        <w:t xml:space="preserve">% </w:t>
      </w:r>
      <w:r w:rsidR="005C532B">
        <w:t>from December 2017 to December 2018</w:t>
      </w:r>
      <w:r>
        <w:t>. The rise was</w:t>
      </w:r>
      <w:r w:rsidR="00576484" w:rsidRPr="00971553">
        <w:t xml:space="preserve"> </w:t>
      </w:r>
      <w:r w:rsidR="008129B2">
        <w:t>below</w:t>
      </w:r>
      <w:r w:rsidR="00971553" w:rsidRPr="00971553">
        <w:t xml:space="preserve"> </w:t>
      </w:r>
      <w:r w:rsidR="0079609A" w:rsidRPr="00971553">
        <w:t xml:space="preserve">both the 30-year average level of </w:t>
      </w:r>
      <w:r w:rsidR="008129B2">
        <w:t>5.02</w:t>
      </w:r>
      <w:r w:rsidR="0079609A" w:rsidRPr="00971553">
        <w:t xml:space="preserve">% and </w:t>
      </w:r>
      <w:r w:rsidR="001E7445">
        <w:t xml:space="preserve">the </w:t>
      </w:r>
      <w:r w:rsidR="00982B60">
        <w:t>4.</w:t>
      </w:r>
      <w:r w:rsidR="008129B2">
        <w:t>53</w:t>
      </w:r>
      <w:r w:rsidR="0079609A" w:rsidRPr="00971553">
        <w:t xml:space="preserve">% </w:t>
      </w:r>
      <w:r w:rsidR="008B1963">
        <w:t>level</w:t>
      </w:r>
      <w:r w:rsidR="00CA2DA3">
        <w:t xml:space="preserve"> from </w:t>
      </w:r>
      <w:r w:rsidR="0079609A" w:rsidRPr="00971553">
        <w:t xml:space="preserve">the same period </w:t>
      </w:r>
      <w:r w:rsidR="005C532B">
        <w:t>a</w:t>
      </w:r>
      <w:r w:rsidR="0079609A" w:rsidRPr="00971553">
        <w:t xml:space="preserve"> year</w:t>
      </w:r>
      <w:r w:rsidR="005C532B">
        <w:t xml:space="preserve"> ago</w:t>
      </w:r>
      <w:r w:rsidR="0079609A" w:rsidRPr="00971553">
        <w:t>.</w:t>
      </w:r>
      <w:r w:rsidR="0079609A">
        <w:t xml:space="preserve"> </w:t>
      </w:r>
      <w:r w:rsidR="000D47AB">
        <w:t>The</w:t>
      </w:r>
      <w:r w:rsidR="002E3213">
        <w:t xml:space="preserve"> </w:t>
      </w:r>
      <w:r>
        <w:t>continued reports of strong consumer spending are a boon amidst the negative economic effects of the U.S.-China trade war.</w:t>
      </w:r>
    </w:p>
    <w:p w14:paraId="7AAFBFDB" w14:textId="77777777" w:rsidR="00965AD3" w:rsidRDefault="00965AD3" w:rsidP="00005111"/>
    <w:p w14:paraId="149D5F51" w14:textId="11014CE1" w:rsidR="0079609A" w:rsidRDefault="00965AD3" w:rsidP="00CF06AE">
      <w:pPr>
        <w:jc w:val="center"/>
      </w:pPr>
      <w:r>
        <w:rPr>
          <w:noProof/>
        </w:rPr>
        <w:lastRenderedPageBreak/>
        <w:drawing>
          <wp:inline distT="0" distB="0" distL="0" distR="0" wp14:anchorId="461B1707" wp14:editId="4C68AAA4">
            <wp:extent cx="3493135" cy="2743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93135" cy="2743200"/>
                    </a:xfrm>
                    <a:prstGeom prst="rect">
                      <a:avLst/>
                    </a:prstGeom>
                    <a:noFill/>
                  </pic:spPr>
                </pic:pic>
              </a:graphicData>
            </a:graphic>
          </wp:inline>
        </w:drawing>
      </w:r>
    </w:p>
    <w:p w14:paraId="79EF00D8" w14:textId="77777777" w:rsidR="00B41840" w:rsidRDefault="00B41840" w:rsidP="00CF06AE">
      <w:pPr>
        <w:jc w:val="center"/>
      </w:pPr>
    </w:p>
    <w:p w14:paraId="149D5F53" w14:textId="3FB17126" w:rsidR="0079609A" w:rsidRDefault="00515DB3" w:rsidP="00F92FD1">
      <w:r>
        <w:t xml:space="preserve">Automotive companies </w:t>
      </w:r>
      <w:r w:rsidR="00695980">
        <w:t xml:space="preserve">reported </w:t>
      </w:r>
      <w:r w:rsidR="008B37F0" w:rsidRPr="008B37F0">
        <w:t>17.</w:t>
      </w:r>
      <w:r w:rsidR="002F6282">
        <w:t>5</w:t>
      </w:r>
      <w:r w:rsidR="0079609A" w:rsidRPr="008B37F0">
        <w:t xml:space="preserve"> million autos and light trucks sold</w:t>
      </w:r>
      <w:r w:rsidR="00933E80">
        <w:rPr>
          <w:rStyle w:val="FootnoteReference"/>
        </w:rPr>
        <w:footnoteReference w:id="17"/>
      </w:r>
      <w:r w:rsidR="0079609A" w:rsidRPr="008B37F0">
        <w:t xml:space="preserve"> in </w:t>
      </w:r>
      <w:r w:rsidR="002F6282">
        <w:t>December</w:t>
      </w:r>
      <w:r w:rsidR="008B3E4E">
        <w:t>,</w:t>
      </w:r>
      <w:r w:rsidR="005B40E5">
        <w:t xml:space="preserve"> </w:t>
      </w:r>
      <w:r w:rsidR="008B3E4E">
        <w:t xml:space="preserve">up </w:t>
      </w:r>
      <w:r w:rsidR="005B40E5">
        <w:t>0.</w:t>
      </w:r>
      <w:r w:rsidR="008B3E4E">
        <w:t>2</w:t>
      </w:r>
      <w:r w:rsidR="0079609A" w:rsidRPr="008B37F0">
        <w:t xml:space="preserve"> million units </w:t>
      </w:r>
      <w:r w:rsidR="00CF06AE">
        <w:t xml:space="preserve">from </w:t>
      </w:r>
      <w:r w:rsidR="00EB3490">
        <w:t xml:space="preserve">the same period </w:t>
      </w:r>
      <w:r w:rsidR="0079609A" w:rsidRPr="008B37F0">
        <w:t>last year and 2.</w:t>
      </w:r>
      <w:r w:rsidR="00BC00A7">
        <w:t>2</w:t>
      </w:r>
      <w:r w:rsidR="0079609A" w:rsidRPr="008B37F0">
        <w:t xml:space="preserve"> million units a</w:t>
      </w:r>
      <w:r w:rsidR="008B37F0" w:rsidRPr="008B37F0">
        <w:t>bove the 30-year average of 15.</w:t>
      </w:r>
      <w:r w:rsidR="008B3E4E">
        <w:t>3</w:t>
      </w:r>
      <w:r w:rsidR="0079609A" w:rsidRPr="008B37F0">
        <w:t xml:space="preserve"> million units.</w:t>
      </w:r>
      <w:r w:rsidR="00F92FD1">
        <w:t xml:space="preserve"> </w:t>
      </w:r>
      <w:r w:rsidR="008B3E4E">
        <w:t>The 2018 increases in light vehicle sales were attributable to corporate, government, and rental fleets; sales to consumers were little changed, and an economic slowdown in China could dampen sales in the coming year</w:t>
      </w:r>
      <w:r w:rsidR="00F92FD1">
        <w:t>.</w:t>
      </w:r>
    </w:p>
    <w:p w14:paraId="154E98A6" w14:textId="77777777" w:rsidR="00DB7592" w:rsidRDefault="00DB7592" w:rsidP="00F92FD1"/>
    <w:p w14:paraId="149D5F55" w14:textId="5873F8C0" w:rsidR="00B94E68" w:rsidRPr="00960B49" w:rsidRDefault="00DB7592" w:rsidP="00960B49">
      <w:pPr>
        <w:jc w:val="center"/>
      </w:pPr>
      <w:r>
        <w:rPr>
          <w:noProof/>
        </w:rPr>
        <w:drawing>
          <wp:inline distT="0" distB="0" distL="0" distR="0" wp14:anchorId="44AC55B8" wp14:editId="1F6DF59B">
            <wp:extent cx="4090670" cy="2743200"/>
            <wp:effectExtent l="0" t="0" r="508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90670" cy="2743200"/>
                    </a:xfrm>
                    <a:prstGeom prst="rect">
                      <a:avLst/>
                    </a:prstGeom>
                    <a:noFill/>
                  </pic:spPr>
                </pic:pic>
              </a:graphicData>
            </a:graphic>
          </wp:inline>
        </w:drawing>
      </w:r>
    </w:p>
    <w:p w14:paraId="149D5F56" w14:textId="77777777" w:rsidR="0091664E" w:rsidRDefault="0091664E" w:rsidP="0091664E">
      <w:pPr>
        <w:pStyle w:val="Heading1"/>
      </w:pPr>
      <w:r>
        <w:lastRenderedPageBreak/>
        <w:t>Capital Markets</w:t>
      </w:r>
    </w:p>
    <w:p w14:paraId="5086B8FC" w14:textId="0FC43C1A" w:rsidR="00B875CA" w:rsidRDefault="00FB7EF9" w:rsidP="00B875CA">
      <w:r>
        <w:t>U</w:t>
      </w:r>
      <w:r w:rsidR="00BC00A7">
        <w:t>.</w:t>
      </w:r>
      <w:r>
        <w:t>S</w:t>
      </w:r>
      <w:r w:rsidR="00BC00A7">
        <w:t>.</w:t>
      </w:r>
      <w:r>
        <w:t xml:space="preserve"> </w:t>
      </w:r>
      <w:r w:rsidR="008B3E4E">
        <w:t xml:space="preserve">stock </w:t>
      </w:r>
      <w:r w:rsidR="00890B68">
        <w:t>indices</w:t>
      </w:r>
      <w:r w:rsidR="002A14C5">
        <w:t xml:space="preserve"> tumbled in the 4</w:t>
      </w:r>
      <w:r w:rsidR="002A14C5" w:rsidRPr="002A14C5">
        <w:rPr>
          <w:vertAlign w:val="superscript"/>
        </w:rPr>
        <w:t>th</w:t>
      </w:r>
      <w:r w:rsidR="002A14C5">
        <w:t xml:space="preserve"> quarter of 2018, due partly to heavy December losses. Fears of slowed economic activity, trade negotiations with China, and the Fed’s recent policy moves all motivated investors’ decisions.</w:t>
      </w:r>
      <w:r w:rsidR="002A14C5" w:rsidRPr="00093D9A">
        <w:t xml:space="preserve"> </w:t>
      </w:r>
      <w:r w:rsidR="004778D8" w:rsidRPr="00093D9A">
        <w:t xml:space="preserve">The S&amp;P 500 </w:t>
      </w:r>
      <w:r w:rsidR="00953DDB" w:rsidRPr="00093D9A">
        <w:t xml:space="preserve">closed the quarter at </w:t>
      </w:r>
      <w:r w:rsidR="009878F0" w:rsidRPr="00093D9A">
        <w:t>2</w:t>
      </w:r>
      <w:r w:rsidR="00953DDB" w:rsidRPr="00093D9A">
        <w:t>,</w:t>
      </w:r>
      <w:r w:rsidR="002A14C5">
        <w:t>506</w:t>
      </w:r>
      <w:r w:rsidR="00953DDB" w:rsidRPr="00093D9A">
        <w:t>.</w:t>
      </w:r>
      <w:r w:rsidR="002A14C5">
        <w:t>85</w:t>
      </w:r>
      <w:r w:rsidR="00BC00A7">
        <w:t>,</w:t>
      </w:r>
      <w:r w:rsidR="004476DE" w:rsidRPr="00093D9A">
        <w:t xml:space="preserve"> </w:t>
      </w:r>
      <w:r w:rsidR="002A14C5">
        <w:t>down 14.0</w:t>
      </w:r>
      <w:r w:rsidR="00953DDB" w:rsidRPr="00093D9A">
        <w:t xml:space="preserve">% </w:t>
      </w:r>
      <w:r w:rsidR="008972D1" w:rsidRPr="00093D9A">
        <w:t xml:space="preserve">from </w:t>
      </w:r>
      <w:r w:rsidR="00953DDB" w:rsidRPr="00093D9A">
        <w:t xml:space="preserve">the </w:t>
      </w:r>
      <w:r w:rsidR="008972D1" w:rsidRPr="00093D9A">
        <w:t xml:space="preserve">previous </w:t>
      </w:r>
      <w:r w:rsidR="00953DDB" w:rsidRPr="00093D9A">
        <w:t xml:space="preserve">quarter and </w:t>
      </w:r>
      <w:r w:rsidR="002A14C5">
        <w:t>6.2% for the year</w:t>
      </w:r>
      <w:r w:rsidR="00953DDB" w:rsidRPr="00093D9A">
        <w:t xml:space="preserve">. </w:t>
      </w:r>
      <w:r w:rsidR="002A14C5">
        <w:t xml:space="preserve">The Dow Jones </w:t>
      </w:r>
      <w:r w:rsidR="009445E7">
        <w:t>was</w:t>
      </w:r>
      <w:r w:rsidR="002A14C5">
        <w:t xml:space="preserve"> down 11.8% in the 4</w:t>
      </w:r>
      <w:r w:rsidR="002A14C5" w:rsidRPr="002A14C5">
        <w:rPr>
          <w:vertAlign w:val="superscript"/>
        </w:rPr>
        <w:t>th</w:t>
      </w:r>
      <w:r w:rsidR="002A14C5">
        <w:t xml:space="preserve"> quarter and 5.6% since the end of 2017. </w:t>
      </w:r>
      <w:r w:rsidR="00953DDB" w:rsidRPr="00093D9A">
        <w:t xml:space="preserve">The Russell 2000 </w:t>
      </w:r>
      <w:r w:rsidR="002A14C5">
        <w:t>fell even more sharply</w:t>
      </w:r>
      <w:r w:rsidR="004B7D92" w:rsidRPr="00093D9A">
        <w:t xml:space="preserve">, </w:t>
      </w:r>
      <w:r w:rsidR="002A14C5">
        <w:t>dropping 20.5</w:t>
      </w:r>
      <w:r w:rsidR="00466861" w:rsidRPr="00093D9A">
        <w:t xml:space="preserve">% </w:t>
      </w:r>
      <w:r w:rsidR="004B7D92" w:rsidRPr="00093D9A">
        <w:t xml:space="preserve">from </w:t>
      </w:r>
      <w:r w:rsidR="00466861" w:rsidRPr="00093D9A">
        <w:t xml:space="preserve">the </w:t>
      </w:r>
      <w:r w:rsidR="004B7D92" w:rsidRPr="00093D9A">
        <w:t xml:space="preserve">previous </w:t>
      </w:r>
      <w:r w:rsidR="00466861" w:rsidRPr="00093D9A">
        <w:t xml:space="preserve">quarter and </w:t>
      </w:r>
      <w:r w:rsidR="002A14C5">
        <w:t>12.2</w:t>
      </w:r>
      <w:r w:rsidR="00953DDB" w:rsidRPr="00093D9A">
        <w:t xml:space="preserve">% </w:t>
      </w:r>
      <w:r w:rsidR="002A14C5">
        <w:t>over the year</w:t>
      </w:r>
      <w:r w:rsidR="00953DDB" w:rsidRPr="00093D9A">
        <w:t>.</w:t>
      </w:r>
      <w:r w:rsidR="002A14C5">
        <w:t xml:space="preserve"> </w:t>
      </w:r>
    </w:p>
    <w:p w14:paraId="764274A7" w14:textId="77777777" w:rsidR="0029736E" w:rsidRPr="004476DE" w:rsidRDefault="0029736E" w:rsidP="00B875CA"/>
    <w:tbl>
      <w:tblPr>
        <w:tblW w:w="7588" w:type="dxa"/>
        <w:jc w:val="center"/>
        <w:tblLook w:val="04A0" w:firstRow="1" w:lastRow="0" w:firstColumn="1" w:lastColumn="0" w:noHBand="0" w:noVBand="1"/>
      </w:tblPr>
      <w:tblGrid>
        <w:gridCol w:w="2900"/>
        <w:gridCol w:w="1316"/>
        <w:gridCol w:w="296"/>
        <w:gridCol w:w="1112"/>
        <w:gridCol w:w="947"/>
        <w:gridCol w:w="1017"/>
      </w:tblGrid>
      <w:tr w:rsidR="00483923" w:rsidRPr="00483923" w14:paraId="62B966B7" w14:textId="77777777" w:rsidTr="00483923">
        <w:trPr>
          <w:trHeight w:val="300"/>
          <w:jc w:val="center"/>
        </w:trPr>
        <w:tc>
          <w:tcPr>
            <w:tcW w:w="2900" w:type="dxa"/>
            <w:tcBorders>
              <w:top w:val="nil"/>
              <w:left w:val="nil"/>
              <w:bottom w:val="nil"/>
              <w:right w:val="nil"/>
            </w:tcBorders>
            <w:shd w:val="clear" w:color="auto" w:fill="auto"/>
            <w:noWrap/>
            <w:vAlign w:val="bottom"/>
            <w:hideMark/>
          </w:tcPr>
          <w:p w14:paraId="48A82A59" w14:textId="77777777" w:rsidR="00483923" w:rsidRPr="00483923" w:rsidRDefault="00483923" w:rsidP="00483923">
            <w:pPr>
              <w:spacing w:after="0" w:line="240" w:lineRule="auto"/>
              <w:rPr>
                <w:rFonts w:ascii="Times New Roman" w:eastAsia="Times New Roman" w:hAnsi="Times New Roman" w:cs="Times New Roman"/>
                <w:sz w:val="20"/>
                <w:szCs w:val="24"/>
              </w:rPr>
            </w:pPr>
          </w:p>
        </w:tc>
        <w:tc>
          <w:tcPr>
            <w:tcW w:w="1316" w:type="dxa"/>
            <w:tcBorders>
              <w:top w:val="nil"/>
              <w:left w:val="nil"/>
              <w:bottom w:val="nil"/>
              <w:right w:val="nil"/>
            </w:tcBorders>
            <w:shd w:val="clear" w:color="auto" w:fill="auto"/>
            <w:noWrap/>
            <w:vAlign w:val="bottom"/>
            <w:hideMark/>
          </w:tcPr>
          <w:p w14:paraId="766D8400" w14:textId="77777777" w:rsidR="00483923" w:rsidRPr="00483923" w:rsidRDefault="00483923" w:rsidP="00483923">
            <w:pPr>
              <w:spacing w:after="0" w:line="240" w:lineRule="auto"/>
              <w:jc w:val="center"/>
              <w:rPr>
                <w:rFonts w:ascii="Calibri" w:eastAsia="Times New Roman" w:hAnsi="Calibri" w:cs="Calibri"/>
                <w:b/>
                <w:bCs/>
                <w:color w:val="000000"/>
                <w:sz w:val="22"/>
              </w:rPr>
            </w:pPr>
            <w:r w:rsidRPr="00483923">
              <w:rPr>
                <w:rFonts w:ascii="Calibri" w:eastAsia="Times New Roman" w:hAnsi="Calibri" w:cs="Calibri"/>
                <w:b/>
                <w:bCs/>
                <w:color w:val="000000"/>
                <w:sz w:val="22"/>
              </w:rPr>
              <w:t>Closing</w:t>
            </w:r>
          </w:p>
        </w:tc>
        <w:tc>
          <w:tcPr>
            <w:tcW w:w="296" w:type="dxa"/>
            <w:tcBorders>
              <w:top w:val="nil"/>
              <w:left w:val="nil"/>
              <w:bottom w:val="nil"/>
              <w:right w:val="nil"/>
            </w:tcBorders>
            <w:shd w:val="clear" w:color="auto" w:fill="auto"/>
            <w:noWrap/>
            <w:vAlign w:val="bottom"/>
            <w:hideMark/>
          </w:tcPr>
          <w:p w14:paraId="626DF4E0" w14:textId="77777777" w:rsidR="00483923" w:rsidRPr="00483923" w:rsidRDefault="00483923" w:rsidP="00483923">
            <w:pPr>
              <w:spacing w:after="0" w:line="240" w:lineRule="auto"/>
              <w:jc w:val="center"/>
              <w:rPr>
                <w:rFonts w:ascii="Calibri" w:eastAsia="Times New Roman" w:hAnsi="Calibri" w:cs="Calibri"/>
                <w:b/>
                <w:bCs/>
                <w:color w:val="000000"/>
                <w:sz w:val="22"/>
              </w:rPr>
            </w:pPr>
          </w:p>
        </w:tc>
        <w:tc>
          <w:tcPr>
            <w:tcW w:w="3076" w:type="dxa"/>
            <w:gridSpan w:val="3"/>
            <w:tcBorders>
              <w:top w:val="nil"/>
              <w:left w:val="nil"/>
              <w:bottom w:val="single" w:sz="4" w:space="0" w:color="auto"/>
              <w:right w:val="nil"/>
            </w:tcBorders>
            <w:shd w:val="clear" w:color="auto" w:fill="auto"/>
            <w:noWrap/>
            <w:vAlign w:val="bottom"/>
            <w:hideMark/>
          </w:tcPr>
          <w:p w14:paraId="2F581F66" w14:textId="77777777" w:rsidR="00483923" w:rsidRPr="00483923" w:rsidRDefault="00483923" w:rsidP="00483923">
            <w:pPr>
              <w:spacing w:after="0" w:line="240" w:lineRule="auto"/>
              <w:jc w:val="center"/>
              <w:rPr>
                <w:rFonts w:ascii="Calibri" w:eastAsia="Times New Roman" w:hAnsi="Calibri" w:cs="Calibri"/>
                <w:b/>
                <w:bCs/>
                <w:color w:val="000000"/>
                <w:sz w:val="22"/>
              </w:rPr>
            </w:pPr>
            <w:r w:rsidRPr="00483923">
              <w:rPr>
                <w:rFonts w:ascii="Calibri" w:eastAsia="Times New Roman" w:hAnsi="Calibri" w:cs="Calibri"/>
                <w:b/>
                <w:bCs/>
                <w:color w:val="000000"/>
                <w:sz w:val="22"/>
              </w:rPr>
              <w:t>% Change</w:t>
            </w:r>
          </w:p>
        </w:tc>
      </w:tr>
      <w:tr w:rsidR="00483923" w:rsidRPr="00483923" w14:paraId="74565C96" w14:textId="77777777" w:rsidTr="00483923">
        <w:trPr>
          <w:trHeight w:val="300"/>
          <w:jc w:val="center"/>
        </w:trPr>
        <w:tc>
          <w:tcPr>
            <w:tcW w:w="2900" w:type="dxa"/>
            <w:tcBorders>
              <w:top w:val="nil"/>
              <w:left w:val="nil"/>
              <w:bottom w:val="single" w:sz="4" w:space="0" w:color="auto"/>
              <w:right w:val="nil"/>
            </w:tcBorders>
            <w:shd w:val="clear" w:color="auto" w:fill="auto"/>
            <w:noWrap/>
            <w:vAlign w:val="bottom"/>
            <w:hideMark/>
          </w:tcPr>
          <w:p w14:paraId="7DA67270" w14:textId="77777777" w:rsidR="00483923" w:rsidRPr="00483923" w:rsidRDefault="00483923" w:rsidP="00483923">
            <w:pPr>
              <w:spacing w:after="0" w:line="240" w:lineRule="auto"/>
              <w:rPr>
                <w:rFonts w:ascii="Calibri" w:eastAsia="Times New Roman" w:hAnsi="Calibri" w:cs="Calibri"/>
                <w:b/>
                <w:bCs/>
                <w:color w:val="000000"/>
                <w:sz w:val="22"/>
              </w:rPr>
            </w:pPr>
            <w:r w:rsidRPr="00483923">
              <w:rPr>
                <w:rFonts w:ascii="Calibri" w:eastAsia="Times New Roman" w:hAnsi="Calibri" w:cs="Calibri"/>
                <w:b/>
                <w:bCs/>
                <w:color w:val="000000"/>
                <w:sz w:val="22"/>
              </w:rPr>
              <w:t>Index</w:t>
            </w:r>
          </w:p>
        </w:tc>
        <w:tc>
          <w:tcPr>
            <w:tcW w:w="1316" w:type="dxa"/>
            <w:tcBorders>
              <w:top w:val="nil"/>
              <w:left w:val="nil"/>
              <w:bottom w:val="single" w:sz="4" w:space="0" w:color="auto"/>
              <w:right w:val="nil"/>
            </w:tcBorders>
            <w:shd w:val="clear" w:color="auto" w:fill="auto"/>
            <w:noWrap/>
            <w:vAlign w:val="bottom"/>
            <w:hideMark/>
          </w:tcPr>
          <w:p w14:paraId="75812B78" w14:textId="77777777" w:rsidR="00483923" w:rsidRPr="00483923" w:rsidRDefault="00483923" w:rsidP="00483923">
            <w:pPr>
              <w:spacing w:after="0" w:line="240" w:lineRule="auto"/>
              <w:jc w:val="center"/>
              <w:rPr>
                <w:rFonts w:ascii="Calibri" w:eastAsia="Times New Roman" w:hAnsi="Calibri" w:cs="Calibri"/>
                <w:b/>
                <w:bCs/>
                <w:color w:val="000000"/>
                <w:sz w:val="22"/>
              </w:rPr>
            </w:pPr>
            <w:r w:rsidRPr="00483923">
              <w:rPr>
                <w:rFonts w:ascii="Calibri" w:eastAsia="Times New Roman" w:hAnsi="Calibri" w:cs="Calibri"/>
                <w:b/>
                <w:bCs/>
                <w:color w:val="000000"/>
                <w:sz w:val="22"/>
              </w:rPr>
              <w:t>Value</w:t>
            </w:r>
          </w:p>
        </w:tc>
        <w:tc>
          <w:tcPr>
            <w:tcW w:w="296" w:type="dxa"/>
            <w:tcBorders>
              <w:top w:val="nil"/>
              <w:left w:val="nil"/>
              <w:bottom w:val="single" w:sz="4" w:space="0" w:color="auto"/>
              <w:right w:val="nil"/>
            </w:tcBorders>
            <w:shd w:val="clear" w:color="auto" w:fill="auto"/>
            <w:noWrap/>
            <w:vAlign w:val="bottom"/>
            <w:hideMark/>
          </w:tcPr>
          <w:p w14:paraId="776D934D" w14:textId="77777777" w:rsidR="00483923" w:rsidRPr="00483923" w:rsidRDefault="00483923" w:rsidP="00483923">
            <w:pPr>
              <w:spacing w:after="0" w:line="240" w:lineRule="auto"/>
              <w:jc w:val="right"/>
              <w:rPr>
                <w:rFonts w:ascii="Calibri" w:eastAsia="Times New Roman" w:hAnsi="Calibri" w:cs="Calibri"/>
                <w:b/>
                <w:bCs/>
                <w:color w:val="000000"/>
                <w:sz w:val="22"/>
              </w:rPr>
            </w:pPr>
            <w:r w:rsidRPr="00483923">
              <w:rPr>
                <w:rFonts w:ascii="Calibri" w:eastAsia="Times New Roman" w:hAnsi="Calibri" w:cs="Calibri"/>
                <w:b/>
                <w:bCs/>
                <w:color w:val="000000"/>
                <w:sz w:val="22"/>
              </w:rPr>
              <w:t> </w:t>
            </w:r>
          </w:p>
        </w:tc>
        <w:tc>
          <w:tcPr>
            <w:tcW w:w="1112" w:type="dxa"/>
            <w:tcBorders>
              <w:top w:val="nil"/>
              <w:left w:val="nil"/>
              <w:bottom w:val="single" w:sz="4" w:space="0" w:color="auto"/>
              <w:right w:val="nil"/>
            </w:tcBorders>
            <w:shd w:val="clear" w:color="auto" w:fill="auto"/>
            <w:noWrap/>
            <w:vAlign w:val="bottom"/>
            <w:hideMark/>
          </w:tcPr>
          <w:p w14:paraId="41B8E2CA" w14:textId="77777777" w:rsidR="00483923" w:rsidRPr="00483923" w:rsidRDefault="00483923" w:rsidP="00483923">
            <w:pPr>
              <w:spacing w:after="0" w:line="240" w:lineRule="auto"/>
              <w:jc w:val="center"/>
              <w:rPr>
                <w:rFonts w:ascii="Calibri" w:eastAsia="Times New Roman" w:hAnsi="Calibri" w:cs="Calibri"/>
                <w:b/>
                <w:bCs/>
                <w:color w:val="000000"/>
                <w:sz w:val="22"/>
              </w:rPr>
            </w:pPr>
            <w:r w:rsidRPr="00483923">
              <w:rPr>
                <w:rFonts w:ascii="Calibri" w:eastAsia="Times New Roman" w:hAnsi="Calibri" w:cs="Calibri"/>
                <w:b/>
                <w:bCs/>
                <w:color w:val="000000"/>
                <w:sz w:val="22"/>
              </w:rPr>
              <w:t>Quarter</w:t>
            </w:r>
          </w:p>
        </w:tc>
        <w:tc>
          <w:tcPr>
            <w:tcW w:w="947" w:type="dxa"/>
            <w:tcBorders>
              <w:top w:val="nil"/>
              <w:left w:val="nil"/>
              <w:bottom w:val="single" w:sz="4" w:space="0" w:color="auto"/>
              <w:right w:val="nil"/>
            </w:tcBorders>
            <w:shd w:val="clear" w:color="auto" w:fill="auto"/>
            <w:noWrap/>
            <w:vAlign w:val="bottom"/>
            <w:hideMark/>
          </w:tcPr>
          <w:p w14:paraId="6CE135EC" w14:textId="77777777" w:rsidR="00483923" w:rsidRPr="00483923" w:rsidRDefault="00483923" w:rsidP="00483923">
            <w:pPr>
              <w:spacing w:after="0" w:line="240" w:lineRule="auto"/>
              <w:jc w:val="center"/>
              <w:rPr>
                <w:rFonts w:ascii="Calibri" w:eastAsia="Times New Roman" w:hAnsi="Calibri" w:cs="Calibri"/>
                <w:b/>
                <w:bCs/>
                <w:color w:val="000000"/>
                <w:sz w:val="22"/>
              </w:rPr>
            </w:pPr>
            <w:r w:rsidRPr="00483923">
              <w:rPr>
                <w:rFonts w:ascii="Calibri" w:eastAsia="Times New Roman" w:hAnsi="Calibri" w:cs="Calibri"/>
                <w:b/>
                <w:bCs/>
                <w:color w:val="000000"/>
                <w:sz w:val="22"/>
              </w:rPr>
              <w:t>YTD</w:t>
            </w:r>
          </w:p>
        </w:tc>
        <w:tc>
          <w:tcPr>
            <w:tcW w:w="1017" w:type="dxa"/>
            <w:tcBorders>
              <w:top w:val="nil"/>
              <w:left w:val="nil"/>
              <w:bottom w:val="single" w:sz="4" w:space="0" w:color="auto"/>
              <w:right w:val="nil"/>
            </w:tcBorders>
            <w:shd w:val="clear" w:color="auto" w:fill="auto"/>
            <w:noWrap/>
            <w:vAlign w:val="bottom"/>
            <w:hideMark/>
          </w:tcPr>
          <w:p w14:paraId="16DE9712" w14:textId="77777777" w:rsidR="00483923" w:rsidRPr="00483923" w:rsidRDefault="00483923" w:rsidP="00483923">
            <w:pPr>
              <w:spacing w:after="0" w:line="240" w:lineRule="auto"/>
              <w:jc w:val="center"/>
              <w:rPr>
                <w:rFonts w:ascii="Calibri" w:eastAsia="Times New Roman" w:hAnsi="Calibri" w:cs="Calibri"/>
                <w:b/>
                <w:bCs/>
                <w:color w:val="000000"/>
                <w:sz w:val="22"/>
              </w:rPr>
            </w:pPr>
            <w:r w:rsidRPr="00483923">
              <w:rPr>
                <w:rFonts w:ascii="Calibri" w:eastAsia="Times New Roman" w:hAnsi="Calibri" w:cs="Calibri"/>
                <w:b/>
                <w:bCs/>
                <w:color w:val="000000"/>
                <w:sz w:val="22"/>
              </w:rPr>
              <w:t>12-Mo.</w:t>
            </w:r>
          </w:p>
        </w:tc>
      </w:tr>
      <w:tr w:rsidR="00483923" w:rsidRPr="00483923" w14:paraId="2A73F0F4" w14:textId="77777777" w:rsidTr="00483923">
        <w:trPr>
          <w:trHeight w:val="300"/>
          <w:jc w:val="center"/>
        </w:trPr>
        <w:tc>
          <w:tcPr>
            <w:tcW w:w="2900" w:type="dxa"/>
            <w:tcBorders>
              <w:top w:val="nil"/>
              <w:left w:val="nil"/>
              <w:bottom w:val="nil"/>
              <w:right w:val="nil"/>
            </w:tcBorders>
            <w:shd w:val="clear" w:color="auto" w:fill="auto"/>
            <w:noWrap/>
            <w:vAlign w:val="bottom"/>
            <w:hideMark/>
          </w:tcPr>
          <w:p w14:paraId="302AD889" w14:textId="77777777" w:rsidR="00483923" w:rsidRPr="00483923" w:rsidRDefault="00483923" w:rsidP="00483923">
            <w:pPr>
              <w:spacing w:after="0" w:line="240" w:lineRule="auto"/>
              <w:rPr>
                <w:rFonts w:ascii="Calibri" w:eastAsia="Times New Roman" w:hAnsi="Calibri" w:cs="Calibri"/>
                <w:color w:val="000000"/>
                <w:sz w:val="22"/>
              </w:rPr>
            </w:pPr>
            <w:r w:rsidRPr="00483923">
              <w:rPr>
                <w:rFonts w:ascii="Calibri" w:eastAsia="Times New Roman" w:hAnsi="Calibri" w:cs="Calibri"/>
                <w:color w:val="000000"/>
                <w:sz w:val="22"/>
              </w:rPr>
              <w:t>S&amp;P 500</w:t>
            </w:r>
          </w:p>
        </w:tc>
        <w:tc>
          <w:tcPr>
            <w:tcW w:w="1316" w:type="dxa"/>
            <w:tcBorders>
              <w:top w:val="nil"/>
              <w:left w:val="nil"/>
              <w:bottom w:val="nil"/>
              <w:right w:val="nil"/>
            </w:tcBorders>
            <w:shd w:val="clear" w:color="auto" w:fill="auto"/>
            <w:noWrap/>
            <w:vAlign w:val="bottom"/>
            <w:hideMark/>
          </w:tcPr>
          <w:p w14:paraId="76C1C4ED" w14:textId="35AB1261" w:rsidR="00483923" w:rsidRPr="00483923" w:rsidRDefault="00483923" w:rsidP="00483923">
            <w:pPr>
              <w:spacing w:after="0" w:line="240" w:lineRule="auto"/>
              <w:jc w:val="right"/>
              <w:rPr>
                <w:rFonts w:ascii="Calibri" w:eastAsia="Times New Roman" w:hAnsi="Calibri" w:cs="Calibri"/>
                <w:color w:val="000000"/>
                <w:sz w:val="22"/>
              </w:rPr>
            </w:pPr>
            <w:r w:rsidRPr="00483923">
              <w:rPr>
                <w:rFonts w:ascii="Calibri" w:eastAsia="Times New Roman" w:hAnsi="Calibri" w:cs="Calibri"/>
                <w:color w:val="000000"/>
                <w:sz w:val="22"/>
              </w:rPr>
              <w:t xml:space="preserve">      2,506.85 </w:t>
            </w:r>
          </w:p>
        </w:tc>
        <w:tc>
          <w:tcPr>
            <w:tcW w:w="296" w:type="dxa"/>
            <w:tcBorders>
              <w:top w:val="nil"/>
              <w:left w:val="nil"/>
              <w:bottom w:val="nil"/>
              <w:right w:val="nil"/>
            </w:tcBorders>
            <w:shd w:val="clear" w:color="auto" w:fill="auto"/>
            <w:noWrap/>
            <w:vAlign w:val="bottom"/>
            <w:hideMark/>
          </w:tcPr>
          <w:p w14:paraId="02ACAB0B" w14:textId="77777777" w:rsidR="00483923" w:rsidRPr="00483923" w:rsidRDefault="00483923" w:rsidP="00483923">
            <w:pPr>
              <w:spacing w:after="0" w:line="240" w:lineRule="auto"/>
              <w:rPr>
                <w:rFonts w:ascii="Calibri" w:eastAsia="Times New Roman" w:hAnsi="Calibri" w:cs="Calibri"/>
                <w:color w:val="000000"/>
                <w:sz w:val="22"/>
              </w:rPr>
            </w:pPr>
          </w:p>
        </w:tc>
        <w:tc>
          <w:tcPr>
            <w:tcW w:w="1112" w:type="dxa"/>
            <w:tcBorders>
              <w:top w:val="nil"/>
              <w:left w:val="nil"/>
              <w:bottom w:val="nil"/>
              <w:right w:val="nil"/>
            </w:tcBorders>
            <w:shd w:val="clear" w:color="auto" w:fill="auto"/>
            <w:noWrap/>
            <w:vAlign w:val="bottom"/>
            <w:hideMark/>
          </w:tcPr>
          <w:p w14:paraId="352A6AB0" w14:textId="77777777" w:rsidR="00483923" w:rsidRPr="00483923" w:rsidRDefault="00483923" w:rsidP="00483923">
            <w:pPr>
              <w:spacing w:after="0" w:line="240" w:lineRule="auto"/>
              <w:jc w:val="right"/>
              <w:rPr>
                <w:rFonts w:ascii="Calibri" w:eastAsia="Times New Roman" w:hAnsi="Calibri" w:cs="Calibri"/>
                <w:color w:val="000000"/>
                <w:sz w:val="22"/>
              </w:rPr>
            </w:pPr>
            <w:r w:rsidRPr="00483923">
              <w:rPr>
                <w:rFonts w:ascii="Calibri" w:eastAsia="Times New Roman" w:hAnsi="Calibri" w:cs="Calibri"/>
                <w:color w:val="000000"/>
                <w:sz w:val="22"/>
              </w:rPr>
              <w:t>-14.0%</w:t>
            </w:r>
          </w:p>
        </w:tc>
        <w:tc>
          <w:tcPr>
            <w:tcW w:w="947" w:type="dxa"/>
            <w:tcBorders>
              <w:top w:val="nil"/>
              <w:left w:val="nil"/>
              <w:bottom w:val="nil"/>
              <w:right w:val="nil"/>
            </w:tcBorders>
            <w:shd w:val="clear" w:color="auto" w:fill="auto"/>
            <w:noWrap/>
            <w:vAlign w:val="bottom"/>
            <w:hideMark/>
          </w:tcPr>
          <w:p w14:paraId="374BA36E" w14:textId="77777777" w:rsidR="00483923" w:rsidRPr="00483923" w:rsidRDefault="00483923" w:rsidP="00483923">
            <w:pPr>
              <w:spacing w:after="0" w:line="240" w:lineRule="auto"/>
              <w:jc w:val="right"/>
              <w:rPr>
                <w:rFonts w:ascii="Calibri" w:eastAsia="Times New Roman" w:hAnsi="Calibri" w:cs="Calibri"/>
                <w:color w:val="000000"/>
                <w:sz w:val="22"/>
              </w:rPr>
            </w:pPr>
            <w:r w:rsidRPr="00483923">
              <w:rPr>
                <w:rFonts w:ascii="Calibri" w:eastAsia="Times New Roman" w:hAnsi="Calibri" w:cs="Calibri"/>
                <w:color w:val="000000"/>
                <w:sz w:val="22"/>
              </w:rPr>
              <w:t>-6.2%</w:t>
            </w:r>
          </w:p>
        </w:tc>
        <w:tc>
          <w:tcPr>
            <w:tcW w:w="1017" w:type="dxa"/>
            <w:tcBorders>
              <w:top w:val="nil"/>
              <w:left w:val="nil"/>
              <w:bottom w:val="nil"/>
              <w:right w:val="nil"/>
            </w:tcBorders>
            <w:shd w:val="clear" w:color="auto" w:fill="auto"/>
            <w:noWrap/>
            <w:vAlign w:val="bottom"/>
            <w:hideMark/>
          </w:tcPr>
          <w:p w14:paraId="6BC973FF" w14:textId="77777777" w:rsidR="00483923" w:rsidRPr="00483923" w:rsidRDefault="00483923" w:rsidP="00483923">
            <w:pPr>
              <w:spacing w:after="0" w:line="240" w:lineRule="auto"/>
              <w:jc w:val="right"/>
              <w:rPr>
                <w:rFonts w:ascii="Calibri" w:eastAsia="Times New Roman" w:hAnsi="Calibri" w:cs="Calibri"/>
                <w:color w:val="000000"/>
                <w:sz w:val="22"/>
              </w:rPr>
            </w:pPr>
            <w:r w:rsidRPr="00483923">
              <w:rPr>
                <w:rFonts w:ascii="Calibri" w:eastAsia="Times New Roman" w:hAnsi="Calibri" w:cs="Calibri"/>
                <w:color w:val="000000"/>
                <w:sz w:val="22"/>
              </w:rPr>
              <w:t>-6.2%</w:t>
            </w:r>
          </w:p>
        </w:tc>
      </w:tr>
      <w:tr w:rsidR="00483923" w:rsidRPr="00483923" w14:paraId="07D5EA6D" w14:textId="77777777" w:rsidTr="00483923">
        <w:trPr>
          <w:trHeight w:val="300"/>
          <w:jc w:val="center"/>
        </w:trPr>
        <w:tc>
          <w:tcPr>
            <w:tcW w:w="2900" w:type="dxa"/>
            <w:tcBorders>
              <w:top w:val="nil"/>
              <w:left w:val="nil"/>
              <w:bottom w:val="nil"/>
              <w:right w:val="nil"/>
            </w:tcBorders>
            <w:shd w:val="clear" w:color="auto" w:fill="auto"/>
            <w:noWrap/>
            <w:vAlign w:val="bottom"/>
            <w:hideMark/>
          </w:tcPr>
          <w:p w14:paraId="3CEF8919" w14:textId="77777777" w:rsidR="00483923" w:rsidRPr="00483923" w:rsidRDefault="00483923" w:rsidP="00483923">
            <w:pPr>
              <w:spacing w:after="0" w:line="240" w:lineRule="auto"/>
              <w:rPr>
                <w:rFonts w:ascii="Calibri" w:eastAsia="Times New Roman" w:hAnsi="Calibri" w:cs="Calibri"/>
                <w:color w:val="000000"/>
                <w:sz w:val="22"/>
              </w:rPr>
            </w:pPr>
            <w:r w:rsidRPr="00483923">
              <w:rPr>
                <w:rFonts w:ascii="Calibri" w:eastAsia="Times New Roman" w:hAnsi="Calibri" w:cs="Calibri"/>
                <w:color w:val="000000"/>
                <w:sz w:val="22"/>
              </w:rPr>
              <w:t>Dow Jones Industrial Average</w:t>
            </w:r>
          </w:p>
        </w:tc>
        <w:tc>
          <w:tcPr>
            <w:tcW w:w="1316" w:type="dxa"/>
            <w:tcBorders>
              <w:top w:val="nil"/>
              <w:left w:val="nil"/>
              <w:bottom w:val="nil"/>
              <w:right w:val="nil"/>
            </w:tcBorders>
            <w:shd w:val="clear" w:color="auto" w:fill="auto"/>
            <w:noWrap/>
            <w:vAlign w:val="bottom"/>
            <w:hideMark/>
          </w:tcPr>
          <w:p w14:paraId="4C6B505C" w14:textId="2D25CBBA" w:rsidR="00483923" w:rsidRPr="00483923" w:rsidRDefault="00483923" w:rsidP="00483923">
            <w:pPr>
              <w:spacing w:after="0" w:line="240" w:lineRule="auto"/>
              <w:jc w:val="right"/>
              <w:rPr>
                <w:rFonts w:ascii="Calibri" w:eastAsia="Times New Roman" w:hAnsi="Calibri" w:cs="Calibri"/>
                <w:color w:val="000000"/>
                <w:sz w:val="22"/>
              </w:rPr>
            </w:pPr>
            <w:r w:rsidRPr="00483923">
              <w:rPr>
                <w:rFonts w:ascii="Calibri" w:eastAsia="Times New Roman" w:hAnsi="Calibri" w:cs="Calibri"/>
                <w:color w:val="000000"/>
                <w:sz w:val="22"/>
              </w:rPr>
              <w:t xml:space="preserve">    23,327.46 </w:t>
            </w:r>
          </w:p>
        </w:tc>
        <w:tc>
          <w:tcPr>
            <w:tcW w:w="296" w:type="dxa"/>
            <w:tcBorders>
              <w:top w:val="nil"/>
              <w:left w:val="nil"/>
              <w:bottom w:val="nil"/>
              <w:right w:val="nil"/>
            </w:tcBorders>
            <w:shd w:val="clear" w:color="auto" w:fill="auto"/>
            <w:noWrap/>
            <w:vAlign w:val="bottom"/>
            <w:hideMark/>
          </w:tcPr>
          <w:p w14:paraId="4BF6AFD0" w14:textId="77777777" w:rsidR="00483923" w:rsidRPr="00483923" w:rsidRDefault="00483923" w:rsidP="00483923">
            <w:pPr>
              <w:spacing w:after="0" w:line="240" w:lineRule="auto"/>
              <w:rPr>
                <w:rFonts w:ascii="Calibri" w:eastAsia="Times New Roman" w:hAnsi="Calibri" w:cs="Calibri"/>
                <w:color w:val="000000"/>
                <w:sz w:val="22"/>
              </w:rPr>
            </w:pPr>
          </w:p>
        </w:tc>
        <w:tc>
          <w:tcPr>
            <w:tcW w:w="1112" w:type="dxa"/>
            <w:tcBorders>
              <w:top w:val="nil"/>
              <w:left w:val="nil"/>
              <w:bottom w:val="nil"/>
              <w:right w:val="nil"/>
            </w:tcBorders>
            <w:shd w:val="clear" w:color="auto" w:fill="auto"/>
            <w:noWrap/>
            <w:vAlign w:val="bottom"/>
            <w:hideMark/>
          </w:tcPr>
          <w:p w14:paraId="51C3A8F6" w14:textId="77777777" w:rsidR="00483923" w:rsidRPr="00483923" w:rsidRDefault="00483923" w:rsidP="00483923">
            <w:pPr>
              <w:spacing w:after="0" w:line="240" w:lineRule="auto"/>
              <w:jc w:val="right"/>
              <w:rPr>
                <w:rFonts w:ascii="Calibri" w:eastAsia="Times New Roman" w:hAnsi="Calibri" w:cs="Calibri"/>
                <w:color w:val="000000"/>
                <w:sz w:val="22"/>
              </w:rPr>
            </w:pPr>
            <w:r w:rsidRPr="00483923">
              <w:rPr>
                <w:rFonts w:ascii="Calibri" w:eastAsia="Times New Roman" w:hAnsi="Calibri" w:cs="Calibri"/>
                <w:color w:val="000000"/>
                <w:sz w:val="22"/>
              </w:rPr>
              <w:t>-11.8%</w:t>
            </w:r>
          </w:p>
        </w:tc>
        <w:tc>
          <w:tcPr>
            <w:tcW w:w="947" w:type="dxa"/>
            <w:tcBorders>
              <w:top w:val="nil"/>
              <w:left w:val="nil"/>
              <w:bottom w:val="nil"/>
              <w:right w:val="nil"/>
            </w:tcBorders>
            <w:shd w:val="clear" w:color="auto" w:fill="auto"/>
            <w:noWrap/>
            <w:vAlign w:val="bottom"/>
            <w:hideMark/>
          </w:tcPr>
          <w:p w14:paraId="5A35BC82" w14:textId="77777777" w:rsidR="00483923" w:rsidRPr="00483923" w:rsidRDefault="00483923" w:rsidP="00483923">
            <w:pPr>
              <w:spacing w:after="0" w:line="240" w:lineRule="auto"/>
              <w:jc w:val="right"/>
              <w:rPr>
                <w:rFonts w:ascii="Calibri" w:eastAsia="Times New Roman" w:hAnsi="Calibri" w:cs="Calibri"/>
                <w:color w:val="000000"/>
                <w:sz w:val="22"/>
              </w:rPr>
            </w:pPr>
            <w:r w:rsidRPr="00483923">
              <w:rPr>
                <w:rFonts w:ascii="Calibri" w:eastAsia="Times New Roman" w:hAnsi="Calibri" w:cs="Calibri"/>
                <w:color w:val="000000"/>
                <w:sz w:val="22"/>
              </w:rPr>
              <w:t>-5.6%</w:t>
            </w:r>
          </w:p>
        </w:tc>
        <w:tc>
          <w:tcPr>
            <w:tcW w:w="1017" w:type="dxa"/>
            <w:tcBorders>
              <w:top w:val="nil"/>
              <w:left w:val="nil"/>
              <w:bottom w:val="nil"/>
              <w:right w:val="nil"/>
            </w:tcBorders>
            <w:shd w:val="clear" w:color="auto" w:fill="auto"/>
            <w:noWrap/>
            <w:vAlign w:val="bottom"/>
            <w:hideMark/>
          </w:tcPr>
          <w:p w14:paraId="5A8DAA95" w14:textId="77777777" w:rsidR="00483923" w:rsidRPr="00483923" w:rsidRDefault="00483923" w:rsidP="00483923">
            <w:pPr>
              <w:spacing w:after="0" w:line="240" w:lineRule="auto"/>
              <w:jc w:val="right"/>
              <w:rPr>
                <w:rFonts w:ascii="Calibri" w:eastAsia="Times New Roman" w:hAnsi="Calibri" w:cs="Calibri"/>
                <w:color w:val="000000"/>
                <w:sz w:val="22"/>
              </w:rPr>
            </w:pPr>
            <w:r w:rsidRPr="00483923">
              <w:rPr>
                <w:rFonts w:ascii="Calibri" w:eastAsia="Times New Roman" w:hAnsi="Calibri" w:cs="Calibri"/>
                <w:color w:val="000000"/>
                <w:sz w:val="22"/>
              </w:rPr>
              <w:t>-5.6%</w:t>
            </w:r>
          </w:p>
        </w:tc>
      </w:tr>
      <w:tr w:rsidR="00483923" w:rsidRPr="00483923" w14:paraId="0B9B08D9" w14:textId="77777777" w:rsidTr="00483923">
        <w:trPr>
          <w:trHeight w:val="300"/>
          <w:jc w:val="center"/>
        </w:trPr>
        <w:tc>
          <w:tcPr>
            <w:tcW w:w="2900" w:type="dxa"/>
            <w:tcBorders>
              <w:top w:val="nil"/>
              <w:left w:val="nil"/>
              <w:bottom w:val="nil"/>
              <w:right w:val="nil"/>
            </w:tcBorders>
            <w:shd w:val="clear" w:color="auto" w:fill="auto"/>
            <w:noWrap/>
            <w:vAlign w:val="bottom"/>
            <w:hideMark/>
          </w:tcPr>
          <w:p w14:paraId="348F1856" w14:textId="77777777" w:rsidR="00483923" w:rsidRPr="00483923" w:rsidRDefault="00483923" w:rsidP="00483923">
            <w:pPr>
              <w:spacing w:after="0" w:line="240" w:lineRule="auto"/>
              <w:rPr>
                <w:rFonts w:ascii="Calibri" w:eastAsia="Times New Roman" w:hAnsi="Calibri" w:cs="Calibri"/>
                <w:color w:val="000000"/>
                <w:sz w:val="22"/>
              </w:rPr>
            </w:pPr>
            <w:r w:rsidRPr="00483923">
              <w:rPr>
                <w:rFonts w:ascii="Calibri" w:eastAsia="Times New Roman" w:hAnsi="Calibri" w:cs="Calibri"/>
                <w:color w:val="000000"/>
                <w:sz w:val="22"/>
              </w:rPr>
              <w:t>Russell 1000</w:t>
            </w:r>
          </w:p>
        </w:tc>
        <w:tc>
          <w:tcPr>
            <w:tcW w:w="1316" w:type="dxa"/>
            <w:tcBorders>
              <w:top w:val="nil"/>
              <w:left w:val="nil"/>
              <w:bottom w:val="nil"/>
              <w:right w:val="nil"/>
            </w:tcBorders>
            <w:shd w:val="clear" w:color="auto" w:fill="auto"/>
            <w:noWrap/>
            <w:vAlign w:val="bottom"/>
            <w:hideMark/>
          </w:tcPr>
          <w:p w14:paraId="70A572AE" w14:textId="2216BE0E" w:rsidR="00483923" w:rsidRPr="00483923" w:rsidRDefault="00483923" w:rsidP="00483923">
            <w:pPr>
              <w:spacing w:after="0" w:line="240" w:lineRule="auto"/>
              <w:jc w:val="right"/>
              <w:rPr>
                <w:rFonts w:ascii="Calibri" w:eastAsia="Times New Roman" w:hAnsi="Calibri" w:cs="Calibri"/>
                <w:color w:val="000000"/>
                <w:sz w:val="22"/>
              </w:rPr>
            </w:pPr>
            <w:r w:rsidRPr="00483923">
              <w:rPr>
                <w:rFonts w:ascii="Calibri" w:eastAsia="Times New Roman" w:hAnsi="Calibri" w:cs="Calibri"/>
                <w:color w:val="000000"/>
                <w:sz w:val="22"/>
              </w:rPr>
              <w:t xml:space="preserve">      2,660.99 </w:t>
            </w:r>
          </w:p>
        </w:tc>
        <w:tc>
          <w:tcPr>
            <w:tcW w:w="296" w:type="dxa"/>
            <w:tcBorders>
              <w:top w:val="nil"/>
              <w:left w:val="nil"/>
              <w:bottom w:val="nil"/>
              <w:right w:val="nil"/>
            </w:tcBorders>
            <w:shd w:val="clear" w:color="auto" w:fill="auto"/>
            <w:noWrap/>
            <w:vAlign w:val="bottom"/>
            <w:hideMark/>
          </w:tcPr>
          <w:p w14:paraId="162D7C71" w14:textId="77777777" w:rsidR="00483923" w:rsidRPr="00483923" w:rsidRDefault="00483923" w:rsidP="00483923">
            <w:pPr>
              <w:spacing w:after="0" w:line="240" w:lineRule="auto"/>
              <w:rPr>
                <w:rFonts w:ascii="Calibri" w:eastAsia="Times New Roman" w:hAnsi="Calibri" w:cs="Calibri"/>
                <w:color w:val="000000"/>
                <w:sz w:val="22"/>
              </w:rPr>
            </w:pPr>
          </w:p>
        </w:tc>
        <w:tc>
          <w:tcPr>
            <w:tcW w:w="1112" w:type="dxa"/>
            <w:tcBorders>
              <w:top w:val="nil"/>
              <w:left w:val="nil"/>
              <w:bottom w:val="nil"/>
              <w:right w:val="nil"/>
            </w:tcBorders>
            <w:shd w:val="clear" w:color="auto" w:fill="auto"/>
            <w:noWrap/>
            <w:vAlign w:val="bottom"/>
            <w:hideMark/>
          </w:tcPr>
          <w:p w14:paraId="6A0BBF02" w14:textId="77777777" w:rsidR="00483923" w:rsidRPr="00483923" w:rsidRDefault="00483923" w:rsidP="00483923">
            <w:pPr>
              <w:spacing w:after="0" w:line="240" w:lineRule="auto"/>
              <w:jc w:val="right"/>
              <w:rPr>
                <w:rFonts w:ascii="Calibri" w:eastAsia="Times New Roman" w:hAnsi="Calibri" w:cs="Calibri"/>
                <w:color w:val="000000"/>
                <w:sz w:val="22"/>
              </w:rPr>
            </w:pPr>
            <w:r w:rsidRPr="00483923">
              <w:rPr>
                <w:rFonts w:ascii="Calibri" w:eastAsia="Times New Roman" w:hAnsi="Calibri" w:cs="Calibri"/>
                <w:color w:val="000000"/>
                <w:sz w:val="22"/>
              </w:rPr>
              <w:t>-14.3%</w:t>
            </w:r>
          </w:p>
        </w:tc>
        <w:tc>
          <w:tcPr>
            <w:tcW w:w="947" w:type="dxa"/>
            <w:tcBorders>
              <w:top w:val="nil"/>
              <w:left w:val="nil"/>
              <w:bottom w:val="nil"/>
              <w:right w:val="nil"/>
            </w:tcBorders>
            <w:shd w:val="clear" w:color="auto" w:fill="auto"/>
            <w:noWrap/>
            <w:vAlign w:val="bottom"/>
            <w:hideMark/>
          </w:tcPr>
          <w:p w14:paraId="5FABA643" w14:textId="77777777" w:rsidR="00483923" w:rsidRPr="00483923" w:rsidRDefault="00483923" w:rsidP="00483923">
            <w:pPr>
              <w:spacing w:after="0" w:line="240" w:lineRule="auto"/>
              <w:jc w:val="right"/>
              <w:rPr>
                <w:rFonts w:ascii="Calibri" w:eastAsia="Times New Roman" w:hAnsi="Calibri" w:cs="Calibri"/>
                <w:color w:val="000000"/>
                <w:sz w:val="22"/>
              </w:rPr>
            </w:pPr>
            <w:r w:rsidRPr="00483923">
              <w:rPr>
                <w:rFonts w:ascii="Calibri" w:eastAsia="Times New Roman" w:hAnsi="Calibri" w:cs="Calibri"/>
                <w:color w:val="000000"/>
                <w:sz w:val="22"/>
              </w:rPr>
              <w:t>-6.6%</w:t>
            </w:r>
          </w:p>
        </w:tc>
        <w:tc>
          <w:tcPr>
            <w:tcW w:w="1017" w:type="dxa"/>
            <w:tcBorders>
              <w:top w:val="nil"/>
              <w:left w:val="nil"/>
              <w:bottom w:val="nil"/>
              <w:right w:val="nil"/>
            </w:tcBorders>
            <w:shd w:val="clear" w:color="auto" w:fill="auto"/>
            <w:noWrap/>
            <w:vAlign w:val="bottom"/>
            <w:hideMark/>
          </w:tcPr>
          <w:p w14:paraId="57163FD1" w14:textId="77777777" w:rsidR="00483923" w:rsidRPr="00483923" w:rsidRDefault="00483923" w:rsidP="00483923">
            <w:pPr>
              <w:spacing w:after="0" w:line="240" w:lineRule="auto"/>
              <w:jc w:val="right"/>
              <w:rPr>
                <w:rFonts w:ascii="Calibri" w:eastAsia="Times New Roman" w:hAnsi="Calibri" w:cs="Calibri"/>
                <w:color w:val="000000"/>
                <w:sz w:val="22"/>
              </w:rPr>
            </w:pPr>
            <w:r w:rsidRPr="00483923">
              <w:rPr>
                <w:rFonts w:ascii="Calibri" w:eastAsia="Times New Roman" w:hAnsi="Calibri" w:cs="Calibri"/>
                <w:color w:val="000000"/>
                <w:sz w:val="22"/>
              </w:rPr>
              <w:t>-6.6%</w:t>
            </w:r>
          </w:p>
        </w:tc>
      </w:tr>
      <w:tr w:rsidR="00483923" w:rsidRPr="00483923" w14:paraId="436082B5" w14:textId="77777777" w:rsidTr="00483923">
        <w:trPr>
          <w:trHeight w:val="300"/>
          <w:jc w:val="center"/>
        </w:trPr>
        <w:tc>
          <w:tcPr>
            <w:tcW w:w="2900" w:type="dxa"/>
            <w:tcBorders>
              <w:top w:val="nil"/>
              <w:left w:val="nil"/>
              <w:bottom w:val="nil"/>
              <w:right w:val="nil"/>
            </w:tcBorders>
            <w:shd w:val="clear" w:color="auto" w:fill="auto"/>
            <w:noWrap/>
            <w:vAlign w:val="bottom"/>
            <w:hideMark/>
          </w:tcPr>
          <w:p w14:paraId="55AF3117" w14:textId="77777777" w:rsidR="00483923" w:rsidRPr="00483923" w:rsidRDefault="00483923" w:rsidP="00483923">
            <w:pPr>
              <w:spacing w:after="0" w:line="240" w:lineRule="auto"/>
              <w:rPr>
                <w:rFonts w:ascii="Calibri" w:eastAsia="Times New Roman" w:hAnsi="Calibri" w:cs="Calibri"/>
                <w:color w:val="000000"/>
                <w:sz w:val="22"/>
              </w:rPr>
            </w:pPr>
            <w:r w:rsidRPr="00483923">
              <w:rPr>
                <w:rFonts w:ascii="Calibri" w:eastAsia="Times New Roman" w:hAnsi="Calibri" w:cs="Calibri"/>
                <w:color w:val="000000"/>
                <w:sz w:val="22"/>
              </w:rPr>
              <w:t>Russell 2000</w:t>
            </w:r>
          </w:p>
        </w:tc>
        <w:tc>
          <w:tcPr>
            <w:tcW w:w="1316" w:type="dxa"/>
            <w:tcBorders>
              <w:top w:val="nil"/>
              <w:left w:val="nil"/>
              <w:bottom w:val="nil"/>
              <w:right w:val="nil"/>
            </w:tcBorders>
            <w:shd w:val="clear" w:color="auto" w:fill="auto"/>
            <w:noWrap/>
            <w:vAlign w:val="bottom"/>
            <w:hideMark/>
          </w:tcPr>
          <w:p w14:paraId="3CFB2B67" w14:textId="34CBBB90" w:rsidR="00483923" w:rsidRPr="00483923" w:rsidRDefault="00483923" w:rsidP="00483923">
            <w:pPr>
              <w:spacing w:after="0" w:line="240" w:lineRule="auto"/>
              <w:jc w:val="right"/>
              <w:rPr>
                <w:rFonts w:ascii="Calibri" w:eastAsia="Times New Roman" w:hAnsi="Calibri" w:cs="Calibri"/>
                <w:color w:val="000000"/>
                <w:sz w:val="22"/>
              </w:rPr>
            </w:pPr>
            <w:r w:rsidRPr="00483923">
              <w:rPr>
                <w:rFonts w:ascii="Calibri" w:eastAsia="Times New Roman" w:hAnsi="Calibri" w:cs="Calibri"/>
                <w:color w:val="000000"/>
                <w:sz w:val="22"/>
              </w:rPr>
              <w:t xml:space="preserve">      3,351.51 </w:t>
            </w:r>
          </w:p>
        </w:tc>
        <w:tc>
          <w:tcPr>
            <w:tcW w:w="296" w:type="dxa"/>
            <w:tcBorders>
              <w:top w:val="nil"/>
              <w:left w:val="nil"/>
              <w:bottom w:val="nil"/>
              <w:right w:val="nil"/>
            </w:tcBorders>
            <w:shd w:val="clear" w:color="auto" w:fill="auto"/>
            <w:noWrap/>
            <w:vAlign w:val="bottom"/>
            <w:hideMark/>
          </w:tcPr>
          <w:p w14:paraId="0ABCE56A" w14:textId="77777777" w:rsidR="00483923" w:rsidRPr="00483923" w:rsidRDefault="00483923" w:rsidP="00483923">
            <w:pPr>
              <w:spacing w:after="0" w:line="240" w:lineRule="auto"/>
              <w:rPr>
                <w:rFonts w:ascii="Calibri" w:eastAsia="Times New Roman" w:hAnsi="Calibri" w:cs="Calibri"/>
                <w:color w:val="000000"/>
                <w:sz w:val="22"/>
              </w:rPr>
            </w:pPr>
          </w:p>
        </w:tc>
        <w:tc>
          <w:tcPr>
            <w:tcW w:w="1112" w:type="dxa"/>
            <w:tcBorders>
              <w:top w:val="nil"/>
              <w:left w:val="nil"/>
              <w:bottom w:val="nil"/>
              <w:right w:val="nil"/>
            </w:tcBorders>
            <w:shd w:val="clear" w:color="auto" w:fill="auto"/>
            <w:noWrap/>
            <w:vAlign w:val="bottom"/>
            <w:hideMark/>
          </w:tcPr>
          <w:p w14:paraId="0BB9C291" w14:textId="77777777" w:rsidR="00483923" w:rsidRPr="00483923" w:rsidRDefault="00483923" w:rsidP="00483923">
            <w:pPr>
              <w:spacing w:after="0" w:line="240" w:lineRule="auto"/>
              <w:jc w:val="right"/>
              <w:rPr>
                <w:rFonts w:ascii="Calibri" w:eastAsia="Times New Roman" w:hAnsi="Calibri" w:cs="Calibri"/>
                <w:color w:val="000000"/>
                <w:sz w:val="22"/>
              </w:rPr>
            </w:pPr>
            <w:r w:rsidRPr="00483923">
              <w:rPr>
                <w:rFonts w:ascii="Calibri" w:eastAsia="Times New Roman" w:hAnsi="Calibri" w:cs="Calibri"/>
                <w:color w:val="000000"/>
                <w:sz w:val="22"/>
              </w:rPr>
              <w:t>-20.5%</w:t>
            </w:r>
          </w:p>
        </w:tc>
        <w:tc>
          <w:tcPr>
            <w:tcW w:w="947" w:type="dxa"/>
            <w:tcBorders>
              <w:top w:val="nil"/>
              <w:left w:val="nil"/>
              <w:bottom w:val="nil"/>
              <w:right w:val="nil"/>
            </w:tcBorders>
            <w:shd w:val="clear" w:color="auto" w:fill="auto"/>
            <w:noWrap/>
            <w:vAlign w:val="bottom"/>
            <w:hideMark/>
          </w:tcPr>
          <w:p w14:paraId="7069EAD9" w14:textId="77777777" w:rsidR="00483923" w:rsidRPr="00483923" w:rsidRDefault="00483923" w:rsidP="00483923">
            <w:pPr>
              <w:spacing w:after="0" w:line="240" w:lineRule="auto"/>
              <w:jc w:val="right"/>
              <w:rPr>
                <w:rFonts w:ascii="Calibri" w:eastAsia="Times New Roman" w:hAnsi="Calibri" w:cs="Calibri"/>
                <w:color w:val="000000"/>
                <w:sz w:val="22"/>
              </w:rPr>
            </w:pPr>
            <w:r w:rsidRPr="00483923">
              <w:rPr>
                <w:rFonts w:ascii="Calibri" w:eastAsia="Times New Roman" w:hAnsi="Calibri" w:cs="Calibri"/>
                <w:color w:val="000000"/>
                <w:sz w:val="22"/>
              </w:rPr>
              <w:t>-12.2%</w:t>
            </w:r>
          </w:p>
        </w:tc>
        <w:tc>
          <w:tcPr>
            <w:tcW w:w="1017" w:type="dxa"/>
            <w:tcBorders>
              <w:top w:val="nil"/>
              <w:left w:val="nil"/>
              <w:bottom w:val="nil"/>
              <w:right w:val="nil"/>
            </w:tcBorders>
            <w:shd w:val="clear" w:color="auto" w:fill="auto"/>
            <w:noWrap/>
            <w:vAlign w:val="bottom"/>
            <w:hideMark/>
          </w:tcPr>
          <w:p w14:paraId="2A636D30" w14:textId="77777777" w:rsidR="00483923" w:rsidRPr="00483923" w:rsidRDefault="00483923" w:rsidP="00483923">
            <w:pPr>
              <w:spacing w:after="0" w:line="240" w:lineRule="auto"/>
              <w:jc w:val="right"/>
              <w:rPr>
                <w:rFonts w:ascii="Calibri" w:eastAsia="Times New Roman" w:hAnsi="Calibri" w:cs="Calibri"/>
                <w:color w:val="000000"/>
                <w:sz w:val="22"/>
              </w:rPr>
            </w:pPr>
            <w:r w:rsidRPr="00483923">
              <w:rPr>
                <w:rFonts w:ascii="Calibri" w:eastAsia="Times New Roman" w:hAnsi="Calibri" w:cs="Calibri"/>
                <w:color w:val="000000"/>
                <w:sz w:val="22"/>
              </w:rPr>
              <w:t>-12.2%</w:t>
            </w:r>
          </w:p>
        </w:tc>
      </w:tr>
      <w:tr w:rsidR="00483923" w:rsidRPr="00483923" w14:paraId="5AA0F2AE" w14:textId="77777777" w:rsidTr="00483923">
        <w:trPr>
          <w:trHeight w:val="300"/>
          <w:jc w:val="center"/>
        </w:trPr>
        <w:tc>
          <w:tcPr>
            <w:tcW w:w="2900" w:type="dxa"/>
            <w:tcBorders>
              <w:top w:val="nil"/>
              <w:left w:val="nil"/>
              <w:bottom w:val="nil"/>
              <w:right w:val="nil"/>
            </w:tcBorders>
            <w:shd w:val="clear" w:color="auto" w:fill="auto"/>
            <w:noWrap/>
            <w:vAlign w:val="bottom"/>
            <w:hideMark/>
          </w:tcPr>
          <w:p w14:paraId="68834367" w14:textId="77777777" w:rsidR="00483923" w:rsidRPr="00483923" w:rsidRDefault="00483923" w:rsidP="00483923">
            <w:pPr>
              <w:spacing w:after="0" w:line="240" w:lineRule="auto"/>
              <w:rPr>
                <w:rFonts w:ascii="Calibri" w:eastAsia="Times New Roman" w:hAnsi="Calibri" w:cs="Calibri"/>
                <w:color w:val="000000"/>
                <w:sz w:val="22"/>
              </w:rPr>
            </w:pPr>
            <w:r w:rsidRPr="00483923">
              <w:rPr>
                <w:rFonts w:ascii="Calibri" w:eastAsia="Times New Roman" w:hAnsi="Calibri" w:cs="Calibri"/>
                <w:color w:val="000000"/>
                <w:sz w:val="22"/>
              </w:rPr>
              <w:t>Russell 3000</w:t>
            </w:r>
          </w:p>
        </w:tc>
        <w:tc>
          <w:tcPr>
            <w:tcW w:w="1316" w:type="dxa"/>
            <w:tcBorders>
              <w:top w:val="nil"/>
              <w:left w:val="nil"/>
              <w:bottom w:val="nil"/>
              <w:right w:val="nil"/>
            </w:tcBorders>
            <w:shd w:val="clear" w:color="auto" w:fill="auto"/>
            <w:noWrap/>
            <w:vAlign w:val="bottom"/>
            <w:hideMark/>
          </w:tcPr>
          <w:p w14:paraId="0EBDA49B" w14:textId="25028278" w:rsidR="00483923" w:rsidRPr="00483923" w:rsidRDefault="00483923" w:rsidP="00483923">
            <w:pPr>
              <w:spacing w:after="0" w:line="240" w:lineRule="auto"/>
              <w:jc w:val="right"/>
              <w:rPr>
                <w:rFonts w:ascii="Calibri" w:eastAsia="Times New Roman" w:hAnsi="Calibri" w:cs="Calibri"/>
                <w:color w:val="000000"/>
                <w:sz w:val="22"/>
              </w:rPr>
            </w:pPr>
            <w:r w:rsidRPr="00483923">
              <w:rPr>
                <w:rFonts w:ascii="Calibri" w:eastAsia="Times New Roman" w:hAnsi="Calibri" w:cs="Calibri"/>
                <w:color w:val="000000"/>
                <w:sz w:val="22"/>
              </w:rPr>
              <w:t xml:space="preserve">      2,704.37 </w:t>
            </w:r>
          </w:p>
        </w:tc>
        <w:tc>
          <w:tcPr>
            <w:tcW w:w="296" w:type="dxa"/>
            <w:tcBorders>
              <w:top w:val="nil"/>
              <w:left w:val="nil"/>
              <w:bottom w:val="nil"/>
              <w:right w:val="nil"/>
            </w:tcBorders>
            <w:shd w:val="clear" w:color="auto" w:fill="auto"/>
            <w:noWrap/>
            <w:vAlign w:val="bottom"/>
            <w:hideMark/>
          </w:tcPr>
          <w:p w14:paraId="1C608E26" w14:textId="77777777" w:rsidR="00483923" w:rsidRPr="00483923" w:rsidRDefault="00483923" w:rsidP="00483923">
            <w:pPr>
              <w:spacing w:after="0" w:line="240" w:lineRule="auto"/>
              <w:rPr>
                <w:rFonts w:ascii="Calibri" w:eastAsia="Times New Roman" w:hAnsi="Calibri" w:cs="Calibri"/>
                <w:color w:val="000000"/>
                <w:sz w:val="22"/>
              </w:rPr>
            </w:pPr>
          </w:p>
        </w:tc>
        <w:tc>
          <w:tcPr>
            <w:tcW w:w="1112" w:type="dxa"/>
            <w:tcBorders>
              <w:top w:val="nil"/>
              <w:left w:val="nil"/>
              <w:bottom w:val="nil"/>
              <w:right w:val="nil"/>
            </w:tcBorders>
            <w:shd w:val="clear" w:color="auto" w:fill="auto"/>
            <w:noWrap/>
            <w:vAlign w:val="bottom"/>
            <w:hideMark/>
          </w:tcPr>
          <w:p w14:paraId="3F3A185A" w14:textId="77777777" w:rsidR="00483923" w:rsidRPr="00483923" w:rsidRDefault="00483923" w:rsidP="00483923">
            <w:pPr>
              <w:spacing w:after="0" w:line="240" w:lineRule="auto"/>
              <w:jc w:val="right"/>
              <w:rPr>
                <w:rFonts w:ascii="Calibri" w:eastAsia="Times New Roman" w:hAnsi="Calibri" w:cs="Calibri"/>
                <w:color w:val="000000"/>
                <w:sz w:val="22"/>
              </w:rPr>
            </w:pPr>
            <w:r w:rsidRPr="00483923">
              <w:rPr>
                <w:rFonts w:ascii="Calibri" w:eastAsia="Times New Roman" w:hAnsi="Calibri" w:cs="Calibri"/>
                <w:color w:val="000000"/>
                <w:sz w:val="22"/>
              </w:rPr>
              <w:t>-14.7%</w:t>
            </w:r>
          </w:p>
        </w:tc>
        <w:tc>
          <w:tcPr>
            <w:tcW w:w="947" w:type="dxa"/>
            <w:tcBorders>
              <w:top w:val="nil"/>
              <w:left w:val="nil"/>
              <w:bottom w:val="nil"/>
              <w:right w:val="nil"/>
            </w:tcBorders>
            <w:shd w:val="clear" w:color="auto" w:fill="auto"/>
            <w:noWrap/>
            <w:vAlign w:val="bottom"/>
            <w:hideMark/>
          </w:tcPr>
          <w:p w14:paraId="32C518A7" w14:textId="77777777" w:rsidR="00483923" w:rsidRPr="00483923" w:rsidRDefault="00483923" w:rsidP="00483923">
            <w:pPr>
              <w:spacing w:after="0" w:line="240" w:lineRule="auto"/>
              <w:jc w:val="right"/>
              <w:rPr>
                <w:rFonts w:ascii="Calibri" w:eastAsia="Times New Roman" w:hAnsi="Calibri" w:cs="Calibri"/>
                <w:color w:val="000000"/>
                <w:sz w:val="22"/>
              </w:rPr>
            </w:pPr>
            <w:r w:rsidRPr="00483923">
              <w:rPr>
                <w:rFonts w:ascii="Calibri" w:eastAsia="Times New Roman" w:hAnsi="Calibri" w:cs="Calibri"/>
                <w:color w:val="000000"/>
                <w:sz w:val="22"/>
              </w:rPr>
              <w:t>-7.0%</w:t>
            </w:r>
          </w:p>
        </w:tc>
        <w:tc>
          <w:tcPr>
            <w:tcW w:w="1017" w:type="dxa"/>
            <w:tcBorders>
              <w:top w:val="nil"/>
              <w:left w:val="nil"/>
              <w:bottom w:val="nil"/>
              <w:right w:val="nil"/>
            </w:tcBorders>
            <w:shd w:val="clear" w:color="auto" w:fill="auto"/>
            <w:noWrap/>
            <w:vAlign w:val="bottom"/>
            <w:hideMark/>
          </w:tcPr>
          <w:p w14:paraId="4E4F7DFB" w14:textId="77777777" w:rsidR="00483923" w:rsidRPr="00483923" w:rsidRDefault="00483923" w:rsidP="00483923">
            <w:pPr>
              <w:spacing w:after="0" w:line="240" w:lineRule="auto"/>
              <w:jc w:val="right"/>
              <w:rPr>
                <w:rFonts w:ascii="Calibri" w:eastAsia="Times New Roman" w:hAnsi="Calibri" w:cs="Calibri"/>
                <w:color w:val="000000"/>
                <w:sz w:val="22"/>
              </w:rPr>
            </w:pPr>
            <w:r w:rsidRPr="00483923">
              <w:rPr>
                <w:rFonts w:ascii="Calibri" w:eastAsia="Times New Roman" w:hAnsi="Calibri" w:cs="Calibri"/>
                <w:color w:val="000000"/>
                <w:sz w:val="22"/>
              </w:rPr>
              <w:t>-7.0%</w:t>
            </w:r>
          </w:p>
        </w:tc>
      </w:tr>
      <w:tr w:rsidR="00483923" w:rsidRPr="00483923" w14:paraId="53521C6B" w14:textId="77777777" w:rsidTr="00483923">
        <w:trPr>
          <w:trHeight w:val="300"/>
          <w:jc w:val="center"/>
        </w:trPr>
        <w:tc>
          <w:tcPr>
            <w:tcW w:w="2900" w:type="dxa"/>
            <w:tcBorders>
              <w:top w:val="nil"/>
              <w:left w:val="nil"/>
              <w:bottom w:val="nil"/>
              <w:right w:val="nil"/>
            </w:tcBorders>
            <w:shd w:val="clear" w:color="auto" w:fill="auto"/>
            <w:noWrap/>
            <w:vAlign w:val="bottom"/>
            <w:hideMark/>
          </w:tcPr>
          <w:p w14:paraId="6B8AD7A6" w14:textId="77777777" w:rsidR="00483923" w:rsidRPr="00483923" w:rsidRDefault="00483923" w:rsidP="00483923">
            <w:pPr>
              <w:spacing w:after="0" w:line="240" w:lineRule="auto"/>
              <w:rPr>
                <w:rFonts w:ascii="Calibri" w:eastAsia="Times New Roman" w:hAnsi="Calibri" w:cs="Calibri"/>
                <w:color w:val="000000"/>
                <w:sz w:val="22"/>
              </w:rPr>
            </w:pPr>
            <w:r w:rsidRPr="00483923">
              <w:rPr>
                <w:rFonts w:ascii="Calibri" w:eastAsia="Times New Roman" w:hAnsi="Calibri" w:cs="Calibri"/>
                <w:color w:val="000000"/>
                <w:sz w:val="22"/>
              </w:rPr>
              <w:t>NASDAQ Composite</w:t>
            </w:r>
          </w:p>
        </w:tc>
        <w:tc>
          <w:tcPr>
            <w:tcW w:w="1316" w:type="dxa"/>
            <w:tcBorders>
              <w:top w:val="nil"/>
              <w:left w:val="nil"/>
              <w:bottom w:val="nil"/>
              <w:right w:val="nil"/>
            </w:tcBorders>
            <w:shd w:val="clear" w:color="auto" w:fill="auto"/>
            <w:noWrap/>
            <w:vAlign w:val="bottom"/>
            <w:hideMark/>
          </w:tcPr>
          <w:p w14:paraId="487FDE5C" w14:textId="521E45D9" w:rsidR="00483923" w:rsidRPr="00483923" w:rsidRDefault="00483923" w:rsidP="00483923">
            <w:pPr>
              <w:spacing w:after="0" w:line="240" w:lineRule="auto"/>
              <w:jc w:val="right"/>
              <w:rPr>
                <w:rFonts w:ascii="Calibri" w:eastAsia="Times New Roman" w:hAnsi="Calibri" w:cs="Calibri"/>
                <w:color w:val="000000"/>
                <w:sz w:val="22"/>
              </w:rPr>
            </w:pPr>
            <w:r w:rsidRPr="00483923">
              <w:rPr>
                <w:rFonts w:ascii="Calibri" w:eastAsia="Times New Roman" w:hAnsi="Calibri" w:cs="Calibri"/>
                <w:color w:val="000000"/>
                <w:sz w:val="22"/>
              </w:rPr>
              <w:t xml:space="preserve">      6,635.28 </w:t>
            </w:r>
          </w:p>
        </w:tc>
        <w:tc>
          <w:tcPr>
            <w:tcW w:w="296" w:type="dxa"/>
            <w:tcBorders>
              <w:top w:val="nil"/>
              <w:left w:val="nil"/>
              <w:bottom w:val="nil"/>
              <w:right w:val="nil"/>
            </w:tcBorders>
            <w:shd w:val="clear" w:color="auto" w:fill="auto"/>
            <w:noWrap/>
            <w:vAlign w:val="bottom"/>
            <w:hideMark/>
          </w:tcPr>
          <w:p w14:paraId="6C824E5B" w14:textId="77777777" w:rsidR="00483923" w:rsidRPr="00483923" w:rsidRDefault="00483923" w:rsidP="00483923">
            <w:pPr>
              <w:spacing w:after="0" w:line="240" w:lineRule="auto"/>
              <w:rPr>
                <w:rFonts w:ascii="Calibri" w:eastAsia="Times New Roman" w:hAnsi="Calibri" w:cs="Calibri"/>
                <w:color w:val="000000"/>
                <w:sz w:val="22"/>
              </w:rPr>
            </w:pPr>
          </w:p>
        </w:tc>
        <w:tc>
          <w:tcPr>
            <w:tcW w:w="1112" w:type="dxa"/>
            <w:tcBorders>
              <w:top w:val="nil"/>
              <w:left w:val="nil"/>
              <w:bottom w:val="nil"/>
              <w:right w:val="nil"/>
            </w:tcBorders>
            <w:shd w:val="clear" w:color="auto" w:fill="auto"/>
            <w:noWrap/>
            <w:vAlign w:val="bottom"/>
            <w:hideMark/>
          </w:tcPr>
          <w:p w14:paraId="5E04D837" w14:textId="77777777" w:rsidR="00483923" w:rsidRPr="00483923" w:rsidRDefault="00483923" w:rsidP="00483923">
            <w:pPr>
              <w:spacing w:after="0" w:line="240" w:lineRule="auto"/>
              <w:jc w:val="right"/>
              <w:rPr>
                <w:rFonts w:ascii="Calibri" w:eastAsia="Times New Roman" w:hAnsi="Calibri" w:cs="Calibri"/>
                <w:color w:val="000000"/>
                <w:sz w:val="22"/>
              </w:rPr>
            </w:pPr>
            <w:r w:rsidRPr="00483923">
              <w:rPr>
                <w:rFonts w:ascii="Calibri" w:eastAsia="Times New Roman" w:hAnsi="Calibri" w:cs="Calibri"/>
                <w:color w:val="000000"/>
                <w:sz w:val="22"/>
              </w:rPr>
              <w:t>-17.5%</w:t>
            </w:r>
          </w:p>
        </w:tc>
        <w:tc>
          <w:tcPr>
            <w:tcW w:w="947" w:type="dxa"/>
            <w:tcBorders>
              <w:top w:val="nil"/>
              <w:left w:val="nil"/>
              <w:bottom w:val="nil"/>
              <w:right w:val="nil"/>
            </w:tcBorders>
            <w:shd w:val="clear" w:color="auto" w:fill="auto"/>
            <w:noWrap/>
            <w:vAlign w:val="bottom"/>
            <w:hideMark/>
          </w:tcPr>
          <w:p w14:paraId="7AE7AA31" w14:textId="77777777" w:rsidR="00483923" w:rsidRPr="00483923" w:rsidRDefault="00483923" w:rsidP="00483923">
            <w:pPr>
              <w:spacing w:after="0" w:line="240" w:lineRule="auto"/>
              <w:jc w:val="right"/>
              <w:rPr>
                <w:rFonts w:ascii="Calibri" w:eastAsia="Times New Roman" w:hAnsi="Calibri" w:cs="Calibri"/>
                <w:color w:val="000000"/>
                <w:sz w:val="22"/>
              </w:rPr>
            </w:pPr>
            <w:r w:rsidRPr="00483923">
              <w:rPr>
                <w:rFonts w:ascii="Calibri" w:eastAsia="Times New Roman" w:hAnsi="Calibri" w:cs="Calibri"/>
                <w:color w:val="000000"/>
                <w:sz w:val="22"/>
              </w:rPr>
              <w:t>-3.9%</w:t>
            </w:r>
          </w:p>
        </w:tc>
        <w:tc>
          <w:tcPr>
            <w:tcW w:w="1017" w:type="dxa"/>
            <w:tcBorders>
              <w:top w:val="nil"/>
              <w:left w:val="nil"/>
              <w:bottom w:val="nil"/>
              <w:right w:val="nil"/>
            </w:tcBorders>
            <w:shd w:val="clear" w:color="auto" w:fill="auto"/>
            <w:noWrap/>
            <w:vAlign w:val="bottom"/>
            <w:hideMark/>
          </w:tcPr>
          <w:p w14:paraId="24790F71" w14:textId="77777777" w:rsidR="00483923" w:rsidRPr="00483923" w:rsidRDefault="00483923" w:rsidP="00483923">
            <w:pPr>
              <w:spacing w:after="0" w:line="240" w:lineRule="auto"/>
              <w:jc w:val="right"/>
              <w:rPr>
                <w:rFonts w:ascii="Calibri" w:eastAsia="Times New Roman" w:hAnsi="Calibri" w:cs="Calibri"/>
                <w:color w:val="000000"/>
                <w:sz w:val="22"/>
              </w:rPr>
            </w:pPr>
            <w:r w:rsidRPr="00483923">
              <w:rPr>
                <w:rFonts w:ascii="Calibri" w:eastAsia="Times New Roman" w:hAnsi="Calibri" w:cs="Calibri"/>
                <w:color w:val="000000"/>
                <w:sz w:val="22"/>
              </w:rPr>
              <w:t>-3.9%</w:t>
            </w:r>
          </w:p>
        </w:tc>
      </w:tr>
    </w:tbl>
    <w:p w14:paraId="149D5F90" w14:textId="22123ACA" w:rsidR="0038144F" w:rsidRDefault="0038144F" w:rsidP="00857079"/>
    <w:p w14:paraId="3743084E" w14:textId="76258D8D" w:rsidR="00857079" w:rsidRDefault="00B0118D" w:rsidP="00BB3B04">
      <w:pPr>
        <w:jc w:val="center"/>
        <w:rPr>
          <w:color w:val="FF0000"/>
        </w:rPr>
      </w:pPr>
      <w:r>
        <w:rPr>
          <w:noProof/>
          <w:color w:val="FF0000"/>
        </w:rPr>
        <w:drawing>
          <wp:inline distT="0" distB="0" distL="0" distR="0" wp14:anchorId="12EBCBB9" wp14:editId="25B31201">
            <wp:extent cx="4097020" cy="27495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97020" cy="2749550"/>
                    </a:xfrm>
                    <a:prstGeom prst="rect">
                      <a:avLst/>
                    </a:prstGeom>
                    <a:noFill/>
                  </pic:spPr>
                </pic:pic>
              </a:graphicData>
            </a:graphic>
          </wp:inline>
        </w:drawing>
      </w:r>
    </w:p>
    <w:p w14:paraId="19B45987" w14:textId="77777777" w:rsidR="00301D84" w:rsidRPr="00857079" w:rsidRDefault="00301D84" w:rsidP="00BB3B04">
      <w:pPr>
        <w:jc w:val="center"/>
        <w:rPr>
          <w:color w:val="FF0000"/>
        </w:rPr>
      </w:pPr>
    </w:p>
    <w:p w14:paraId="149D5F93" w14:textId="77777777" w:rsidR="00E44639" w:rsidRDefault="00E44639" w:rsidP="00E44639">
      <w:pPr>
        <w:pStyle w:val="Heading1"/>
      </w:pPr>
      <w:r>
        <w:lastRenderedPageBreak/>
        <w:t>Outlook</w:t>
      </w:r>
    </w:p>
    <w:p w14:paraId="149D5F95" w14:textId="0DB54C57" w:rsidR="0022226D" w:rsidRDefault="00886D3A" w:rsidP="00E44639">
      <w:r w:rsidRPr="00090DA6">
        <w:t xml:space="preserve">The </w:t>
      </w:r>
      <w:r w:rsidR="00F60736" w:rsidRPr="00090DA6">
        <w:t xml:space="preserve">U.S. </w:t>
      </w:r>
      <w:r w:rsidRPr="00090DA6">
        <w:t>Federal</w:t>
      </w:r>
      <w:r w:rsidR="00F60736" w:rsidRPr="00090DA6">
        <w:t xml:space="preserve"> Open Market Committee is projecting real GDP growth</w:t>
      </w:r>
      <w:r w:rsidR="00BF5CE2">
        <w:rPr>
          <w:rStyle w:val="FootnoteReference"/>
        </w:rPr>
        <w:footnoteReference w:id="18"/>
      </w:r>
      <w:r w:rsidR="00F60736" w:rsidRPr="00090DA6">
        <w:t xml:space="preserve"> to slow </w:t>
      </w:r>
      <w:r w:rsidR="00AB6F46">
        <w:t xml:space="preserve">gradually </w:t>
      </w:r>
      <w:r w:rsidR="00F60736" w:rsidRPr="00090DA6">
        <w:t xml:space="preserve">to </w:t>
      </w:r>
      <w:r w:rsidR="00090DA6" w:rsidRPr="00090DA6">
        <w:t>1</w:t>
      </w:r>
      <w:r w:rsidR="00F60736" w:rsidRPr="00090DA6">
        <w:t>.</w:t>
      </w:r>
      <w:r w:rsidR="00090DA6" w:rsidRPr="00090DA6">
        <w:t>8</w:t>
      </w:r>
      <w:r w:rsidR="00F60736" w:rsidRPr="00090DA6">
        <w:t>0% by 20</w:t>
      </w:r>
      <w:r w:rsidR="00090DA6" w:rsidRPr="00090DA6">
        <w:t>21</w:t>
      </w:r>
      <w:r w:rsidR="00F60736" w:rsidRPr="00090DA6">
        <w:t>. They expect growth in Personal Consumption Expendit</w:t>
      </w:r>
      <w:r w:rsidR="00090DA6" w:rsidRPr="00090DA6">
        <w:t>ures (PCE)</w:t>
      </w:r>
      <w:r w:rsidR="005D3CEF">
        <w:rPr>
          <w:rStyle w:val="FootnoteReference"/>
        </w:rPr>
        <w:footnoteReference w:id="19"/>
      </w:r>
      <w:r w:rsidR="00090DA6" w:rsidRPr="00090DA6">
        <w:t xml:space="preserve"> to accelerate </w:t>
      </w:r>
      <w:r w:rsidR="00F60736" w:rsidRPr="00090DA6">
        <w:t>to 2.</w:t>
      </w:r>
      <w:r w:rsidR="00090DA6" w:rsidRPr="00090DA6">
        <w:t>10% by 202</w:t>
      </w:r>
      <w:r w:rsidR="00AB6F46">
        <w:t>0 and 202</w:t>
      </w:r>
      <w:r w:rsidR="00090DA6" w:rsidRPr="00090DA6">
        <w:t>1</w:t>
      </w:r>
      <w:r w:rsidR="00F60736" w:rsidRPr="00090DA6">
        <w:t>. Their forecast for the unemployment rate</w:t>
      </w:r>
      <w:r w:rsidR="00E72196">
        <w:rPr>
          <w:rStyle w:val="FootnoteReference"/>
        </w:rPr>
        <w:footnoteReference w:id="20"/>
      </w:r>
      <w:r w:rsidR="00F60736" w:rsidRPr="00090DA6">
        <w:t xml:space="preserve"> is a decline to </w:t>
      </w:r>
      <w:r w:rsidR="00090DA6" w:rsidRPr="00090DA6">
        <w:t>3.</w:t>
      </w:r>
      <w:r w:rsidR="00AB6F46">
        <w:t>6</w:t>
      </w:r>
      <w:r w:rsidR="00090DA6" w:rsidRPr="00090DA6">
        <w:t>0</w:t>
      </w:r>
      <w:r w:rsidR="00F60736" w:rsidRPr="00090DA6">
        <w:t>% in 201</w:t>
      </w:r>
      <w:r w:rsidR="00F11B2B">
        <w:t>9</w:t>
      </w:r>
      <w:r w:rsidR="00F60736" w:rsidRPr="00090DA6">
        <w:t xml:space="preserve"> followed by a slight increase to </w:t>
      </w:r>
      <w:r w:rsidR="00090DA6" w:rsidRPr="00090DA6">
        <w:t>3</w:t>
      </w:r>
      <w:r w:rsidR="00F60736" w:rsidRPr="00090DA6">
        <w:t>.</w:t>
      </w:r>
      <w:r w:rsidR="00090DA6" w:rsidRPr="00090DA6">
        <w:t>7</w:t>
      </w:r>
      <w:r w:rsidR="00F60736" w:rsidRPr="00090DA6">
        <w:t xml:space="preserve">5% </w:t>
      </w:r>
      <w:r w:rsidR="00F11B2B">
        <w:t>by</w:t>
      </w:r>
      <w:r w:rsidR="00F60736" w:rsidRPr="00090DA6">
        <w:t xml:space="preserve"> 20</w:t>
      </w:r>
      <w:r w:rsidR="00090DA6" w:rsidRPr="00090DA6">
        <w:t>21</w:t>
      </w:r>
      <w:r w:rsidR="00F60736" w:rsidRPr="00090DA6">
        <w:t>.</w:t>
      </w:r>
      <w:r w:rsidR="00F60736">
        <w:t xml:space="preserve"> </w:t>
      </w:r>
    </w:p>
    <w:p w14:paraId="7F3E4C1D" w14:textId="77777777" w:rsidR="005A005F" w:rsidRDefault="005A005F" w:rsidP="00E44639"/>
    <w:tbl>
      <w:tblPr>
        <w:tblW w:w="5957" w:type="dxa"/>
        <w:jc w:val="center"/>
        <w:tblLook w:val="04A0" w:firstRow="1" w:lastRow="0" w:firstColumn="1" w:lastColumn="0" w:noHBand="0" w:noVBand="1"/>
      </w:tblPr>
      <w:tblGrid>
        <w:gridCol w:w="828"/>
        <w:gridCol w:w="1524"/>
        <w:gridCol w:w="1015"/>
        <w:gridCol w:w="2590"/>
      </w:tblGrid>
      <w:tr w:rsidR="00527C83" w:rsidRPr="00527C83" w14:paraId="59EDB7CF" w14:textId="77777777" w:rsidTr="00527C83">
        <w:trPr>
          <w:trHeight w:val="300"/>
          <w:jc w:val="center"/>
        </w:trPr>
        <w:tc>
          <w:tcPr>
            <w:tcW w:w="5957" w:type="dxa"/>
            <w:gridSpan w:val="4"/>
            <w:tcBorders>
              <w:top w:val="nil"/>
              <w:left w:val="nil"/>
              <w:bottom w:val="single" w:sz="4" w:space="0" w:color="auto"/>
              <w:right w:val="nil"/>
            </w:tcBorders>
            <w:shd w:val="clear" w:color="auto" w:fill="auto"/>
            <w:noWrap/>
            <w:vAlign w:val="bottom"/>
            <w:hideMark/>
          </w:tcPr>
          <w:p w14:paraId="148F5648" w14:textId="77777777" w:rsidR="00527C83" w:rsidRPr="00527C83" w:rsidRDefault="00527C83" w:rsidP="00527C83">
            <w:pPr>
              <w:spacing w:after="0" w:line="240" w:lineRule="auto"/>
              <w:jc w:val="center"/>
              <w:rPr>
                <w:rFonts w:ascii="Calibri" w:eastAsia="Times New Roman" w:hAnsi="Calibri" w:cs="Calibri"/>
                <w:b/>
                <w:bCs/>
                <w:color w:val="000000"/>
                <w:sz w:val="22"/>
              </w:rPr>
            </w:pPr>
            <w:r w:rsidRPr="00527C83">
              <w:rPr>
                <w:rFonts w:ascii="Calibri" w:eastAsia="Times New Roman" w:hAnsi="Calibri" w:cs="Calibri"/>
                <w:b/>
                <w:bCs/>
                <w:color w:val="000000"/>
                <w:sz w:val="22"/>
              </w:rPr>
              <w:t>FOMC Summary of Economic Projections</w:t>
            </w:r>
          </w:p>
        </w:tc>
      </w:tr>
      <w:tr w:rsidR="00527C83" w:rsidRPr="00527C83" w14:paraId="71FA4DC0" w14:textId="77777777" w:rsidTr="00527C83">
        <w:trPr>
          <w:trHeight w:val="300"/>
          <w:jc w:val="center"/>
        </w:trPr>
        <w:tc>
          <w:tcPr>
            <w:tcW w:w="828" w:type="dxa"/>
            <w:tcBorders>
              <w:top w:val="nil"/>
              <w:left w:val="nil"/>
              <w:bottom w:val="single" w:sz="4" w:space="0" w:color="auto"/>
              <w:right w:val="nil"/>
            </w:tcBorders>
            <w:shd w:val="clear" w:color="auto" w:fill="auto"/>
            <w:noWrap/>
            <w:vAlign w:val="bottom"/>
            <w:hideMark/>
          </w:tcPr>
          <w:p w14:paraId="0FB16E1F" w14:textId="77777777" w:rsidR="00527C83" w:rsidRPr="00527C83" w:rsidRDefault="00527C83" w:rsidP="00527C83">
            <w:pPr>
              <w:spacing w:after="0" w:line="240" w:lineRule="auto"/>
              <w:jc w:val="center"/>
              <w:rPr>
                <w:rFonts w:ascii="Calibri" w:eastAsia="Times New Roman" w:hAnsi="Calibri" w:cs="Calibri"/>
                <w:color w:val="000000"/>
                <w:sz w:val="22"/>
              </w:rPr>
            </w:pPr>
            <w:r w:rsidRPr="00527C83">
              <w:rPr>
                <w:rFonts w:ascii="Calibri" w:eastAsia="Times New Roman" w:hAnsi="Calibri" w:cs="Calibri"/>
                <w:color w:val="000000"/>
                <w:sz w:val="22"/>
              </w:rPr>
              <w:t>Year</w:t>
            </w:r>
          </w:p>
        </w:tc>
        <w:tc>
          <w:tcPr>
            <w:tcW w:w="1524" w:type="dxa"/>
            <w:tcBorders>
              <w:top w:val="nil"/>
              <w:left w:val="nil"/>
              <w:bottom w:val="single" w:sz="4" w:space="0" w:color="auto"/>
              <w:right w:val="nil"/>
            </w:tcBorders>
            <w:shd w:val="clear" w:color="auto" w:fill="auto"/>
            <w:noWrap/>
            <w:vAlign w:val="bottom"/>
            <w:hideMark/>
          </w:tcPr>
          <w:p w14:paraId="24DA60A6" w14:textId="77777777" w:rsidR="00527C83" w:rsidRPr="00527C83" w:rsidRDefault="00527C83" w:rsidP="00527C83">
            <w:pPr>
              <w:spacing w:after="0" w:line="240" w:lineRule="auto"/>
              <w:jc w:val="center"/>
              <w:rPr>
                <w:rFonts w:ascii="Calibri" w:eastAsia="Times New Roman" w:hAnsi="Calibri" w:cs="Calibri"/>
                <w:color w:val="000000"/>
                <w:sz w:val="22"/>
              </w:rPr>
            </w:pPr>
            <w:r w:rsidRPr="00527C83">
              <w:rPr>
                <w:rFonts w:ascii="Calibri" w:eastAsia="Times New Roman" w:hAnsi="Calibri" w:cs="Calibri"/>
                <w:color w:val="000000"/>
                <w:sz w:val="22"/>
              </w:rPr>
              <w:t>Real GDP</w:t>
            </w:r>
          </w:p>
        </w:tc>
        <w:tc>
          <w:tcPr>
            <w:tcW w:w="1015" w:type="dxa"/>
            <w:tcBorders>
              <w:top w:val="nil"/>
              <w:left w:val="nil"/>
              <w:bottom w:val="single" w:sz="4" w:space="0" w:color="auto"/>
              <w:right w:val="nil"/>
            </w:tcBorders>
            <w:shd w:val="clear" w:color="auto" w:fill="auto"/>
            <w:noWrap/>
            <w:vAlign w:val="bottom"/>
            <w:hideMark/>
          </w:tcPr>
          <w:p w14:paraId="68BA7B6C" w14:textId="77777777" w:rsidR="00527C83" w:rsidRPr="00527C83" w:rsidRDefault="00527C83" w:rsidP="00527C83">
            <w:pPr>
              <w:spacing w:after="0" w:line="240" w:lineRule="auto"/>
              <w:jc w:val="center"/>
              <w:rPr>
                <w:rFonts w:ascii="Calibri" w:eastAsia="Times New Roman" w:hAnsi="Calibri" w:cs="Calibri"/>
                <w:color w:val="000000"/>
                <w:sz w:val="22"/>
              </w:rPr>
            </w:pPr>
            <w:r w:rsidRPr="00527C83">
              <w:rPr>
                <w:rFonts w:ascii="Calibri" w:eastAsia="Times New Roman" w:hAnsi="Calibri" w:cs="Calibri"/>
                <w:color w:val="000000"/>
                <w:sz w:val="22"/>
              </w:rPr>
              <w:t>PCE</w:t>
            </w:r>
          </w:p>
        </w:tc>
        <w:tc>
          <w:tcPr>
            <w:tcW w:w="2590" w:type="dxa"/>
            <w:tcBorders>
              <w:top w:val="nil"/>
              <w:left w:val="nil"/>
              <w:bottom w:val="single" w:sz="4" w:space="0" w:color="auto"/>
              <w:right w:val="nil"/>
            </w:tcBorders>
            <w:shd w:val="clear" w:color="auto" w:fill="auto"/>
            <w:noWrap/>
            <w:vAlign w:val="bottom"/>
            <w:hideMark/>
          </w:tcPr>
          <w:p w14:paraId="551DC423" w14:textId="77777777" w:rsidR="00527C83" w:rsidRPr="00527C83" w:rsidRDefault="00527C83" w:rsidP="00527C83">
            <w:pPr>
              <w:spacing w:after="0" w:line="240" w:lineRule="auto"/>
              <w:jc w:val="center"/>
              <w:rPr>
                <w:rFonts w:ascii="Calibri" w:eastAsia="Times New Roman" w:hAnsi="Calibri" w:cs="Calibri"/>
                <w:color w:val="000000"/>
                <w:sz w:val="22"/>
              </w:rPr>
            </w:pPr>
            <w:r w:rsidRPr="00527C83">
              <w:rPr>
                <w:rFonts w:ascii="Calibri" w:eastAsia="Times New Roman" w:hAnsi="Calibri" w:cs="Calibri"/>
                <w:color w:val="000000"/>
                <w:sz w:val="22"/>
              </w:rPr>
              <w:t>Unemployment</w:t>
            </w:r>
          </w:p>
        </w:tc>
      </w:tr>
      <w:tr w:rsidR="00527C83" w:rsidRPr="00527C83" w14:paraId="55CDEB60" w14:textId="77777777" w:rsidTr="00527C83">
        <w:trPr>
          <w:trHeight w:val="300"/>
          <w:jc w:val="center"/>
        </w:trPr>
        <w:tc>
          <w:tcPr>
            <w:tcW w:w="828" w:type="dxa"/>
            <w:tcBorders>
              <w:top w:val="nil"/>
              <w:left w:val="nil"/>
              <w:bottom w:val="nil"/>
              <w:right w:val="nil"/>
            </w:tcBorders>
            <w:shd w:val="clear" w:color="auto" w:fill="auto"/>
            <w:noWrap/>
            <w:vAlign w:val="bottom"/>
            <w:hideMark/>
          </w:tcPr>
          <w:p w14:paraId="2A85B331" w14:textId="77777777" w:rsidR="00527C83" w:rsidRPr="00527C83" w:rsidRDefault="00527C83" w:rsidP="00527C83">
            <w:pPr>
              <w:spacing w:after="0" w:line="240" w:lineRule="auto"/>
              <w:jc w:val="center"/>
              <w:rPr>
                <w:rFonts w:ascii="Calibri" w:eastAsia="Times New Roman" w:hAnsi="Calibri" w:cs="Calibri"/>
                <w:color w:val="000000"/>
                <w:sz w:val="22"/>
              </w:rPr>
            </w:pPr>
            <w:r w:rsidRPr="00527C83">
              <w:rPr>
                <w:rFonts w:ascii="Calibri" w:eastAsia="Times New Roman" w:hAnsi="Calibri" w:cs="Calibri"/>
                <w:color w:val="000000"/>
                <w:sz w:val="22"/>
              </w:rPr>
              <w:t>2019</w:t>
            </w:r>
          </w:p>
        </w:tc>
        <w:tc>
          <w:tcPr>
            <w:tcW w:w="1524" w:type="dxa"/>
            <w:tcBorders>
              <w:top w:val="nil"/>
              <w:left w:val="nil"/>
              <w:bottom w:val="nil"/>
              <w:right w:val="nil"/>
            </w:tcBorders>
            <w:shd w:val="clear" w:color="auto" w:fill="auto"/>
            <w:noWrap/>
            <w:vAlign w:val="bottom"/>
            <w:hideMark/>
          </w:tcPr>
          <w:p w14:paraId="66381CC4" w14:textId="77777777" w:rsidR="00527C83" w:rsidRPr="00527C83" w:rsidRDefault="00527C83" w:rsidP="00527C83">
            <w:pPr>
              <w:spacing w:after="0" w:line="240" w:lineRule="auto"/>
              <w:jc w:val="right"/>
              <w:rPr>
                <w:rFonts w:ascii="Calibri" w:eastAsia="Times New Roman" w:hAnsi="Calibri" w:cs="Calibri"/>
                <w:color w:val="000000"/>
                <w:sz w:val="22"/>
              </w:rPr>
            </w:pPr>
            <w:r w:rsidRPr="00527C83">
              <w:rPr>
                <w:rFonts w:ascii="Calibri" w:eastAsia="Times New Roman" w:hAnsi="Calibri" w:cs="Calibri"/>
                <w:color w:val="000000"/>
                <w:sz w:val="22"/>
              </w:rPr>
              <w:t>2.05%</w:t>
            </w:r>
          </w:p>
        </w:tc>
        <w:tc>
          <w:tcPr>
            <w:tcW w:w="1015" w:type="dxa"/>
            <w:tcBorders>
              <w:top w:val="nil"/>
              <w:left w:val="nil"/>
              <w:bottom w:val="nil"/>
              <w:right w:val="nil"/>
            </w:tcBorders>
            <w:shd w:val="clear" w:color="auto" w:fill="auto"/>
            <w:noWrap/>
            <w:vAlign w:val="bottom"/>
            <w:hideMark/>
          </w:tcPr>
          <w:p w14:paraId="11B46D5D" w14:textId="77777777" w:rsidR="00527C83" w:rsidRPr="00527C83" w:rsidRDefault="00527C83" w:rsidP="00527C83">
            <w:pPr>
              <w:spacing w:after="0" w:line="240" w:lineRule="auto"/>
              <w:jc w:val="right"/>
              <w:rPr>
                <w:rFonts w:ascii="Calibri" w:eastAsia="Times New Roman" w:hAnsi="Calibri" w:cs="Calibri"/>
                <w:color w:val="000000"/>
                <w:sz w:val="22"/>
              </w:rPr>
            </w:pPr>
            <w:r w:rsidRPr="00527C83">
              <w:rPr>
                <w:rFonts w:ascii="Calibri" w:eastAsia="Times New Roman" w:hAnsi="Calibri" w:cs="Calibri"/>
                <w:color w:val="000000"/>
                <w:sz w:val="22"/>
              </w:rPr>
              <w:t>1.85%</w:t>
            </w:r>
          </w:p>
        </w:tc>
        <w:tc>
          <w:tcPr>
            <w:tcW w:w="2590" w:type="dxa"/>
            <w:tcBorders>
              <w:top w:val="nil"/>
              <w:left w:val="nil"/>
              <w:bottom w:val="nil"/>
              <w:right w:val="nil"/>
            </w:tcBorders>
            <w:shd w:val="clear" w:color="auto" w:fill="auto"/>
            <w:noWrap/>
            <w:vAlign w:val="bottom"/>
            <w:hideMark/>
          </w:tcPr>
          <w:p w14:paraId="51D43A50" w14:textId="77777777" w:rsidR="00527C83" w:rsidRPr="00527C83" w:rsidRDefault="00527C83" w:rsidP="00527C83">
            <w:pPr>
              <w:spacing w:after="0" w:line="240" w:lineRule="auto"/>
              <w:jc w:val="right"/>
              <w:rPr>
                <w:rFonts w:ascii="Calibri" w:eastAsia="Times New Roman" w:hAnsi="Calibri" w:cs="Calibri"/>
                <w:color w:val="000000"/>
                <w:sz w:val="22"/>
              </w:rPr>
            </w:pPr>
            <w:r w:rsidRPr="00527C83">
              <w:rPr>
                <w:rFonts w:ascii="Calibri" w:eastAsia="Times New Roman" w:hAnsi="Calibri" w:cs="Calibri"/>
                <w:color w:val="000000"/>
                <w:sz w:val="22"/>
              </w:rPr>
              <w:t>3.70%</w:t>
            </w:r>
          </w:p>
        </w:tc>
      </w:tr>
      <w:tr w:rsidR="00527C83" w:rsidRPr="00527C83" w14:paraId="4D36D6C6" w14:textId="77777777" w:rsidTr="00527C83">
        <w:trPr>
          <w:trHeight w:val="300"/>
          <w:jc w:val="center"/>
        </w:trPr>
        <w:tc>
          <w:tcPr>
            <w:tcW w:w="828" w:type="dxa"/>
            <w:tcBorders>
              <w:top w:val="nil"/>
              <w:left w:val="nil"/>
              <w:bottom w:val="nil"/>
              <w:right w:val="nil"/>
            </w:tcBorders>
            <w:shd w:val="clear" w:color="auto" w:fill="auto"/>
            <w:noWrap/>
            <w:vAlign w:val="bottom"/>
            <w:hideMark/>
          </w:tcPr>
          <w:p w14:paraId="57CB9352" w14:textId="77777777" w:rsidR="00527C83" w:rsidRPr="00527C83" w:rsidRDefault="00527C83" w:rsidP="00527C83">
            <w:pPr>
              <w:spacing w:after="0" w:line="240" w:lineRule="auto"/>
              <w:jc w:val="center"/>
              <w:rPr>
                <w:rFonts w:ascii="Calibri" w:eastAsia="Times New Roman" w:hAnsi="Calibri" w:cs="Calibri"/>
                <w:color w:val="000000"/>
                <w:sz w:val="22"/>
              </w:rPr>
            </w:pPr>
            <w:r w:rsidRPr="00527C83">
              <w:rPr>
                <w:rFonts w:ascii="Calibri" w:eastAsia="Times New Roman" w:hAnsi="Calibri" w:cs="Calibri"/>
                <w:color w:val="000000"/>
                <w:sz w:val="22"/>
              </w:rPr>
              <w:t>2020</w:t>
            </w:r>
          </w:p>
        </w:tc>
        <w:tc>
          <w:tcPr>
            <w:tcW w:w="1524" w:type="dxa"/>
            <w:tcBorders>
              <w:top w:val="nil"/>
              <w:left w:val="nil"/>
              <w:bottom w:val="nil"/>
              <w:right w:val="nil"/>
            </w:tcBorders>
            <w:shd w:val="clear" w:color="auto" w:fill="auto"/>
            <w:noWrap/>
            <w:vAlign w:val="bottom"/>
            <w:hideMark/>
          </w:tcPr>
          <w:p w14:paraId="37DF9BA3" w14:textId="77777777" w:rsidR="00527C83" w:rsidRPr="00527C83" w:rsidRDefault="00527C83" w:rsidP="00527C83">
            <w:pPr>
              <w:spacing w:after="0" w:line="240" w:lineRule="auto"/>
              <w:jc w:val="right"/>
              <w:rPr>
                <w:rFonts w:ascii="Calibri" w:eastAsia="Times New Roman" w:hAnsi="Calibri" w:cs="Calibri"/>
                <w:color w:val="000000"/>
                <w:sz w:val="22"/>
              </w:rPr>
            </w:pPr>
            <w:r w:rsidRPr="00527C83">
              <w:rPr>
                <w:rFonts w:ascii="Calibri" w:eastAsia="Times New Roman" w:hAnsi="Calibri" w:cs="Calibri"/>
                <w:color w:val="000000"/>
                <w:sz w:val="22"/>
              </w:rPr>
              <w:t>1.90%</w:t>
            </w:r>
          </w:p>
        </w:tc>
        <w:tc>
          <w:tcPr>
            <w:tcW w:w="1015" w:type="dxa"/>
            <w:tcBorders>
              <w:top w:val="nil"/>
              <w:left w:val="nil"/>
              <w:bottom w:val="nil"/>
              <w:right w:val="nil"/>
            </w:tcBorders>
            <w:shd w:val="clear" w:color="auto" w:fill="auto"/>
            <w:noWrap/>
            <w:vAlign w:val="bottom"/>
            <w:hideMark/>
          </w:tcPr>
          <w:p w14:paraId="186296CE" w14:textId="77777777" w:rsidR="00527C83" w:rsidRPr="00527C83" w:rsidRDefault="00527C83" w:rsidP="00527C83">
            <w:pPr>
              <w:spacing w:after="0" w:line="240" w:lineRule="auto"/>
              <w:jc w:val="right"/>
              <w:rPr>
                <w:rFonts w:ascii="Calibri" w:eastAsia="Times New Roman" w:hAnsi="Calibri" w:cs="Calibri"/>
                <w:color w:val="000000"/>
                <w:sz w:val="22"/>
              </w:rPr>
            </w:pPr>
            <w:r w:rsidRPr="00527C83">
              <w:rPr>
                <w:rFonts w:ascii="Calibri" w:eastAsia="Times New Roman" w:hAnsi="Calibri" w:cs="Calibri"/>
                <w:color w:val="000000"/>
                <w:sz w:val="22"/>
              </w:rPr>
              <w:t>2.05%</w:t>
            </w:r>
          </w:p>
        </w:tc>
        <w:tc>
          <w:tcPr>
            <w:tcW w:w="2590" w:type="dxa"/>
            <w:tcBorders>
              <w:top w:val="nil"/>
              <w:left w:val="nil"/>
              <w:bottom w:val="nil"/>
              <w:right w:val="nil"/>
            </w:tcBorders>
            <w:shd w:val="clear" w:color="auto" w:fill="auto"/>
            <w:noWrap/>
            <w:vAlign w:val="bottom"/>
            <w:hideMark/>
          </w:tcPr>
          <w:p w14:paraId="19402778" w14:textId="77777777" w:rsidR="00527C83" w:rsidRPr="00527C83" w:rsidRDefault="00527C83" w:rsidP="00527C83">
            <w:pPr>
              <w:spacing w:after="0" w:line="240" w:lineRule="auto"/>
              <w:jc w:val="right"/>
              <w:rPr>
                <w:rFonts w:ascii="Calibri" w:eastAsia="Times New Roman" w:hAnsi="Calibri" w:cs="Calibri"/>
                <w:color w:val="000000"/>
                <w:sz w:val="22"/>
              </w:rPr>
            </w:pPr>
            <w:r w:rsidRPr="00527C83">
              <w:rPr>
                <w:rFonts w:ascii="Calibri" w:eastAsia="Times New Roman" w:hAnsi="Calibri" w:cs="Calibri"/>
                <w:color w:val="000000"/>
                <w:sz w:val="22"/>
              </w:rPr>
              <w:t>3.75%</w:t>
            </w:r>
          </w:p>
        </w:tc>
      </w:tr>
      <w:tr w:rsidR="00527C83" w:rsidRPr="00527C83" w14:paraId="79F18FC8" w14:textId="77777777" w:rsidTr="00527C83">
        <w:trPr>
          <w:trHeight w:val="300"/>
          <w:jc w:val="center"/>
        </w:trPr>
        <w:tc>
          <w:tcPr>
            <w:tcW w:w="828" w:type="dxa"/>
            <w:tcBorders>
              <w:top w:val="nil"/>
              <w:left w:val="nil"/>
              <w:bottom w:val="nil"/>
              <w:right w:val="nil"/>
            </w:tcBorders>
            <w:shd w:val="clear" w:color="auto" w:fill="auto"/>
            <w:noWrap/>
            <w:vAlign w:val="bottom"/>
            <w:hideMark/>
          </w:tcPr>
          <w:p w14:paraId="4BDA3BE7" w14:textId="77777777" w:rsidR="00527C83" w:rsidRPr="00527C83" w:rsidRDefault="00527C83" w:rsidP="00527C83">
            <w:pPr>
              <w:spacing w:after="0" w:line="240" w:lineRule="auto"/>
              <w:jc w:val="center"/>
              <w:rPr>
                <w:rFonts w:ascii="Calibri" w:eastAsia="Times New Roman" w:hAnsi="Calibri" w:cs="Calibri"/>
                <w:color w:val="000000"/>
                <w:sz w:val="22"/>
              </w:rPr>
            </w:pPr>
            <w:r w:rsidRPr="00527C83">
              <w:rPr>
                <w:rFonts w:ascii="Calibri" w:eastAsia="Times New Roman" w:hAnsi="Calibri" w:cs="Calibri"/>
                <w:color w:val="000000"/>
                <w:sz w:val="22"/>
              </w:rPr>
              <w:t>2021</w:t>
            </w:r>
          </w:p>
        </w:tc>
        <w:tc>
          <w:tcPr>
            <w:tcW w:w="1524" w:type="dxa"/>
            <w:tcBorders>
              <w:top w:val="nil"/>
              <w:left w:val="nil"/>
              <w:bottom w:val="nil"/>
              <w:right w:val="nil"/>
            </w:tcBorders>
            <w:shd w:val="clear" w:color="auto" w:fill="auto"/>
            <w:noWrap/>
            <w:vAlign w:val="bottom"/>
            <w:hideMark/>
          </w:tcPr>
          <w:p w14:paraId="0E38DBD2" w14:textId="77777777" w:rsidR="00527C83" w:rsidRPr="00527C83" w:rsidRDefault="00527C83" w:rsidP="00527C83">
            <w:pPr>
              <w:spacing w:after="0" w:line="240" w:lineRule="auto"/>
              <w:jc w:val="right"/>
              <w:rPr>
                <w:rFonts w:ascii="Calibri" w:eastAsia="Times New Roman" w:hAnsi="Calibri" w:cs="Calibri"/>
                <w:color w:val="000000"/>
                <w:sz w:val="22"/>
              </w:rPr>
            </w:pPr>
            <w:r w:rsidRPr="00527C83">
              <w:rPr>
                <w:rFonts w:ascii="Calibri" w:eastAsia="Times New Roman" w:hAnsi="Calibri" w:cs="Calibri"/>
                <w:color w:val="000000"/>
                <w:sz w:val="22"/>
              </w:rPr>
              <w:t>1.85%</w:t>
            </w:r>
          </w:p>
        </w:tc>
        <w:tc>
          <w:tcPr>
            <w:tcW w:w="1015" w:type="dxa"/>
            <w:tcBorders>
              <w:top w:val="nil"/>
              <w:left w:val="nil"/>
              <w:bottom w:val="nil"/>
              <w:right w:val="nil"/>
            </w:tcBorders>
            <w:shd w:val="clear" w:color="auto" w:fill="auto"/>
            <w:noWrap/>
            <w:vAlign w:val="bottom"/>
            <w:hideMark/>
          </w:tcPr>
          <w:p w14:paraId="3655C508" w14:textId="77777777" w:rsidR="00527C83" w:rsidRPr="00527C83" w:rsidRDefault="00527C83" w:rsidP="00527C83">
            <w:pPr>
              <w:spacing w:after="0" w:line="240" w:lineRule="auto"/>
              <w:jc w:val="right"/>
              <w:rPr>
                <w:rFonts w:ascii="Calibri" w:eastAsia="Times New Roman" w:hAnsi="Calibri" w:cs="Calibri"/>
                <w:color w:val="000000"/>
                <w:sz w:val="22"/>
              </w:rPr>
            </w:pPr>
            <w:r w:rsidRPr="00527C83">
              <w:rPr>
                <w:rFonts w:ascii="Calibri" w:eastAsia="Times New Roman" w:hAnsi="Calibri" w:cs="Calibri"/>
                <w:color w:val="000000"/>
                <w:sz w:val="22"/>
              </w:rPr>
              <w:t>2.05%</w:t>
            </w:r>
          </w:p>
        </w:tc>
        <w:tc>
          <w:tcPr>
            <w:tcW w:w="2590" w:type="dxa"/>
            <w:tcBorders>
              <w:top w:val="nil"/>
              <w:left w:val="nil"/>
              <w:bottom w:val="nil"/>
              <w:right w:val="nil"/>
            </w:tcBorders>
            <w:shd w:val="clear" w:color="auto" w:fill="auto"/>
            <w:noWrap/>
            <w:vAlign w:val="bottom"/>
            <w:hideMark/>
          </w:tcPr>
          <w:p w14:paraId="13749129" w14:textId="77777777" w:rsidR="00527C83" w:rsidRPr="00527C83" w:rsidRDefault="00527C83" w:rsidP="00527C83">
            <w:pPr>
              <w:spacing w:after="0" w:line="240" w:lineRule="auto"/>
              <w:jc w:val="right"/>
              <w:rPr>
                <w:rFonts w:ascii="Calibri" w:eastAsia="Times New Roman" w:hAnsi="Calibri" w:cs="Calibri"/>
                <w:color w:val="000000"/>
                <w:sz w:val="22"/>
              </w:rPr>
            </w:pPr>
            <w:r w:rsidRPr="00527C83">
              <w:rPr>
                <w:rFonts w:ascii="Calibri" w:eastAsia="Times New Roman" w:hAnsi="Calibri" w:cs="Calibri"/>
                <w:color w:val="000000"/>
                <w:sz w:val="22"/>
              </w:rPr>
              <w:t>3.90%</w:t>
            </w:r>
          </w:p>
        </w:tc>
      </w:tr>
      <w:tr w:rsidR="00527C83" w:rsidRPr="00527C83" w14:paraId="384AD627" w14:textId="77777777" w:rsidTr="00527C83">
        <w:trPr>
          <w:trHeight w:val="300"/>
          <w:jc w:val="center"/>
        </w:trPr>
        <w:tc>
          <w:tcPr>
            <w:tcW w:w="828" w:type="dxa"/>
            <w:tcBorders>
              <w:top w:val="nil"/>
              <w:left w:val="nil"/>
              <w:bottom w:val="nil"/>
              <w:right w:val="nil"/>
            </w:tcBorders>
            <w:shd w:val="clear" w:color="auto" w:fill="auto"/>
            <w:noWrap/>
            <w:vAlign w:val="bottom"/>
            <w:hideMark/>
          </w:tcPr>
          <w:p w14:paraId="4325ED35" w14:textId="77777777" w:rsidR="00527C83" w:rsidRPr="00527C83" w:rsidRDefault="00527C83" w:rsidP="00527C83">
            <w:pPr>
              <w:spacing w:after="0" w:line="240" w:lineRule="auto"/>
              <w:jc w:val="center"/>
              <w:rPr>
                <w:rFonts w:ascii="Calibri" w:eastAsia="Times New Roman" w:hAnsi="Calibri" w:cs="Calibri"/>
                <w:color w:val="000000"/>
                <w:sz w:val="22"/>
              </w:rPr>
            </w:pPr>
            <w:r w:rsidRPr="00527C83">
              <w:rPr>
                <w:rFonts w:ascii="Calibri" w:eastAsia="Times New Roman" w:hAnsi="Calibri" w:cs="Calibri"/>
                <w:color w:val="000000"/>
                <w:sz w:val="22"/>
              </w:rPr>
              <w:t>2022</w:t>
            </w:r>
          </w:p>
        </w:tc>
        <w:tc>
          <w:tcPr>
            <w:tcW w:w="1524" w:type="dxa"/>
            <w:tcBorders>
              <w:top w:val="nil"/>
              <w:left w:val="nil"/>
              <w:bottom w:val="nil"/>
              <w:right w:val="nil"/>
            </w:tcBorders>
            <w:shd w:val="clear" w:color="auto" w:fill="auto"/>
            <w:noWrap/>
            <w:vAlign w:val="bottom"/>
            <w:hideMark/>
          </w:tcPr>
          <w:p w14:paraId="2109E658" w14:textId="77777777" w:rsidR="00527C83" w:rsidRPr="00527C83" w:rsidRDefault="00527C83" w:rsidP="00527C83">
            <w:pPr>
              <w:spacing w:after="0" w:line="240" w:lineRule="auto"/>
              <w:jc w:val="right"/>
              <w:rPr>
                <w:rFonts w:ascii="Calibri" w:eastAsia="Times New Roman" w:hAnsi="Calibri" w:cs="Calibri"/>
                <w:color w:val="000000"/>
                <w:sz w:val="22"/>
              </w:rPr>
            </w:pPr>
            <w:r w:rsidRPr="00527C83">
              <w:rPr>
                <w:rFonts w:ascii="Calibri" w:eastAsia="Times New Roman" w:hAnsi="Calibri" w:cs="Calibri"/>
                <w:color w:val="000000"/>
                <w:sz w:val="22"/>
              </w:rPr>
              <w:t>1.85%</w:t>
            </w:r>
          </w:p>
        </w:tc>
        <w:tc>
          <w:tcPr>
            <w:tcW w:w="1015" w:type="dxa"/>
            <w:tcBorders>
              <w:top w:val="nil"/>
              <w:left w:val="nil"/>
              <w:bottom w:val="nil"/>
              <w:right w:val="nil"/>
            </w:tcBorders>
            <w:shd w:val="clear" w:color="auto" w:fill="auto"/>
            <w:noWrap/>
            <w:vAlign w:val="bottom"/>
            <w:hideMark/>
          </w:tcPr>
          <w:p w14:paraId="13D67A84" w14:textId="77777777" w:rsidR="00527C83" w:rsidRPr="00527C83" w:rsidRDefault="00527C83" w:rsidP="00527C83">
            <w:pPr>
              <w:spacing w:after="0" w:line="240" w:lineRule="auto"/>
              <w:jc w:val="right"/>
              <w:rPr>
                <w:rFonts w:ascii="Calibri" w:eastAsia="Times New Roman" w:hAnsi="Calibri" w:cs="Calibri"/>
                <w:color w:val="000000"/>
                <w:sz w:val="22"/>
              </w:rPr>
            </w:pPr>
            <w:r w:rsidRPr="00527C83">
              <w:rPr>
                <w:rFonts w:ascii="Calibri" w:eastAsia="Times New Roman" w:hAnsi="Calibri" w:cs="Calibri"/>
                <w:color w:val="000000"/>
                <w:sz w:val="22"/>
              </w:rPr>
              <w:t>2.05%</w:t>
            </w:r>
          </w:p>
        </w:tc>
        <w:tc>
          <w:tcPr>
            <w:tcW w:w="2590" w:type="dxa"/>
            <w:tcBorders>
              <w:top w:val="nil"/>
              <w:left w:val="nil"/>
              <w:bottom w:val="nil"/>
              <w:right w:val="nil"/>
            </w:tcBorders>
            <w:shd w:val="clear" w:color="auto" w:fill="auto"/>
            <w:noWrap/>
            <w:vAlign w:val="bottom"/>
            <w:hideMark/>
          </w:tcPr>
          <w:p w14:paraId="2626C470" w14:textId="77777777" w:rsidR="00527C83" w:rsidRPr="00527C83" w:rsidRDefault="00527C83" w:rsidP="00527C83">
            <w:pPr>
              <w:spacing w:after="0" w:line="240" w:lineRule="auto"/>
              <w:jc w:val="right"/>
              <w:rPr>
                <w:rFonts w:ascii="Calibri" w:eastAsia="Times New Roman" w:hAnsi="Calibri" w:cs="Calibri"/>
                <w:color w:val="000000"/>
                <w:sz w:val="22"/>
              </w:rPr>
            </w:pPr>
            <w:r w:rsidRPr="00527C83">
              <w:rPr>
                <w:rFonts w:ascii="Calibri" w:eastAsia="Times New Roman" w:hAnsi="Calibri" w:cs="Calibri"/>
                <w:color w:val="000000"/>
                <w:sz w:val="22"/>
              </w:rPr>
              <w:t>3.90%</w:t>
            </w:r>
          </w:p>
        </w:tc>
      </w:tr>
    </w:tbl>
    <w:p w14:paraId="7CDFEB5F" w14:textId="77777777" w:rsidR="00BB3B04" w:rsidRDefault="00BB3B04" w:rsidP="00E44639"/>
    <w:p w14:paraId="36640DB1" w14:textId="77777777" w:rsidR="00A53931" w:rsidRDefault="00A53931">
      <w:pPr>
        <w:rPr>
          <w:rFonts w:asciiTheme="majorHAnsi" w:eastAsiaTheme="majorEastAsia" w:hAnsiTheme="majorHAnsi" w:cstheme="majorBidi"/>
          <w:color w:val="008FD5"/>
          <w:sz w:val="36"/>
          <w:szCs w:val="32"/>
        </w:rPr>
      </w:pPr>
      <w:r>
        <w:br w:type="page"/>
      </w:r>
    </w:p>
    <w:p w14:paraId="149D5FB3" w14:textId="3DEFDFA8" w:rsidR="00005111" w:rsidRPr="0017465F" w:rsidRDefault="00005111" w:rsidP="001475FF">
      <w:pPr>
        <w:pStyle w:val="Heading1"/>
      </w:pPr>
      <w:r w:rsidRPr="0017465F">
        <w:lastRenderedPageBreak/>
        <w:t>About This Report</w:t>
      </w:r>
    </w:p>
    <w:p w14:paraId="149D5FB4" w14:textId="3496FD82" w:rsidR="002F3682" w:rsidRDefault="00BB34CA" w:rsidP="00005111">
      <w:r w:rsidRPr="0017465F">
        <w:t xml:space="preserve">The </w:t>
      </w:r>
      <w:r w:rsidRPr="0017465F">
        <w:rPr>
          <w:i/>
        </w:rPr>
        <w:t>Quarterly Economic Update</w:t>
      </w:r>
      <w:r w:rsidRPr="0017465F">
        <w:t xml:space="preserve"> is a free publication sponsored by </w:t>
      </w:r>
      <w:proofErr w:type="spellStart"/>
      <w:r w:rsidRPr="0017465F">
        <w:t>TagniFi</w:t>
      </w:r>
      <w:proofErr w:type="spellEnd"/>
      <w:r w:rsidRPr="0017465F">
        <w:t>. You are free to share this report and include its contents in the economic outlook section of your valuation reports</w:t>
      </w:r>
      <w:r w:rsidR="00DF67C7" w:rsidRPr="0017465F">
        <w:t xml:space="preserve"> as required by </w:t>
      </w:r>
      <w:r w:rsidR="00DF67C7" w:rsidRPr="0017465F">
        <w:rPr>
          <w:i/>
        </w:rPr>
        <w:t>Revenue Ruling 59-60</w:t>
      </w:r>
      <w:r w:rsidRPr="0017465F">
        <w:t xml:space="preserve">. Please forward this </w:t>
      </w:r>
      <w:r w:rsidR="00DF67C7" w:rsidRPr="0017465F">
        <w:t xml:space="preserve">free </w:t>
      </w:r>
      <w:r w:rsidRPr="0017465F">
        <w:t>report to a c</w:t>
      </w:r>
      <w:r w:rsidR="00DF67C7" w:rsidRPr="0017465F">
        <w:t xml:space="preserve">olleague to help us spread the word about </w:t>
      </w:r>
      <w:proofErr w:type="spellStart"/>
      <w:r w:rsidR="00DF67C7" w:rsidRPr="0017465F">
        <w:t>TagniFi</w:t>
      </w:r>
      <w:proofErr w:type="spellEnd"/>
      <w:r w:rsidRPr="0017465F">
        <w:t>.</w:t>
      </w:r>
    </w:p>
    <w:p w14:paraId="149D5FB5" w14:textId="77777777" w:rsidR="001475FF" w:rsidRDefault="001475FF" w:rsidP="001475FF">
      <w:pPr>
        <w:pStyle w:val="Heading1"/>
      </w:pPr>
      <w:r>
        <w:t xml:space="preserve">About </w:t>
      </w:r>
      <w:proofErr w:type="spellStart"/>
      <w:r>
        <w:t>TagniFi</w:t>
      </w:r>
      <w:proofErr w:type="spellEnd"/>
    </w:p>
    <w:p w14:paraId="1C228656" w14:textId="69DBF3C2" w:rsidR="00B47AF7" w:rsidRDefault="005A005F" w:rsidP="00230D29">
      <w:proofErr w:type="spellStart"/>
      <w:r w:rsidRPr="005A005F">
        <w:t>TagniFi</w:t>
      </w:r>
      <w:proofErr w:type="spellEnd"/>
      <w:r w:rsidRPr="005A005F">
        <w:t xml:space="preserve"> is bringing financial data into the modern age with the industry's most timely and accurate financial data.</w:t>
      </w:r>
      <w:r>
        <w:t xml:space="preserve"> </w:t>
      </w:r>
      <w:proofErr w:type="spellStart"/>
      <w:r w:rsidR="003E5CFB" w:rsidRPr="0017465F">
        <w:t>TagniFi</w:t>
      </w:r>
      <w:proofErr w:type="spellEnd"/>
      <w:r w:rsidR="003E5CFB" w:rsidRPr="0017465F">
        <w:t xml:space="preserve"> helps business valuation professionals</w:t>
      </w:r>
      <w:r w:rsidR="00107AB4" w:rsidRPr="0017465F">
        <w:t xml:space="preserve"> automate</w:t>
      </w:r>
      <w:r w:rsidR="009B2A0E" w:rsidRPr="0017465F">
        <w:t xml:space="preserve"> </w:t>
      </w:r>
      <w:r w:rsidR="00D70F48" w:rsidRPr="0017465F">
        <w:t>the</w:t>
      </w:r>
      <w:r w:rsidR="009B2A0E" w:rsidRPr="0017465F">
        <w:t xml:space="preserve"> guideline public company method. All </w:t>
      </w:r>
      <w:proofErr w:type="spellStart"/>
      <w:r w:rsidR="009B2A0E" w:rsidRPr="0017465F">
        <w:t>TagniFi</w:t>
      </w:r>
      <w:proofErr w:type="spellEnd"/>
      <w:r w:rsidR="009B2A0E" w:rsidRPr="0017465F">
        <w:t xml:space="preserve"> data passes through hundreds of quality checks to ensure that you are using the industry’s most accurate data in your </w:t>
      </w:r>
      <w:r w:rsidR="001819E6">
        <w:t xml:space="preserve">valuation </w:t>
      </w:r>
      <w:r w:rsidR="009B2A0E" w:rsidRPr="0017465F">
        <w:t xml:space="preserve">reports. </w:t>
      </w:r>
      <w:r>
        <w:t xml:space="preserve">In addition, </w:t>
      </w:r>
      <w:proofErr w:type="spellStart"/>
      <w:r>
        <w:t>TagniFi</w:t>
      </w:r>
      <w:proofErr w:type="spellEnd"/>
      <w:r>
        <w:t xml:space="preserve"> clients have access to market data, transaction data, analyst estimates for forward multiples, economic data, profiles, and more. Fo</w:t>
      </w:r>
      <w:r w:rsidR="00C36857" w:rsidRPr="0017465F">
        <w:t xml:space="preserve">r </w:t>
      </w:r>
      <w:r>
        <w:t xml:space="preserve">additional </w:t>
      </w:r>
      <w:r w:rsidR="00C36857" w:rsidRPr="0017465F">
        <w:t>information, please visit</w:t>
      </w:r>
      <w:r w:rsidR="00230D29" w:rsidRPr="0017465F">
        <w:t xml:space="preserve"> </w:t>
      </w:r>
      <w:hyperlink r:id="rId28" w:history="1">
        <w:r w:rsidR="00E602D0" w:rsidRPr="0017465F">
          <w:rPr>
            <w:rStyle w:val="Hyperlink"/>
          </w:rPr>
          <w:t>www.tagnifi.com</w:t>
        </w:r>
      </w:hyperlink>
      <w:r>
        <w:t>.</w:t>
      </w:r>
    </w:p>
    <w:p w14:paraId="3B244B77" w14:textId="634504F4" w:rsidR="00B47AF7" w:rsidRDefault="00B47AF7" w:rsidP="00230D29">
      <w:r>
        <w:t xml:space="preserve">Please </w:t>
      </w:r>
      <w:hyperlink r:id="rId29" w:history="1">
        <w:r w:rsidRPr="00B47AF7">
          <w:rPr>
            <w:rStyle w:val="Hyperlink"/>
          </w:rPr>
          <w:t>follow us</w:t>
        </w:r>
      </w:hyperlink>
      <w:r>
        <w:t xml:space="preserve"> on LinkedIn </w:t>
      </w:r>
      <w:r w:rsidR="00F647B5">
        <w:t xml:space="preserve">to </w:t>
      </w:r>
      <w:r>
        <w:t xml:space="preserve">receive updates when future </w:t>
      </w:r>
      <w:r w:rsidRPr="00F647B5">
        <w:rPr>
          <w:i/>
        </w:rPr>
        <w:t>Quarterly Economic Updates</w:t>
      </w:r>
      <w:r>
        <w:t xml:space="preserve"> are released.</w:t>
      </w:r>
      <w:bookmarkStart w:id="1" w:name="_GoBack"/>
      <w:bookmarkEnd w:id="1"/>
    </w:p>
    <w:p w14:paraId="504D9B28" w14:textId="3DDC5118" w:rsidR="00B47AF7" w:rsidRDefault="00B47AF7" w:rsidP="00230D29">
      <w:r>
        <w:rPr>
          <w:noProof/>
        </w:rPr>
        <w:drawing>
          <wp:inline distT="0" distB="0" distL="0" distR="0" wp14:anchorId="481FD392" wp14:editId="43E949F5">
            <wp:extent cx="300789" cy="300789"/>
            <wp:effectExtent l="0" t="0" r="4445" b="4445"/>
            <wp:docPr id="1" name="Picture 1">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29"/>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12466" cy="312466"/>
                    </a:xfrm>
                    <a:prstGeom prst="rect">
                      <a:avLst/>
                    </a:prstGeom>
                  </pic:spPr>
                </pic:pic>
              </a:graphicData>
            </a:graphic>
          </wp:inline>
        </w:drawing>
      </w:r>
    </w:p>
    <w:p w14:paraId="29FF2EE5" w14:textId="3DB6E321" w:rsidR="005A005F" w:rsidRDefault="005A005F" w:rsidP="00230D29"/>
    <w:p w14:paraId="2C343DF5" w14:textId="77777777" w:rsidR="005A005F" w:rsidRDefault="005A005F" w:rsidP="00230D29"/>
    <w:sectPr w:rsidR="005A005F" w:rsidSect="00DC43C8">
      <w:headerReference w:type="default" r:id="rId31"/>
      <w:footerReference w:type="default" r:id="rId32"/>
      <w:pgSz w:w="12240" w:h="15840"/>
      <w:pgMar w:top="1440" w:right="135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73D14" w14:textId="77777777" w:rsidR="00574DB8" w:rsidRDefault="00574DB8" w:rsidP="00171C8E">
      <w:pPr>
        <w:spacing w:after="0" w:line="240" w:lineRule="auto"/>
      </w:pPr>
      <w:r>
        <w:separator/>
      </w:r>
    </w:p>
  </w:endnote>
  <w:endnote w:type="continuationSeparator" w:id="0">
    <w:p w14:paraId="44F17FAF" w14:textId="77777777" w:rsidR="00574DB8" w:rsidRDefault="00574DB8" w:rsidP="00171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D5FE8" w14:textId="6E9776F5" w:rsidR="00105413" w:rsidRDefault="00105413">
    <w:pPr>
      <w:pStyle w:val="Footer"/>
    </w:pPr>
    <w:r>
      <w:t>© 201</w:t>
    </w:r>
    <w:r w:rsidR="00FD7A98">
      <w:t>9</w:t>
    </w:r>
    <w:r>
      <w:t xml:space="preserve"> </w:t>
    </w:r>
    <w:proofErr w:type="spellStart"/>
    <w:r>
      <w:t>TagniFi</w:t>
    </w:r>
    <w:proofErr w:type="spellEnd"/>
    <w:r>
      <w:t>, LLC. All rights reserved.</w:t>
    </w:r>
    <w:r>
      <w:tab/>
    </w:r>
    <w:r>
      <w:tab/>
      <w:t xml:space="preserve">Page </w:t>
    </w:r>
    <w:r>
      <w:fldChar w:fldCharType="begin"/>
    </w:r>
    <w:r>
      <w:instrText xml:space="preserve"> PAGE   \* MERGEFORMAT </w:instrText>
    </w:r>
    <w:r>
      <w:fldChar w:fldCharType="separate"/>
    </w:r>
    <w:r>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A3594" w14:textId="77777777" w:rsidR="00574DB8" w:rsidRDefault="00574DB8" w:rsidP="00171C8E">
      <w:pPr>
        <w:spacing w:after="0" w:line="240" w:lineRule="auto"/>
      </w:pPr>
      <w:r>
        <w:separator/>
      </w:r>
    </w:p>
  </w:footnote>
  <w:footnote w:type="continuationSeparator" w:id="0">
    <w:p w14:paraId="07A18C27" w14:textId="77777777" w:rsidR="00574DB8" w:rsidRDefault="00574DB8" w:rsidP="00171C8E">
      <w:pPr>
        <w:spacing w:after="0" w:line="240" w:lineRule="auto"/>
      </w:pPr>
      <w:r>
        <w:continuationSeparator/>
      </w:r>
    </w:p>
  </w:footnote>
  <w:footnote w:id="1">
    <w:p w14:paraId="34146366" w14:textId="57CD0B8F" w:rsidR="00105413" w:rsidRPr="000322F4" w:rsidRDefault="00105413">
      <w:pPr>
        <w:pStyle w:val="FootnoteText"/>
        <w:rPr>
          <w:rFonts w:cstheme="minorHAnsi"/>
          <w:sz w:val="16"/>
          <w:szCs w:val="16"/>
          <w:lang w:val="en-PH"/>
        </w:rPr>
      </w:pPr>
      <w:r w:rsidRPr="000322F4">
        <w:rPr>
          <w:rStyle w:val="FootnoteReference"/>
          <w:rFonts w:cstheme="minorHAnsi"/>
          <w:sz w:val="16"/>
          <w:szCs w:val="16"/>
        </w:rPr>
        <w:footnoteRef/>
      </w:r>
      <w:r w:rsidRPr="000322F4">
        <w:rPr>
          <w:rFonts w:cstheme="minorHAnsi"/>
          <w:sz w:val="16"/>
          <w:szCs w:val="16"/>
        </w:rPr>
        <w:t xml:space="preserve"> </w:t>
      </w:r>
      <w:r w:rsidRPr="000322F4">
        <w:rPr>
          <w:rFonts w:cstheme="minorHAnsi"/>
          <w:i/>
          <w:iCs/>
          <w:color w:val="222222"/>
          <w:sz w:val="16"/>
          <w:szCs w:val="16"/>
          <w:shd w:val="clear" w:color="auto" w:fill="FFFFFF"/>
        </w:rPr>
        <w:t>U.S. Energy Information Administration, Crude Oil Prices: West Texas Intermediate (WTI) – Cushing, Oklahoma [MCOILWTICO], retrieved from FRED, Federal Reserve Bank of St. Louis; </w:t>
      </w:r>
      <w:hyperlink r:id="rId1" w:history="1">
        <w:r w:rsidRPr="000322F4">
          <w:rPr>
            <w:rStyle w:val="Hyperlink"/>
            <w:rFonts w:cstheme="minorHAnsi"/>
            <w:i/>
            <w:iCs/>
            <w:sz w:val="16"/>
            <w:szCs w:val="16"/>
            <w:shd w:val="clear" w:color="auto" w:fill="FFFFFF"/>
          </w:rPr>
          <w:t>https://fred.stlouisfed.org/series/MCOILWTICO</w:t>
        </w:r>
      </w:hyperlink>
      <w:r w:rsidRPr="000322F4">
        <w:rPr>
          <w:rFonts w:cstheme="minorHAnsi"/>
          <w:i/>
          <w:iCs/>
          <w:color w:val="222222"/>
          <w:sz w:val="16"/>
          <w:szCs w:val="16"/>
          <w:shd w:val="clear" w:color="auto" w:fill="FFFFFF"/>
        </w:rPr>
        <w:t xml:space="preserve">, </w:t>
      </w:r>
      <w:r>
        <w:rPr>
          <w:rFonts w:cstheme="minorHAnsi"/>
          <w:i/>
          <w:iCs/>
          <w:color w:val="222222"/>
          <w:sz w:val="16"/>
          <w:szCs w:val="16"/>
          <w:shd w:val="clear" w:color="auto" w:fill="FFFFFF"/>
        </w:rPr>
        <w:t>March 11, 2019</w:t>
      </w:r>
      <w:r w:rsidRPr="000322F4">
        <w:rPr>
          <w:rFonts w:cstheme="minorHAnsi"/>
          <w:i/>
          <w:iCs/>
          <w:color w:val="222222"/>
          <w:sz w:val="16"/>
          <w:szCs w:val="16"/>
          <w:shd w:val="clear" w:color="auto" w:fill="FFFFFF"/>
        </w:rPr>
        <w:t>.</w:t>
      </w:r>
    </w:p>
  </w:footnote>
  <w:footnote w:id="2">
    <w:p w14:paraId="04EBBD96" w14:textId="29B6227D" w:rsidR="00105413" w:rsidRPr="000322F4" w:rsidRDefault="00105413">
      <w:pPr>
        <w:pStyle w:val="FootnoteText"/>
        <w:rPr>
          <w:sz w:val="16"/>
          <w:szCs w:val="16"/>
          <w:lang w:val="en-PH"/>
        </w:rPr>
      </w:pPr>
      <w:r w:rsidRPr="000322F4">
        <w:rPr>
          <w:rStyle w:val="FootnoteReference"/>
          <w:sz w:val="16"/>
          <w:szCs w:val="16"/>
        </w:rPr>
        <w:footnoteRef/>
      </w:r>
      <w:r w:rsidRPr="000322F4">
        <w:rPr>
          <w:sz w:val="16"/>
          <w:szCs w:val="16"/>
        </w:rPr>
        <w:t xml:space="preserve"> </w:t>
      </w:r>
      <w:r w:rsidRPr="000322F4">
        <w:rPr>
          <w:rFonts w:cstheme="minorHAnsi"/>
          <w:i/>
          <w:iCs/>
          <w:color w:val="222222"/>
          <w:sz w:val="16"/>
          <w:szCs w:val="16"/>
          <w:shd w:val="clear" w:color="auto" w:fill="FFFFFF"/>
        </w:rPr>
        <w:t>Board of Governors of the Federal Reserve System (US), Trade Weighted U.S. Dollar Index: Broad [TWEXB], retrieved from FRED, Federal Reserve Bank of St. Louis; </w:t>
      </w:r>
      <w:hyperlink r:id="rId2" w:history="1">
        <w:r w:rsidRPr="000322F4">
          <w:rPr>
            <w:rStyle w:val="Hyperlink"/>
            <w:rFonts w:cstheme="minorHAnsi"/>
            <w:i/>
            <w:iCs/>
            <w:sz w:val="16"/>
            <w:szCs w:val="16"/>
            <w:shd w:val="clear" w:color="auto" w:fill="FFFFFF"/>
          </w:rPr>
          <w:t>https://fred.stlouisfed.org/series/TWEXB</w:t>
        </w:r>
      </w:hyperlink>
      <w:r w:rsidRPr="000322F4">
        <w:rPr>
          <w:rFonts w:cstheme="minorHAnsi"/>
          <w:i/>
          <w:iCs/>
          <w:color w:val="222222"/>
          <w:sz w:val="16"/>
          <w:szCs w:val="16"/>
          <w:shd w:val="clear" w:color="auto" w:fill="FFFFFF"/>
        </w:rPr>
        <w:t xml:space="preserve">, </w:t>
      </w:r>
      <w:r>
        <w:rPr>
          <w:rFonts w:cstheme="minorHAnsi"/>
          <w:i/>
          <w:iCs/>
          <w:color w:val="222222"/>
          <w:sz w:val="16"/>
          <w:szCs w:val="16"/>
          <w:shd w:val="clear" w:color="auto" w:fill="FFFFFF"/>
        </w:rPr>
        <w:t>March 11, 2019</w:t>
      </w:r>
      <w:r w:rsidRPr="000322F4">
        <w:rPr>
          <w:rFonts w:cstheme="minorHAnsi"/>
          <w:i/>
          <w:iCs/>
          <w:color w:val="222222"/>
          <w:sz w:val="16"/>
          <w:szCs w:val="16"/>
          <w:shd w:val="clear" w:color="auto" w:fill="FFFFFF"/>
        </w:rPr>
        <w:t>.</w:t>
      </w:r>
    </w:p>
  </w:footnote>
  <w:footnote w:id="3">
    <w:p w14:paraId="517776FA" w14:textId="365BAEE1" w:rsidR="00105413" w:rsidRPr="00BF5CE2" w:rsidRDefault="00105413">
      <w:pPr>
        <w:pStyle w:val="FootnoteText"/>
        <w:rPr>
          <w:sz w:val="16"/>
          <w:szCs w:val="16"/>
          <w:lang w:val="en-PH"/>
        </w:rPr>
      </w:pPr>
      <w:r w:rsidRPr="00BF5CE2">
        <w:rPr>
          <w:rStyle w:val="FootnoteReference"/>
          <w:sz w:val="16"/>
          <w:szCs w:val="16"/>
        </w:rPr>
        <w:footnoteRef/>
      </w:r>
      <w:r w:rsidRPr="00BF5CE2">
        <w:rPr>
          <w:sz w:val="16"/>
          <w:szCs w:val="16"/>
        </w:rPr>
        <w:t xml:space="preserve"> </w:t>
      </w:r>
      <w:r w:rsidRPr="00BF5CE2">
        <w:rPr>
          <w:sz w:val="16"/>
          <w:szCs w:val="16"/>
          <w:lang w:val="en-PH"/>
        </w:rPr>
        <w:t>U.S. Bureau of Economic Analysis, Real Gross Domestic Product [GDPC1],</w:t>
      </w:r>
      <w:r w:rsidRPr="00BF5CE2">
        <w:rPr>
          <w:rFonts w:cstheme="minorHAnsi"/>
          <w:i/>
          <w:iCs/>
          <w:color w:val="222222"/>
          <w:sz w:val="16"/>
          <w:szCs w:val="16"/>
          <w:shd w:val="clear" w:color="auto" w:fill="FFFFFF"/>
        </w:rPr>
        <w:t xml:space="preserve"> retrieved from FRED, Federal Reserve Bank of St. Louis; </w:t>
      </w:r>
      <w:hyperlink r:id="rId3" w:history="1">
        <w:r w:rsidRPr="00BF5CE2">
          <w:rPr>
            <w:rStyle w:val="Hyperlink"/>
            <w:rFonts w:cstheme="minorHAnsi"/>
            <w:i/>
            <w:iCs/>
            <w:sz w:val="16"/>
            <w:szCs w:val="16"/>
            <w:shd w:val="clear" w:color="auto" w:fill="FFFFFF"/>
          </w:rPr>
          <w:t>https://fred.stlouisfed.org/series/GDPC1</w:t>
        </w:r>
      </w:hyperlink>
      <w:r w:rsidRPr="00BF5CE2">
        <w:rPr>
          <w:rFonts w:cstheme="minorHAnsi"/>
          <w:i/>
          <w:iCs/>
          <w:color w:val="222222"/>
          <w:sz w:val="16"/>
          <w:szCs w:val="16"/>
          <w:shd w:val="clear" w:color="auto" w:fill="FFFFFF"/>
        </w:rPr>
        <w:t xml:space="preserve">, </w:t>
      </w:r>
      <w:r>
        <w:rPr>
          <w:rFonts w:cstheme="minorHAnsi"/>
          <w:i/>
          <w:iCs/>
          <w:color w:val="222222"/>
          <w:sz w:val="16"/>
          <w:szCs w:val="16"/>
          <w:shd w:val="clear" w:color="auto" w:fill="FFFFFF"/>
        </w:rPr>
        <w:t>March 11, 2019</w:t>
      </w:r>
      <w:r w:rsidRPr="00BF5CE2">
        <w:rPr>
          <w:rFonts w:cstheme="minorHAnsi"/>
          <w:i/>
          <w:iCs/>
          <w:color w:val="222222"/>
          <w:sz w:val="16"/>
          <w:szCs w:val="16"/>
          <w:shd w:val="clear" w:color="auto" w:fill="FFFFFF"/>
        </w:rPr>
        <w:t>.</w:t>
      </w:r>
    </w:p>
  </w:footnote>
  <w:footnote w:id="4">
    <w:p w14:paraId="502F649B" w14:textId="101177F7" w:rsidR="00105413" w:rsidRPr="006A114D" w:rsidRDefault="00105413">
      <w:pPr>
        <w:pStyle w:val="FootnoteText"/>
        <w:rPr>
          <w:lang w:val="en-PH"/>
        </w:rPr>
      </w:pPr>
      <w:r w:rsidRPr="00BF5CE2">
        <w:rPr>
          <w:rStyle w:val="FootnoteReference"/>
          <w:sz w:val="16"/>
          <w:szCs w:val="16"/>
        </w:rPr>
        <w:footnoteRef/>
      </w:r>
      <w:r w:rsidRPr="00BF5CE2">
        <w:rPr>
          <w:sz w:val="16"/>
          <w:szCs w:val="16"/>
        </w:rPr>
        <w:t xml:space="preserve"> </w:t>
      </w:r>
      <w:r w:rsidRPr="00BF5CE2">
        <w:rPr>
          <w:sz w:val="16"/>
          <w:szCs w:val="16"/>
          <w:lang w:val="en-PH"/>
        </w:rPr>
        <w:t>Board of Governors of the Federal Reserve System (US), Industrial Production Index [INDPRO],</w:t>
      </w:r>
      <w:r w:rsidRPr="00BF5CE2">
        <w:rPr>
          <w:rFonts w:cstheme="minorHAnsi"/>
          <w:i/>
          <w:iCs/>
          <w:color w:val="222222"/>
          <w:sz w:val="16"/>
          <w:szCs w:val="16"/>
          <w:shd w:val="clear" w:color="auto" w:fill="FFFFFF"/>
        </w:rPr>
        <w:t xml:space="preserve"> retrieved from FRED, Federal Reserve Bank of St. Louis; </w:t>
      </w:r>
      <w:hyperlink r:id="rId4" w:history="1">
        <w:r w:rsidRPr="00BF5CE2">
          <w:rPr>
            <w:rStyle w:val="Hyperlink"/>
            <w:rFonts w:cstheme="minorHAnsi"/>
            <w:i/>
            <w:iCs/>
            <w:sz w:val="16"/>
            <w:szCs w:val="16"/>
            <w:shd w:val="clear" w:color="auto" w:fill="FFFFFF"/>
          </w:rPr>
          <w:t>https://fred.stlouisfed.org/series/INDPRO</w:t>
        </w:r>
      </w:hyperlink>
      <w:r w:rsidRPr="00BF5CE2">
        <w:rPr>
          <w:rFonts w:cstheme="minorHAnsi"/>
          <w:i/>
          <w:iCs/>
          <w:color w:val="222222"/>
          <w:sz w:val="16"/>
          <w:szCs w:val="16"/>
          <w:shd w:val="clear" w:color="auto" w:fill="FFFFFF"/>
        </w:rPr>
        <w:t xml:space="preserve">, </w:t>
      </w:r>
      <w:r>
        <w:rPr>
          <w:rFonts w:cstheme="minorHAnsi"/>
          <w:i/>
          <w:iCs/>
          <w:color w:val="222222"/>
          <w:sz w:val="16"/>
          <w:szCs w:val="16"/>
          <w:shd w:val="clear" w:color="auto" w:fill="FFFFFF"/>
        </w:rPr>
        <w:t>March 11, 2019</w:t>
      </w:r>
      <w:r w:rsidRPr="00BF5CE2">
        <w:rPr>
          <w:rFonts w:cstheme="minorHAnsi"/>
          <w:i/>
          <w:iCs/>
          <w:color w:val="222222"/>
          <w:sz w:val="16"/>
          <w:szCs w:val="16"/>
          <w:shd w:val="clear" w:color="auto" w:fill="FFFFFF"/>
        </w:rPr>
        <w:t>.</w:t>
      </w:r>
    </w:p>
  </w:footnote>
  <w:footnote w:id="5">
    <w:p w14:paraId="7E280A3C" w14:textId="27C039DC" w:rsidR="00105413" w:rsidRPr="00BF5CE2" w:rsidRDefault="00105413">
      <w:pPr>
        <w:pStyle w:val="FootnoteText"/>
        <w:rPr>
          <w:sz w:val="16"/>
          <w:szCs w:val="16"/>
          <w:lang w:val="en-PH"/>
        </w:rPr>
      </w:pPr>
      <w:r w:rsidRPr="00BF5CE2">
        <w:rPr>
          <w:rStyle w:val="FootnoteReference"/>
          <w:sz w:val="16"/>
          <w:szCs w:val="16"/>
        </w:rPr>
        <w:footnoteRef/>
      </w:r>
      <w:r w:rsidRPr="00BF5CE2">
        <w:rPr>
          <w:sz w:val="16"/>
          <w:szCs w:val="16"/>
        </w:rPr>
        <w:t xml:space="preserve"> </w:t>
      </w:r>
      <w:r w:rsidRPr="00BF5CE2">
        <w:rPr>
          <w:sz w:val="16"/>
          <w:szCs w:val="16"/>
          <w:lang w:val="en-PH"/>
        </w:rPr>
        <w:t xml:space="preserve">Board of Governors of the Federal Reserve System (US), 1-Year </w:t>
      </w:r>
      <w:r>
        <w:rPr>
          <w:sz w:val="16"/>
          <w:szCs w:val="16"/>
          <w:lang w:val="en-PH"/>
        </w:rPr>
        <w:t xml:space="preserve">to 10-Year </w:t>
      </w:r>
      <w:r w:rsidRPr="00BF5CE2">
        <w:rPr>
          <w:sz w:val="16"/>
          <w:szCs w:val="16"/>
          <w:lang w:val="en-PH"/>
        </w:rPr>
        <w:t>Treasury Constant Maturity Rate [IDGS1</w:t>
      </w:r>
      <w:r>
        <w:rPr>
          <w:sz w:val="16"/>
          <w:szCs w:val="16"/>
          <w:lang w:val="en-PH"/>
        </w:rPr>
        <w:t xml:space="preserve"> – IDGS30</w:t>
      </w:r>
      <w:r w:rsidRPr="00BF5CE2">
        <w:rPr>
          <w:sz w:val="16"/>
          <w:szCs w:val="16"/>
          <w:lang w:val="en-PH"/>
        </w:rPr>
        <w:t>],</w:t>
      </w:r>
      <w:r w:rsidRPr="00BF5CE2">
        <w:rPr>
          <w:rFonts w:cstheme="minorHAnsi"/>
          <w:i/>
          <w:iCs/>
          <w:color w:val="222222"/>
          <w:sz w:val="16"/>
          <w:szCs w:val="16"/>
          <w:shd w:val="clear" w:color="auto" w:fill="FFFFFF"/>
        </w:rPr>
        <w:t xml:space="preserve"> retrieved from FRED, Federal Reserve Bank of St. Louis; </w:t>
      </w:r>
      <w:hyperlink r:id="rId5" w:history="1">
        <w:r w:rsidRPr="00BF5CE2">
          <w:rPr>
            <w:rStyle w:val="Hyperlink"/>
            <w:rFonts w:cstheme="minorHAnsi"/>
            <w:i/>
            <w:iCs/>
            <w:sz w:val="16"/>
            <w:szCs w:val="16"/>
            <w:shd w:val="clear" w:color="auto" w:fill="FFFFFF"/>
          </w:rPr>
          <w:t>https://fred.stlouisfed.org</w:t>
        </w:r>
      </w:hyperlink>
      <w:r w:rsidRPr="00BF5CE2">
        <w:rPr>
          <w:rFonts w:cstheme="minorHAnsi"/>
          <w:i/>
          <w:iCs/>
          <w:color w:val="222222"/>
          <w:sz w:val="16"/>
          <w:szCs w:val="16"/>
          <w:shd w:val="clear" w:color="auto" w:fill="FFFFFF"/>
        </w:rPr>
        <w:t xml:space="preserve">, </w:t>
      </w:r>
      <w:r>
        <w:rPr>
          <w:rFonts w:cstheme="minorHAnsi"/>
          <w:i/>
          <w:iCs/>
          <w:color w:val="222222"/>
          <w:sz w:val="16"/>
          <w:szCs w:val="16"/>
          <w:shd w:val="clear" w:color="auto" w:fill="FFFFFF"/>
        </w:rPr>
        <w:t>March 11, 2019</w:t>
      </w:r>
      <w:r w:rsidRPr="00BF5CE2">
        <w:rPr>
          <w:rFonts w:cstheme="minorHAnsi"/>
          <w:i/>
          <w:iCs/>
          <w:color w:val="222222"/>
          <w:sz w:val="16"/>
          <w:szCs w:val="16"/>
          <w:shd w:val="clear" w:color="auto" w:fill="FFFFFF"/>
        </w:rPr>
        <w:t>.</w:t>
      </w:r>
    </w:p>
  </w:footnote>
  <w:footnote w:id="6">
    <w:p w14:paraId="35FA6FE7" w14:textId="6D4A0A5B" w:rsidR="00105413" w:rsidRPr="00BF5CE2" w:rsidRDefault="00105413">
      <w:pPr>
        <w:pStyle w:val="FootnoteText"/>
        <w:rPr>
          <w:sz w:val="16"/>
          <w:szCs w:val="16"/>
          <w:lang w:val="en-PH"/>
        </w:rPr>
      </w:pPr>
      <w:r w:rsidRPr="00BF5CE2">
        <w:rPr>
          <w:rStyle w:val="FootnoteReference"/>
          <w:sz w:val="16"/>
          <w:szCs w:val="16"/>
        </w:rPr>
        <w:footnoteRef/>
      </w:r>
      <w:r w:rsidRPr="00BF5CE2">
        <w:rPr>
          <w:sz w:val="16"/>
          <w:szCs w:val="16"/>
        </w:rPr>
        <w:t xml:space="preserve"> </w:t>
      </w:r>
      <w:r w:rsidRPr="00BF5CE2">
        <w:rPr>
          <w:sz w:val="16"/>
          <w:szCs w:val="16"/>
          <w:lang w:val="en-PH"/>
        </w:rPr>
        <w:t>Board of Governors of the Federal Reserve System (US), Effective Federal Funds Rate [FEDFUNDS],</w:t>
      </w:r>
      <w:r w:rsidRPr="00BF5CE2">
        <w:rPr>
          <w:rFonts w:cstheme="minorHAnsi"/>
          <w:i/>
          <w:iCs/>
          <w:color w:val="222222"/>
          <w:sz w:val="16"/>
          <w:szCs w:val="16"/>
          <w:shd w:val="clear" w:color="auto" w:fill="FFFFFF"/>
        </w:rPr>
        <w:t xml:space="preserve"> retrieved from FRED, Federal Reserve Bank of St. Louis; </w:t>
      </w:r>
      <w:hyperlink r:id="rId6" w:history="1">
        <w:r w:rsidRPr="00BF5CE2">
          <w:rPr>
            <w:rStyle w:val="Hyperlink"/>
            <w:rFonts w:cstheme="minorHAnsi"/>
            <w:i/>
            <w:iCs/>
            <w:sz w:val="16"/>
            <w:szCs w:val="16"/>
            <w:shd w:val="clear" w:color="auto" w:fill="FFFFFF"/>
          </w:rPr>
          <w:t>https://fred.stlouisfed.org/series/FEDFUNDS</w:t>
        </w:r>
      </w:hyperlink>
      <w:r w:rsidRPr="00BF5CE2">
        <w:rPr>
          <w:rFonts w:cstheme="minorHAnsi"/>
          <w:i/>
          <w:iCs/>
          <w:color w:val="222222"/>
          <w:sz w:val="16"/>
          <w:szCs w:val="16"/>
          <w:shd w:val="clear" w:color="auto" w:fill="FFFFFF"/>
        </w:rPr>
        <w:t xml:space="preserve">, </w:t>
      </w:r>
      <w:r>
        <w:rPr>
          <w:rFonts w:cstheme="minorHAnsi"/>
          <w:i/>
          <w:iCs/>
          <w:color w:val="222222"/>
          <w:sz w:val="16"/>
          <w:szCs w:val="16"/>
          <w:shd w:val="clear" w:color="auto" w:fill="FFFFFF"/>
        </w:rPr>
        <w:t>March 11, 2019</w:t>
      </w:r>
      <w:r w:rsidRPr="00BF5CE2">
        <w:rPr>
          <w:rFonts w:cstheme="minorHAnsi"/>
          <w:i/>
          <w:iCs/>
          <w:color w:val="222222"/>
          <w:sz w:val="16"/>
          <w:szCs w:val="16"/>
          <w:shd w:val="clear" w:color="auto" w:fill="FFFFFF"/>
        </w:rPr>
        <w:t>.</w:t>
      </w:r>
    </w:p>
  </w:footnote>
  <w:footnote w:id="7">
    <w:p w14:paraId="5D92A033" w14:textId="63A160D7" w:rsidR="00105413" w:rsidRPr="004759DB" w:rsidRDefault="00105413">
      <w:pPr>
        <w:pStyle w:val="FootnoteText"/>
        <w:rPr>
          <w:lang w:val="en-PH"/>
        </w:rPr>
      </w:pPr>
      <w:r w:rsidRPr="00BF5CE2">
        <w:rPr>
          <w:rStyle w:val="FootnoteReference"/>
          <w:sz w:val="16"/>
          <w:szCs w:val="16"/>
        </w:rPr>
        <w:footnoteRef/>
      </w:r>
      <w:r w:rsidRPr="00BF5CE2">
        <w:rPr>
          <w:sz w:val="16"/>
          <w:szCs w:val="16"/>
        </w:rPr>
        <w:t xml:space="preserve"> </w:t>
      </w:r>
      <w:r w:rsidRPr="00BF5CE2">
        <w:rPr>
          <w:sz w:val="16"/>
          <w:szCs w:val="16"/>
          <w:lang w:val="en-PH"/>
        </w:rPr>
        <w:t>Board of Governors of the Federal Reserve System (US), 10-Year Treasury Constant Maturity Rate [DGS10],</w:t>
      </w:r>
      <w:r w:rsidRPr="00BF5CE2">
        <w:rPr>
          <w:rFonts w:cstheme="minorHAnsi"/>
          <w:i/>
          <w:iCs/>
          <w:color w:val="222222"/>
          <w:sz w:val="16"/>
          <w:szCs w:val="16"/>
          <w:shd w:val="clear" w:color="auto" w:fill="FFFFFF"/>
        </w:rPr>
        <w:t xml:space="preserve"> retrieved from FRED, Federal Reserve Bank of St. Louis; </w:t>
      </w:r>
      <w:hyperlink r:id="rId7" w:history="1">
        <w:r w:rsidRPr="00BF5CE2">
          <w:rPr>
            <w:rStyle w:val="Hyperlink"/>
            <w:rFonts w:cstheme="minorHAnsi"/>
            <w:i/>
            <w:iCs/>
            <w:sz w:val="16"/>
            <w:szCs w:val="16"/>
            <w:shd w:val="clear" w:color="auto" w:fill="FFFFFF"/>
          </w:rPr>
          <w:t>https://fred.stlouisfed.org/series/DGS10</w:t>
        </w:r>
      </w:hyperlink>
      <w:r w:rsidRPr="00BF5CE2">
        <w:rPr>
          <w:rFonts w:cstheme="minorHAnsi"/>
          <w:i/>
          <w:iCs/>
          <w:color w:val="222222"/>
          <w:sz w:val="16"/>
          <w:szCs w:val="16"/>
          <w:shd w:val="clear" w:color="auto" w:fill="FFFFFF"/>
        </w:rPr>
        <w:t xml:space="preserve">, </w:t>
      </w:r>
      <w:r>
        <w:rPr>
          <w:rFonts w:cstheme="minorHAnsi"/>
          <w:i/>
          <w:iCs/>
          <w:color w:val="222222"/>
          <w:sz w:val="16"/>
          <w:szCs w:val="16"/>
          <w:shd w:val="clear" w:color="auto" w:fill="FFFFFF"/>
        </w:rPr>
        <w:t>March 11, 2019</w:t>
      </w:r>
      <w:r w:rsidRPr="00BF5CE2">
        <w:rPr>
          <w:rFonts w:cstheme="minorHAnsi"/>
          <w:i/>
          <w:iCs/>
          <w:color w:val="222222"/>
          <w:sz w:val="16"/>
          <w:szCs w:val="16"/>
          <w:shd w:val="clear" w:color="auto" w:fill="FFFFFF"/>
        </w:rPr>
        <w:t>.</w:t>
      </w:r>
    </w:p>
  </w:footnote>
  <w:footnote w:id="8">
    <w:p w14:paraId="29E4EDD1" w14:textId="29571AD4" w:rsidR="00105413" w:rsidRPr="00BF5CE2" w:rsidRDefault="00105413">
      <w:pPr>
        <w:pStyle w:val="FootnoteText"/>
        <w:rPr>
          <w:sz w:val="16"/>
          <w:szCs w:val="16"/>
          <w:lang w:val="en-PH"/>
        </w:rPr>
      </w:pPr>
      <w:r w:rsidRPr="00BF5CE2">
        <w:rPr>
          <w:rStyle w:val="FootnoteReference"/>
          <w:sz w:val="16"/>
          <w:szCs w:val="16"/>
        </w:rPr>
        <w:footnoteRef/>
      </w:r>
      <w:r w:rsidRPr="00BF5CE2">
        <w:rPr>
          <w:sz w:val="16"/>
          <w:szCs w:val="16"/>
        </w:rPr>
        <w:t xml:space="preserve"> </w:t>
      </w:r>
      <w:r w:rsidRPr="00BF5CE2">
        <w:rPr>
          <w:sz w:val="16"/>
          <w:szCs w:val="16"/>
          <w:lang w:val="en-PH"/>
        </w:rPr>
        <w:t>Moody’s, Moody’s Seasoned Baa Corporate Bond Yield [BAAS],</w:t>
      </w:r>
      <w:r w:rsidRPr="00BF5CE2">
        <w:rPr>
          <w:rFonts w:cstheme="minorHAnsi"/>
          <w:i/>
          <w:iCs/>
          <w:color w:val="222222"/>
          <w:sz w:val="16"/>
          <w:szCs w:val="16"/>
          <w:shd w:val="clear" w:color="auto" w:fill="FFFFFF"/>
        </w:rPr>
        <w:t xml:space="preserve"> retrieved from FRED, Federal Reserve Bank of St. Louis; </w:t>
      </w:r>
      <w:hyperlink r:id="rId8" w:history="1">
        <w:r w:rsidRPr="00BF5CE2">
          <w:rPr>
            <w:rStyle w:val="Hyperlink"/>
            <w:rFonts w:cstheme="minorHAnsi"/>
            <w:i/>
            <w:iCs/>
            <w:sz w:val="16"/>
            <w:szCs w:val="16"/>
            <w:shd w:val="clear" w:color="auto" w:fill="FFFFFF"/>
          </w:rPr>
          <w:t>https://fred.stlouisfed.org/series/BAA</w:t>
        </w:r>
      </w:hyperlink>
      <w:r w:rsidRPr="00BF5CE2">
        <w:rPr>
          <w:rFonts w:cstheme="minorHAnsi"/>
          <w:i/>
          <w:iCs/>
          <w:color w:val="222222"/>
          <w:sz w:val="16"/>
          <w:szCs w:val="16"/>
          <w:shd w:val="clear" w:color="auto" w:fill="FFFFFF"/>
        </w:rPr>
        <w:t xml:space="preserve">, </w:t>
      </w:r>
      <w:r>
        <w:rPr>
          <w:rFonts w:cstheme="minorHAnsi"/>
          <w:i/>
          <w:iCs/>
          <w:color w:val="222222"/>
          <w:sz w:val="16"/>
          <w:szCs w:val="16"/>
          <w:shd w:val="clear" w:color="auto" w:fill="FFFFFF"/>
        </w:rPr>
        <w:t>March 11, 2019</w:t>
      </w:r>
      <w:r w:rsidRPr="00BF5CE2">
        <w:rPr>
          <w:rFonts w:cstheme="minorHAnsi"/>
          <w:i/>
          <w:iCs/>
          <w:color w:val="222222"/>
          <w:sz w:val="16"/>
          <w:szCs w:val="16"/>
          <w:shd w:val="clear" w:color="auto" w:fill="FFFFFF"/>
        </w:rPr>
        <w:t>.</w:t>
      </w:r>
    </w:p>
  </w:footnote>
  <w:footnote w:id="9">
    <w:p w14:paraId="4C9DB6C9" w14:textId="1BBFD955" w:rsidR="00105413" w:rsidRPr="0052077C" w:rsidRDefault="00105413">
      <w:pPr>
        <w:pStyle w:val="FootnoteText"/>
        <w:rPr>
          <w:lang w:val="en-PH"/>
        </w:rPr>
      </w:pPr>
      <w:r w:rsidRPr="00BF5CE2">
        <w:rPr>
          <w:rStyle w:val="FootnoteReference"/>
          <w:sz w:val="16"/>
          <w:szCs w:val="16"/>
        </w:rPr>
        <w:footnoteRef/>
      </w:r>
      <w:r w:rsidRPr="00BF5CE2">
        <w:rPr>
          <w:sz w:val="16"/>
          <w:szCs w:val="16"/>
        </w:rPr>
        <w:t xml:space="preserve"> </w:t>
      </w:r>
      <w:r w:rsidRPr="00BF5CE2">
        <w:rPr>
          <w:sz w:val="16"/>
          <w:szCs w:val="16"/>
          <w:lang w:val="en-PH"/>
        </w:rPr>
        <w:t>U.S. Bureau of Labor Statistics, All Employees: Total Nonfarm Payrolls [PAYEMS],</w:t>
      </w:r>
      <w:r w:rsidRPr="00BF5CE2">
        <w:rPr>
          <w:rFonts w:cstheme="minorHAnsi"/>
          <w:i/>
          <w:iCs/>
          <w:color w:val="222222"/>
          <w:sz w:val="16"/>
          <w:szCs w:val="16"/>
          <w:shd w:val="clear" w:color="auto" w:fill="FFFFFF"/>
        </w:rPr>
        <w:t xml:space="preserve"> retrieved from FRED, Federal Reserve Bank of St. Louis; </w:t>
      </w:r>
      <w:hyperlink r:id="rId9" w:history="1">
        <w:r w:rsidRPr="00BF5CE2">
          <w:rPr>
            <w:rStyle w:val="Hyperlink"/>
            <w:rFonts w:cstheme="minorHAnsi"/>
            <w:i/>
            <w:iCs/>
            <w:sz w:val="16"/>
            <w:szCs w:val="16"/>
            <w:shd w:val="clear" w:color="auto" w:fill="FFFFFF"/>
          </w:rPr>
          <w:t>https://fred.stlouisfed.org/series/PAYEMS</w:t>
        </w:r>
      </w:hyperlink>
      <w:r w:rsidRPr="00BF5CE2">
        <w:rPr>
          <w:rFonts w:cstheme="minorHAnsi"/>
          <w:i/>
          <w:iCs/>
          <w:color w:val="222222"/>
          <w:sz w:val="16"/>
          <w:szCs w:val="16"/>
          <w:shd w:val="clear" w:color="auto" w:fill="FFFFFF"/>
        </w:rPr>
        <w:t xml:space="preserve">, </w:t>
      </w:r>
      <w:r>
        <w:rPr>
          <w:rFonts w:cstheme="minorHAnsi"/>
          <w:i/>
          <w:iCs/>
          <w:color w:val="222222"/>
          <w:sz w:val="16"/>
          <w:szCs w:val="16"/>
          <w:shd w:val="clear" w:color="auto" w:fill="FFFFFF"/>
        </w:rPr>
        <w:t>March 11, 2019</w:t>
      </w:r>
      <w:r w:rsidRPr="00BF5CE2">
        <w:rPr>
          <w:rFonts w:cstheme="minorHAnsi"/>
          <w:i/>
          <w:iCs/>
          <w:color w:val="222222"/>
          <w:sz w:val="16"/>
          <w:szCs w:val="16"/>
          <w:shd w:val="clear" w:color="auto" w:fill="FFFFFF"/>
        </w:rPr>
        <w:t>.</w:t>
      </w:r>
    </w:p>
  </w:footnote>
  <w:footnote w:id="10">
    <w:p w14:paraId="7DEAA574" w14:textId="11ED7645" w:rsidR="00105413" w:rsidRPr="00BF5CE2" w:rsidRDefault="00105413">
      <w:pPr>
        <w:pStyle w:val="FootnoteText"/>
        <w:rPr>
          <w:sz w:val="16"/>
          <w:szCs w:val="16"/>
          <w:lang w:val="en-PH"/>
        </w:rPr>
      </w:pPr>
      <w:r w:rsidRPr="00BF5CE2">
        <w:rPr>
          <w:rStyle w:val="FootnoteReference"/>
          <w:sz w:val="16"/>
          <w:szCs w:val="16"/>
        </w:rPr>
        <w:footnoteRef/>
      </w:r>
      <w:r w:rsidRPr="00BF5CE2">
        <w:rPr>
          <w:sz w:val="16"/>
          <w:szCs w:val="16"/>
        </w:rPr>
        <w:t xml:space="preserve"> </w:t>
      </w:r>
      <w:r w:rsidRPr="00BF5CE2">
        <w:rPr>
          <w:sz w:val="16"/>
          <w:szCs w:val="16"/>
          <w:lang w:val="en-PH"/>
        </w:rPr>
        <w:t>U.S. Bureau of Labor Statistics, Civilian Unemployment Rate [UNRATE],</w:t>
      </w:r>
      <w:r w:rsidRPr="00BF5CE2">
        <w:rPr>
          <w:rFonts w:cstheme="minorHAnsi"/>
          <w:i/>
          <w:iCs/>
          <w:color w:val="222222"/>
          <w:sz w:val="16"/>
          <w:szCs w:val="16"/>
          <w:shd w:val="clear" w:color="auto" w:fill="FFFFFF"/>
        </w:rPr>
        <w:t xml:space="preserve"> retrieved from FRED, Federal Reserve Bank of St. Louis; </w:t>
      </w:r>
      <w:hyperlink r:id="rId10" w:history="1">
        <w:r w:rsidRPr="00BF5CE2">
          <w:rPr>
            <w:rStyle w:val="Hyperlink"/>
            <w:rFonts w:cstheme="minorHAnsi"/>
            <w:i/>
            <w:iCs/>
            <w:sz w:val="16"/>
            <w:szCs w:val="16"/>
            <w:shd w:val="clear" w:color="auto" w:fill="FFFFFF"/>
          </w:rPr>
          <w:t>https://fred.stlouisfed.org/series/UNRATE</w:t>
        </w:r>
      </w:hyperlink>
      <w:r w:rsidRPr="00BF5CE2">
        <w:rPr>
          <w:rFonts w:cstheme="minorHAnsi"/>
          <w:i/>
          <w:iCs/>
          <w:color w:val="222222"/>
          <w:sz w:val="16"/>
          <w:szCs w:val="16"/>
          <w:shd w:val="clear" w:color="auto" w:fill="FFFFFF"/>
        </w:rPr>
        <w:t xml:space="preserve">, </w:t>
      </w:r>
      <w:r>
        <w:rPr>
          <w:rFonts w:cstheme="minorHAnsi"/>
          <w:i/>
          <w:iCs/>
          <w:color w:val="222222"/>
          <w:sz w:val="16"/>
          <w:szCs w:val="16"/>
          <w:shd w:val="clear" w:color="auto" w:fill="FFFFFF"/>
        </w:rPr>
        <w:t>March 11, 2019</w:t>
      </w:r>
      <w:r w:rsidRPr="00BF5CE2">
        <w:rPr>
          <w:rFonts w:cstheme="minorHAnsi"/>
          <w:i/>
          <w:iCs/>
          <w:color w:val="222222"/>
          <w:sz w:val="16"/>
          <w:szCs w:val="16"/>
          <w:shd w:val="clear" w:color="auto" w:fill="FFFFFF"/>
        </w:rPr>
        <w:t>.</w:t>
      </w:r>
    </w:p>
  </w:footnote>
  <w:footnote w:id="11">
    <w:p w14:paraId="4135366E" w14:textId="4ECAA8CB" w:rsidR="00105413" w:rsidRPr="00BF5CE2" w:rsidRDefault="00105413">
      <w:pPr>
        <w:pStyle w:val="FootnoteText"/>
        <w:rPr>
          <w:sz w:val="16"/>
          <w:szCs w:val="16"/>
          <w:lang w:val="en-PH"/>
        </w:rPr>
      </w:pPr>
      <w:r w:rsidRPr="00BF5CE2">
        <w:rPr>
          <w:rStyle w:val="FootnoteReference"/>
          <w:sz w:val="16"/>
          <w:szCs w:val="16"/>
        </w:rPr>
        <w:footnoteRef/>
      </w:r>
      <w:r w:rsidRPr="00BF5CE2">
        <w:rPr>
          <w:sz w:val="16"/>
          <w:szCs w:val="16"/>
        </w:rPr>
        <w:t xml:space="preserve"> </w:t>
      </w:r>
      <w:r w:rsidRPr="00BF5CE2">
        <w:rPr>
          <w:sz w:val="16"/>
          <w:szCs w:val="16"/>
          <w:lang w:val="en-PH"/>
        </w:rPr>
        <w:t>U.S. Bureau of Labor Statistics, Consumer Price Index for All Urban Consumers: All Items [CPIAUCSL],</w:t>
      </w:r>
      <w:r w:rsidRPr="00BF5CE2">
        <w:rPr>
          <w:rFonts w:cstheme="minorHAnsi"/>
          <w:i/>
          <w:iCs/>
          <w:color w:val="222222"/>
          <w:sz w:val="16"/>
          <w:szCs w:val="16"/>
          <w:shd w:val="clear" w:color="auto" w:fill="FFFFFF"/>
        </w:rPr>
        <w:t xml:space="preserve"> retrieved from FRED, Federal Reserve Bank of St. Louis; </w:t>
      </w:r>
      <w:hyperlink r:id="rId11" w:history="1">
        <w:r w:rsidRPr="00BF5CE2">
          <w:rPr>
            <w:rStyle w:val="Hyperlink"/>
            <w:rFonts w:cstheme="minorHAnsi"/>
            <w:i/>
            <w:iCs/>
            <w:sz w:val="16"/>
            <w:szCs w:val="16"/>
            <w:shd w:val="clear" w:color="auto" w:fill="FFFFFF"/>
          </w:rPr>
          <w:t>https://fred.stlouisfed.org/series/CPIAUCSL</w:t>
        </w:r>
      </w:hyperlink>
      <w:r w:rsidRPr="00BF5CE2">
        <w:rPr>
          <w:rFonts w:cstheme="minorHAnsi"/>
          <w:i/>
          <w:iCs/>
          <w:color w:val="222222"/>
          <w:sz w:val="16"/>
          <w:szCs w:val="16"/>
          <w:shd w:val="clear" w:color="auto" w:fill="FFFFFF"/>
        </w:rPr>
        <w:t xml:space="preserve">, </w:t>
      </w:r>
      <w:r>
        <w:rPr>
          <w:rFonts w:cstheme="minorHAnsi"/>
          <w:i/>
          <w:iCs/>
          <w:color w:val="222222"/>
          <w:sz w:val="16"/>
          <w:szCs w:val="16"/>
          <w:shd w:val="clear" w:color="auto" w:fill="FFFFFF"/>
        </w:rPr>
        <w:t>March 11, 2019</w:t>
      </w:r>
      <w:r w:rsidRPr="00BF5CE2">
        <w:rPr>
          <w:rFonts w:cstheme="minorHAnsi"/>
          <w:i/>
          <w:iCs/>
          <w:color w:val="222222"/>
          <w:sz w:val="16"/>
          <w:szCs w:val="16"/>
          <w:shd w:val="clear" w:color="auto" w:fill="FFFFFF"/>
        </w:rPr>
        <w:t>.</w:t>
      </w:r>
    </w:p>
  </w:footnote>
  <w:footnote w:id="12">
    <w:p w14:paraId="2CF101DC" w14:textId="38EBE8EA" w:rsidR="00105413" w:rsidRPr="00CB1375" w:rsidRDefault="00105413">
      <w:pPr>
        <w:pStyle w:val="FootnoteText"/>
        <w:rPr>
          <w:lang w:val="en-PH"/>
        </w:rPr>
      </w:pPr>
      <w:r w:rsidRPr="00BF5CE2">
        <w:rPr>
          <w:rStyle w:val="FootnoteReference"/>
          <w:sz w:val="16"/>
          <w:szCs w:val="16"/>
        </w:rPr>
        <w:footnoteRef/>
      </w:r>
      <w:r w:rsidRPr="00BF5CE2">
        <w:rPr>
          <w:sz w:val="16"/>
          <w:szCs w:val="16"/>
        </w:rPr>
        <w:t xml:space="preserve"> </w:t>
      </w:r>
      <w:r w:rsidRPr="00BF5CE2">
        <w:rPr>
          <w:sz w:val="16"/>
          <w:szCs w:val="16"/>
          <w:lang w:val="en-PH"/>
        </w:rPr>
        <w:t>U.S. Bureau of Labor Statistics, Producer Price Index for All Commodities [PPIACO],</w:t>
      </w:r>
      <w:r w:rsidRPr="00BF5CE2">
        <w:rPr>
          <w:rFonts w:cstheme="minorHAnsi"/>
          <w:i/>
          <w:iCs/>
          <w:color w:val="222222"/>
          <w:sz w:val="16"/>
          <w:szCs w:val="16"/>
          <w:shd w:val="clear" w:color="auto" w:fill="FFFFFF"/>
        </w:rPr>
        <w:t xml:space="preserve"> retrieved from FRED, Federal Reserve Bank of St. Louis; </w:t>
      </w:r>
      <w:hyperlink r:id="rId12" w:history="1">
        <w:r w:rsidRPr="00BF5CE2">
          <w:rPr>
            <w:rStyle w:val="Hyperlink"/>
            <w:rFonts w:cstheme="minorHAnsi"/>
            <w:i/>
            <w:iCs/>
            <w:sz w:val="16"/>
            <w:szCs w:val="16"/>
            <w:shd w:val="clear" w:color="auto" w:fill="FFFFFF"/>
          </w:rPr>
          <w:t>https://fred.stlouisfed.org/series/PPIACO</w:t>
        </w:r>
      </w:hyperlink>
      <w:r w:rsidRPr="00BF5CE2">
        <w:rPr>
          <w:rFonts w:cstheme="minorHAnsi"/>
          <w:i/>
          <w:iCs/>
          <w:color w:val="222222"/>
          <w:sz w:val="16"/>
          <w:szCs w:val="16"/>
          <w:shd w:val="clear" w:color="auto" w:fill="FFFFFF"/>
        </w:rPr>
        <w:t xml:space="preserve">, </w:t>
      </w:r>
      <w:r>
        <w:rPr>
          <w:rFonts w:cstheme="minorHAnsi"/>
          <w:i/>
          <w:iCs/>
          <w:color w:val="222222"/>
          <w:sz w:val="16"/>
          <w:szCs w:val="16"/>
          <w:shd w:val="clear" w:color="auto" w:fill="FFFFFF"/>
        </w:rPr>
        <w:t>March 11, 2019</w:t>
      </w:r>
      <w:r w:rsidRPr="00BF5CE2">
        <w:rPr>
          <w:rFonts w:cstheme="minorHAnsi"/>
          <w:i/>
          <w:iCs/>
          <w:color w:val="222222"/>
          <w:sz w:val="16"/>
          <w:szCs w:val="16"/>
          <w:shd w:val="clear" w:color="auto" w:fill="FFFFFF"/>
        </w:rPr>
        <w:t>.</w:t>
      </w:r>
    </w:p>
  </w:footnote>
  <w:footnote w:id="13">
    <w:p w14:paraId="11221A52" w14:textId="0C6AD9A7" w:rsidR="00105413" w:rsidRPr="00BF5CE2" w:rsidRDefault="00105413">
      <w:pPr>
        <w:pStyle w:val="FootnoteText"/>
        <w:rPr>
          <w:sz w:val="16"/>
          <w:szCs w:val="16"/>
          <w:lang w:val="en-PH"/>
        </w:rPr>
      </w:pPr>
      <w:r w:rsidRPr="00BF5CE2">
        <w:rPr>
          <w:rStyle w:val="FootnoteReference"/>
          <w:sz w:val="16"/>
          <w:szCs w:val="16"/>
        </w:rPr>
        <w:footnoteRef/>
      </w:r>
      <w:r w:rsidRPr="00BF5CE2">
        <w:rPr>
          <w:sz w:val="16"/>
          <w:szCs w:val="16"/>
        </w:rPr>
        <w:t xml:space="preserve"> </w:t>
      </w:r>
      <w:r w:rsidRPr="00BF5CE2">
        <w:rPr>
          <w:sz w:val="16"/>
          <w:szCs w:val="16"/>
          <w:lang w:val="en-PH"/>
        </w:rPr>
        <w:t>U.S. Bureau of the Census, Housing Starts: Total: New Privately Owned Housing Units Started [HOUST],</w:t>
      </w:r>
      <w:r w:rsidRPr="00BF5CE2">
        <w:rPr>
          <w:rFonts w:cstheme="minorHAnsi"/>
          <w:i/>
          <w:iCs/>
          <w:color w:val="222222"/>
          <w:sz w:val="16"/>
          <w:szCs w:val="16"/>
          <w:shd w:val="clear" w:color="auto" w:fill="FFFFFF"/>
        </w:rPr>
        <w:t xml:space="preserve"> retrieved from FRED, Federal Reserve Bank of St. Louis; </w:t>
      </w:r>
      <w:hyperlink r:id="rId13" w:history="1">
        <w:r w:rsidRPr="00BF5CE2">
          <w:rPr>
            <w:rStyle w:val="Hyperlink"/>
            <w:rFonts w:cstheme="minorHAnsi"/>
            <w:i/>
            <w:iCs/>
            <w:sz w:val="16"/>
            <w:szCs w:val="16"/>
            <w:shd w:val="clear" w:color="auto" w:fill="FFFFFF"/>
          </w:rPr>
          <w:t>https://fred.stlouisfed.org/series/HOUST</w:t>
        </w:r>
      </w:hyperlink>
      <w:r w:rsidRPr="00BF5CE2">
        <w:rPr>
          <w:rFonts w:cstheme="minorHAnsi"/>
          <w:i/>
          <w:iCs/>
          <w:color w:val="222222"/>
          <w:sz w:val="16"/>
          <w:szCs w:val="16"/>
          <w:shd w:val="clear" w:color="auto" w:fill="FFFFFF"/>
        </w:rPr>
        <w:t xml:space="preserve">, </w:t>
      </w:r>
      <w:r>
        <w:rPr>
          <w:rFonts w:cstheme="minorHAnsi"/>
          <w:i/>
          <w:iCs/>
          <w:color w:val="222222"/>
          <w:sz w:val="16"/>
          <w:szCs w:val="16"/>
          <w:shd w:val="clear" w:color="auto" w:fill="FFFFFF"/>
        </w:rPr>
        <w:t>March 11, 2019</w:t>
      </w:r>
      <w:r w:rsidRPr="00BF5CE2">
        <w:rPr>
          <w:rFonts w:cstheme="minorHAnsi"/>
          <w:i/>
          <w:iCs/>
          <w:color w:val="222222"/>
          <w:sz w:val="16"/>
          <w:szCs w:val="16"/>
          <w:shd w:val="clear" w:color="auto" w:fill="FFFFFF"/>
        </w:rPr>
        <w:t>.</w:t>
      </w:r>
    </w:p>
  </w:footnote>
  <w:footnote w:id="14">
    <w:p w14:paraId="6A794CBD" w14:textId="1C2E5C96" w:rsidR="00105413" w:rsidRPr="00250313" w:rsidRDefault="00105413">
      <w:pPr>
        <w:pStyle w:val="FootnoteText"/>
        <w:rPr>
          <w:lang w:val="en-PH"/>
        </w:rPr>
      </w:pPr>
      <w:r w:rsidRPr="00BF5CE2">
        <w:rPr>
          <w:rStyle w:val="FootnoteReference"/>
          <w:sz w:val="16"/>
          <w:szCs w:val="16"/>
        </w:rPr>
        <w:footnoteRef/>
      </w:r>
      <w:r w:rsidRPr="00BF5CE2">
        <w:rPr>
          <w:sz w:val="16"/>
          <w:szCs w:val="16"/>
        </w:rPr>
        <w:t xml:space="preserve"> </w:t>
      </w:r>
      <w:r w:rsidRPr="00BF5CE2">
        <w:rPr>
          <w:sz w:val="16"/>
          <w:szCs w:val="16"/>
          <w:lang w:val="en-PH"/>
        </w:rPr>
        <w:t>Freddie Mac, 30-Year Fixed Rate Mortgage Average in the United States [MORTGAGE30US],</w:t>
      </w:r>
      <w:r w:rsidRPr="00BF5CE2">
        <w:rPr>
          <w:rFonts w:cstheme="minorHAnsi"/>
          <w:i/>
          <w:iCs/>
          <w:color w:val="222222"/>
          <w:sz w:val="16"/>
          <w:szCs w:val="16"/>
          <w:shd w:val="clear" w:color="auto" w:fill="FFFFFF"/>
        </w:rPr>
        <w:t xml:space="preserve"> retrieved from FRED, Federal Reserve Bank of St. Louis; </w:t>
      </w:r>
      <w:hyperlink r:id="rId14" w:history="1">
        <w:r w:rsidRPr="00BF5CE2">
          <w:rPr>
            <w:rStyle w:val="Hyperlink"/>
            <w:rFonts w:cstheme="minorHAnsi"/>
            <w:i/>
            <w:iCs/>
            <w:sz w:val="16"/>
            <w:szCs w:val="16"/>
            <w:shd w:val="clear" w:color="auto" w:fill="FFFFFF"/>
          </w:rPr>
          <w:t>https://fred.stlouisfed.org/series/MORTGAGE30US</w:t>
        </w:r>
      </w:hyperlink>
      <w:r w:rsidRPr="00BF5CE2">
        <w:rPr>
          <w:rFonts w:cstheme="minorHAnsi"/>
          <w:i/>
          <w:iCs/>
          <w:color w:val="222222"/>
          <w:sz w:val="16"/>
          <w:szCs w:val="16"/>
          <w:shd w:val="clear" w:color="auto" w:fill="FFFFFF"/>
        </w:rPr>
        <w:t xml:space="preserve">, </w:t>
      </w:r>
      <w:r>
        <w:rPr>
          <w:rFonts w:cstheme="minorHAnsi"/>
          <w:i/>
          <w:iCs/>
          <w:color w:val="222222"/>
          <w:sz w:val="16"/>
          <w:szCs w:val="16"/>
          <w:shd w:val="clear" w:color="auto" w:fill="FFFFFF"/>
        </w:rPr>
        <w:t>March 11, 2019</w:t>
      </w:r>
      <w:r w:rsidRPr="00BF5CE2">
        <w:rPr>
          <w:rFonts w:cstheme="minorHAnsi"/>
          <w:i/>
          <w:iCs/>
          <w:color w:val="222222"/>
          <w:sz w:val="16"/>
          <w:szCs w:val="16"/>
          <w:shd w:val="clear" w:color="auto" w:fill="FFFFFF"/>
        </w:rPr>
        <w:t>.</w:t>
      </w:r>
    </w:p>
  </w:footnote>
  <w:footnote w:id="15">
    <w:p w14:paraId="48E5411D" w14:textId="2DE998BD" w:rsidR="00105413" w:rsidRPr="00BF5CE2" w:rsidRDefault="00105413">
      <w:pPr>
        <w:pStyle w:val="FootnoteText"/>
        <w:rPr>
          <w:sz w:val="16"/>
          <w:szCs w:val="16"/>
          <w:lang w:val="en-PH"/>
        </w:rPr>
      </w:pPr>
      <w:r w:rsidRPr="00BF5CE2">
        <w:rPr>
          <w:rStyle w:val="FootnoteReference"/>
          <w:sz w:val="16"/>
          <w:szCs w:val="16"/>
        </w:rPr>
        <w:footnoteRef/>
      </w:r>
      <w:r w:rsidRPr="00BF5CE2">
        <w:rPr>
          <w:sz w:val="16"/>
          <w:szCs w:val="16"/>
        </w:rPr>
        <w:t xml:space="preserve"> </w:t>
      </w:r>
      <w:r w:rsidRPr="00BF5CE2">
        <w:rPr>
          <w:sz w:val="16"/>
          <w:szCs w:val="16"/>
          <w:lang w:val="en-PH"/>
        </w:rPr>
        <w:t>S&amp;P Down Jones Indices LLC, S&amp;P/Case-Shiller 20-City Composite Home Price Index [SPCS20RSA],</w:t>
      </w:r>
      <w:r w:rsidRPr="00BF5CE2">
        <w:rPr>
          <w:rFonts w:cstheme="minorHAnsi"/>
          <w:i/>
          <w:iCs/>
          <w:color w:val="222222"/>
          <w:sz w:val="16"/>
          <w:szCs w:val="16"/>
          <w:shd w:val="clear" w:color="auto" w:fill="FFFFFF"/>
        </w:rPr>
        <w:t xml:space="preserve"> retrieved from FRED, Federal Reserve Bank of St. Louis; </w:t>
      </w:r>
      <w:hyperlink r:id="rId15" w:history="1">
        <w:r w:rsidRPr="00BF5CE2">
          <w:rPr>
            <w:rStyle w:val="Hyperlink"/>
            <w:rFonts w:cstheme="minorHAnsi"/>
            <w:i/>
            <w:iCs/>
            <w:sz w:val="16"/>
            <w:szCs w:val="16"/>
            <w:shd w:val="clear" w:color="auto" w:fill="FFFFFF"/>
          </w:rPr>
          <w:t>https://fred.stlouisfed.org/series/SPCS20RSA</w:t>
        </w:r>
      </w:hyperlink>
      <w:r w:rsidRPr="00BF5CE2">
        <w:rPr>
          <w:rFonts w:cstheme="minorHAnsi"/>
          <w:i/>
          <w:iCs/>
          <w:color w:val="222222"/>
          <w:sz w:val="16"/>
          <w:szCs w:val="16"/>
          <w:shd w:val="clear" w:color="auto" w:fill="FFFFFF"/>
        </w:rPr>
        <w:t xml:space="preserve">, </w:t>
      </w:r>
      <w:r>
        <w:rPr>
          <w:rFonts w:cstheme="minorHAnsi"/>
          <w:i/>
          <w:iCs/>
          <w:color w:val="222222"/>
          <w:sz w:val="16"/>
          <w:szCs w:val="16"/>
          <w:shd w:val="clear" w:color="auto" w:fill="FFFFFF"/>
        </w:rPr>
        <w:t>March 11, 2019</w:t>
      </w:r>
      <w:r w:rsidRPr="00BF5CE2">
        <w:rPr>
          <w:rFonts w:cstheme="minorHAnsi"/>
          <w:i/>
          <w:iCs/>
          <w:color w:val="222222"/>
          <w:sz w:val="16"/>
          <w:szCs w:val="16"/>
          <w:shd w:val="clear" w:color="auto" w:fill="FFFFFF"/>
        </w:rPr>
        <w:t>.</w:t>
      </w:r>
    </w:p>
  </w:footnote>
  <w:footnote w:id="16">
    <w:p w14:paraId="3C84FE4A" w14:textId="7BEA7A73" w:rsidR="00105413" w:rsidRPr="00BF5CE2" w:rsidRDefault="00105413">
      <w:pPr>
        <w:pStyle w:val="FootnoteText"/>
        <w:rPr>
          <w:sz w:val="16"/>
          <w:szCs w:val="16"/>
          <w:lang w:val="en-PH"/>
        </w:rPr>
      </w:pPr>
      <w:r w:rsidRPr="00BF5CE2">
        <w:rPr>
          <w:rStyle w:val="FootnoteReference"/>
          <w:sz w:val="16"/>
          <w:szCs w:val="16"/>
        </w:rPr>
        <w:footnoteRef/>
      </w:r>
      <w:r w:rsidRPr="00BF5CE2">
        <w:rPr>
          <w:sz w:val="16"/>
          <w:szCs w:val="16"/>
          <w:lang w:val="en-PH"/>
        </w:rPr>
        <w:t xml:space="preserve"> U.S. Bureau of Economic Analysis, Personal Consumption Expenditures [PCE],</w:t>
      </w:r>
      <w:r w:rsidRPr="00BF5CE2">
        <w:rPr>
          <w:rFonts w:cstheme="minorHAnsi"/>
          <w:i/>
          <w:iCs/>
          <w:color w:val="222222"/>
          <w:sz w:val="16"/>
          <w:szCs w:val="16"/>
          <w:shd w:val="clear" w:color="auto" w:fill="FFFFFF"/>
        </w:rPr>
        <w:t xml:space="preserve"> retrieved from FRED, Federal Reserve Bank of St. Louis; </w:t>
      </w:r>
      <w:hyperlink r:id="rId16" w:history="1">
        <w:r w:rsidRPr="00BF5CE2">
          <w:rPr>
            <w:rStyle w:val="Hyperlink"/>
            <w:rFonts w:cstheme="minorHAnsi"/>
            <w:i/>
            <w:iCs/>
            <w:sz w:val="16"/>
            <w:szCs w:val="16"/>
            <w:shd w:val="clear" w:color="auto" w:fill="FFFFFF"/>
          </w:rPr>
          <w:t>https://fred.stlouisfed.org/series/PCE</w:t>
        </w:r>
      </w:hyperlink>
      <w:r w:rsidRPr="00BF5CE2">
        <w:rPr>
          <w:rFonts w:cstheme="minorHAnsi"/>
          <w:i/>
          <w:iCs/>
          <w:color w:val="222222"/>
          <w:sz w:val="16"/>
          <w:szCs w:val="16"/>
          <w:shd w:val="clear" w:color="auto" w:fill="FFFFFF"/>
        </w:rPr>
        <w:t xml:space="preserve">, </w:t>
      </w:r>
      <w:r>
        <w:rPr>
          <w:rFonts w:cstheme="minorHAnsi"/>
          <w:i/>
          <w:iCs/>
          <w:color w:val="222222"/>
          <w:sz w:val="16"/>
          <w:szCs w:val="16"/>
          <w:shd w:val="clear" w:color="auto" w:fill="FFFFFF"/>
        </w:rPr>
        <w:t>March 11, 2019</w:t>
      </w:r>
      <w:r w:rsidRPr="00BF5CE2">
        <w:rPr>
          <w:rFonts w:cstheme="minorHAnsi"/>
          <w:i/>
          <w:iCs/>
          <w:color w:val="222222"/>
          <w:sz w:val="16"/>
          <w:szCs w:val="16"/>
          <w:shd w:val="clear" w:color="auto" w:fill="FFFFFF"/>
        </w:rPr>
        <w:t>.</w:t>
      </w:r>
    </w:p>
  </w:footnote>
  <w:footnote w:id="17">
    <w:p w14:paraId="08E11874" w14:textId="3A8FEF90" w:rsidR="00105413" w:rsidRPr="00933E80" w:rsidRDefault="00105413">
      <w:pPr>
        <w:pStyle w:val="FootnoteText"/>
        <w:rPr>
          <w:lang w:val="en-PH"/>
        </w:rPr>
      </w:pPr>
      <w:r w:rsidRPr="00BF5CE2">
        <w:rPr>
          <w:rStyle w:val="FootnoteReference"/>
          <w:sz w:val="16"/>
          <w:szCs w:val="16"/>
        </w:rPr>
        <w:footnoteRef/>
      </w:r>
      <w:r w:rsidRPr="00BF5CE2">
        <w:rPr>
          <w:sz w:val="16"/>
          <w:szCs w:val="16"/>
        </w:rPr>
        <w:t xml:space="preserve"> </w:t>
      </w:r>
      <w:r w:rsidRPr="00BF5CE2">
        <w:rPr>
          <w:sz w:val="16"/>
          <w:szCs w:val="16"/>
          <w:lang w:val="en-PH"/>
        </w:rPr>
        <w:t>U.S. Bureau of Economic Analysis, Light Weight Vehicle Sales: Autos and Light Trucks [ALTSALES],</w:t>
      </w:r>
      <w:r w:rsidRPr="00BF5CE2">
        <w:rPr>
          <w:rFonts w:cstheme="minorHAnsi"/>
          <w:i/>
          <w:iCs/>
          <w:color w:val="222222"/>
          <w:sz w:val="16"/>
          <w:szCs w:val="16"/>
          <w:shd w:val="clear" w:color="auto" w:fill="FFFFFF"/>
        </w:rPr>
        <w:t xml:space="preserve"> retrieved from FRED, Federal Reserve Bank of St. Louis; </w:t>
      </w:r>
      <w:hyperlink r:id="rId17" w:history="1">
        <w:r w:rsidRPr="00BF5CE2">
          <w:rPr>
            <w:rStyle w:val="Hyperlink"/>
            <w:rFonts w:cstheme="minorHAnsi"/>
            <w:i/>
            <w:iCs/>
            <w:sz w:val="16"/>
            <w:szCs w:val="16"/>
            <w:shd w:val="clear" w:color="auto" w:fill="FFFFFF"/>
          </w:rPr>
          <w:t>https://fred.stlouisfed.org/series/ALTSALES</w:t>
        </w:r>
      </w:hyperlink>
      <w:r w:rsidRPr="00BF5CE2">
        <w:rPr>
          <w:rFonts w:cstheme="minorHAnsi"/>
          <w:i/>
          <w:iCs/>
          <w:color w:val="222222"/>
          <w:sz w:val="16"/>
          <w:szCs w:val="16"/>
          <w:shd w:val="clear" w:color="auto" w:fill="FFFFFF"/>
        </w:rPr>
        <w:t xml:space="preserve">, </w:t>
      </w:r>
      <w:r w:rsidR="005C532B">
        <w:rPr>
          <w:rFonts w:cstheme="minorHAnsi"/>
          <w:i/>
          <w:iCs/>
          <w:color w:val="222222"/>
          <w:sz w:val="16"/>
          <w:szCs w:val="16"/>
          <w:shd w:val="clear" w:color="auto" w:fill="FFFFFF"/>
        </w:rPr>
        <w:t>March 11, 2019</w:t>
      </w:r>
      <w:r w:rsidRPr="00BF5CE2">
        <w:rPr>
          <w:rFonts w:cstheme="minorHAnsi"/>
          <w:i/>
          <w:iCs/>
          <w:color w:val="222222"/>
          <w:sz w:val="16"/>
          <w:szCs w:val="16"/>
          <w:shd w:val="clear" w:color="auto" w:fill="FFFFFF"/>
        </w:rPr>
        <w:t>.</w:t>
      </w:r>
    </w:p>
  </w:footnote>
  <w:footnote w:id="18">
    <w:p w14:paraId="1CF53D3A" w14:textId="25E33DE7" w:rsidR="00105413" w:rsidRPr="00BF5CE2" w:rsidRDefault="00105413">
      <w:pPr>
        <w:pStyle w:val="FootnoteText"/>
        <w:rPr>
          <w:lang w:val="en-PH"/>
        </w:rPr>
      </w:pPr>
      <w:r w:rsidRPr="002B29C7">
        <w:rPr>
          <w:rStyle w:val="FootnoteReference"/>
          <w:sz w:val="16"/>
          <w:szCs w:val="16"/>
        </w:rPr>
        <w:footnoteRef/>
      </w:r>
      <w:r w:rsidRPr="002B29C7">
        <w:rPr>
          <w:sz w:val="16"/>
          <w:szCs w:val="16"/>
        </w:rPr>
        <w:t xml:space="preserve"> </w:t>
      </w:r>
      <w:r>
        <w:rPr>
          <w:sz w:val="16"/>
          <w:szCs w:val="16"/>
        </w:rPr>
        <w:t>Federal Reserve Bank of St. Louis</w:t>
      </w:r>
      <w:r w:rsidRPr="002B29C7">
        <w:rPr>
          <w:sz w:val="16"/>
          <w:szCs w:val="16"/>
          <w:lang w:val="en-PH"/>
        </w:rPr>
        <w:t xml:space="preserve">, </w:t>
      </w:r>
      <w:r>
        <w:rPr>
          <w:sz w:val="16"/>
          <w:szCs w:val="16"/>
          <w:lang w:val="en-PH"/>
        </w:rPr>
        <w:t>FOMC Summary of Economic Projections for the Growth Rate of Real Gross Domestic Product</w:t>
      </w:r>
      <w:r w:rsidRPr="002B29C7">
        <w:rPr>
          <w:sz w:val="16"/>
          <w:szCs w:val="16"/>
          <w:lang w:val="en-PH"/>
        </w:rPr>
        <w:t xml:space="preserve"> [</w:t>
      </w:r>
      <w:r>
        <w:rPr>
          <w:sz w:val="16"/>
          <w:szCs w:val="16"/>
          <w:lang w:val="en-PH"/>
        </w:rPr>
        <w:t>GDPC1CTM</w:t>
      </w:r>
      <w:r w:rsidRPr="002B29C7">
        <w:rPr>
          <w:sz w:val="16"/>
          <w:szCs w:val="16"/>
          <w:lang w:val="en-PH"/>
        </w:rPr>
        <w:t>],</w:t>
      </w:r>
      <w:r w:rsidRPr="002B29C7">
        <w:rPr>
          <w:rFonts w:cstheme="minorHAnsi"/>
          <w:i/>
          <w:iCs/>
          <w:color w:val="222222"/>
          <w:sz w:val="16"/>
          <w:szCs w:val="16"/>
          <w:shd w:val="clear" w:color="auto" w:fill="FFFFFF"/>
        </w:rPr>
        <w:t xml:space="preserve"> retrieved from FRED, Federal Reserve Bank of St. Louis; </w:t>
      </w:r>
      <w:hyperlink r:id="rId18" w:history="1">
        <w:r w:rsidRPr="00DF1D66">
          <w:rPr>
            <w:rStyle w:val="Hyperlink"/>
            <w:rFonts w:cstheme="minorHAnsi"/>
            <w:i/>
            <w:iCs/>
            <w:sz w:val="16"/>
            <w:szCs w:val="16"/>
            <w:shd w:val="clear" w:color="auto" w:fill="FFFFFF"/>
          </w:rPr>
          <w:t>https://fred.stlouisfed.org/series/GDPC1CTM</w:t>
        </w:r>
      </w:hyperlink>
      <w:r w:rsidRPr="002B29C7">
        <w:rPr>
          <w:rFonts w:cstheme="minorHAnsi"/>
          <w:i/>
          <w:iCs/>
          <w:color w:val="222222"/>
          <w:sz w:val="16"/>
          <w:szCs w:val="16"/>
          <w:shd w:val="clear" w:color="auto" w:fill="FFFFFF"/>
        </w:rPr>
        <w:t xml:space="preserve">, </w:t>
      </w:r>
      <w:r w:rsidR="005C532B">
        <w:rPr>
          <w:rFonts w:cstheme="minorHAnsi"/>
          <w:i/>
          <w:iCs/>
          <w:color w:val="222222"/>
          <w:sz w:val="16"/>
          <w:szCs w:val="16"/>
          <w:shd w:val="clear" w:color="auto" w:fill="FFFFFF"/>
        </w:rPr>
        <w:t>March 11, 2019</w:t>
      </w:r>
      <w:r w:rsidRPr="002B29C7">
        <w:rPr>
          <w:rFonts w:cstheme="minorHAnsi"/>
          <w:i/>
          <w:iCs/>
          <w:color w:val="222222"/>
          <w:sz w:val="16"/>
          <w:szCs w:val="16"/>
          <w:shd w:val="clear" w:color="auto" w:fill="FFFFFF"/>
        </w:rPr>
        <w:t>.</w:t>
      </w:r>
    </w:p>
  </w:footnote>
  <w:footnote w:id="19">
    <w:p w14:paraId="054982F6" w14:textId="0AB7647C" w:rsidR="00105413" w:rsidRPr="005D3CEF" w:rsidRDefault="00105413">
      <w:pPr>
        <w:pStyle w:val="FootnoteText"/>
        <w:rPr>
          <w:sz w:val="16"/>
          <w:szCs w:val="16"/>
          <w:lang w:val="en-PH"/>
        </w:rPr>
      </w:pPr>
      <w:r w:rsidRPr="005D3CEF">
        <w:rPr>
          <w:rStyle w:val="FootnoteReference"/>
          <w:sz w:val="16"/>
          <w:szCs w:val="16"/>
        </w:rPr>
        <w:footnoteRef/>
      </w:r>
      <w:r w:rsidRPr="005D3CEF">
        <w:rPr>
          <w:sz w:val="16"/>
          <w:szCs w:val="16"/>
        </w:rPr>
        <w:t xml:space="preserve"> Federal Reserve Bank of St. Louis</w:t>
      </w:r>
      <w:r w:rsidRPr="005D3CEF">
        <w:rPr>
          <w:sz w:val="16"/>
          <w:szCs w:val="16"/>
          <w:lang w:val="en-PH"/>
        </w:rPr>
        <w:t xml:space="preserve">, FOMC Summary of Economic Projections for the </w:t>
      </w:r>
      <w:r>
        <w:rPr>
          <w:sz w:val="16"/>
          <w:szCs w:val="16"/>
          <w:lang w:val="en-PH"/>
        </w:rPr>
        <w:t xml:space="preserve">Personal Consumption Expenditures Inflation Rate, Central Tendency, Midpoint </w:t>
      </w:r>
      <w:r w:rsidRPr="005D3CEF">
        <w:rPr>
          <w:sz w:val="16"/>
          <w:szCs w:val="16"/>
          <w:lang w:val="en-PH"/>
        </w:rPr>
        <w:t>[</w:t>
      </w:r>
      <w:r>
        <w:rPr>
          <w:sz w:val="16"/>
          <w:szCs w:val="16"/>
          <w:lang w:val="en-PH"/>
        </w:rPr>
        <w:t>PCECTPICTM</w:t>
      </w:r>
      <w:r w:rsidRPr="005D3CEF">
        <w:rPr>
          <w:sz w:val="16"/>
          <w:szCs w:val="16"/>
          <w:lang w:val="en-PH"/>
        </w:rPr>
        <w:t>],</w:t>
      </w:r>
      <w:r w:rsidRPr="005D3CEF">
        <w:rPr>
          <w:rFonts w:cstheme="minorHAnsi"/>
          <w:i/>
          <w:iCs/>
          <w:color w:val="222222"/>
          <w:sz w:val="16"/>
          <w:szCs w:val="16"/>
          <w:shd w:val="clear" w:color="auto" w:fill="FFFFFF"/>
        </w:rPr>
        <w:t xml:space="preserve"> retrieved from FRED, Federal Reserve Bank of St. Louis; </w:t>
      </w:r>
      <w:hyperlink r:id="rId19" w:history="1">
        <w:r w:rsidRPr="00DF1D66">
          <w:rPr>
            <w:rStyle w:val="Hyperlink"/>
            <w:rFonts w:cstheme="minorHAnsi"/>
            <w:i/>
            <w:iCs/>
            <w:sz w:val="16"/>
            <w:szCs w:val="16"/>
            <w:shd w:val="clear" w:color="auto" w:fill="FFFFFF"/>
          </w:rPr>
          <w:t>https://fred.stlouisfed.org/series/PCECTPICTM</w:t>
        </w:r>
      </w:hyperlink>
      <w:r w:rsidRPr="005D3CEF">
        <w:rPr>
          <w:rFonts w:cstheme="minorHAnsi"/>
          <w:i/>
          <w:iCs/>
          <w:color w:val="222222"/>
          <w:sz w:val="16"/>
          <w:szCs w:val="16"/>
          <w:shd w:val="clear" w:color="auto" w:fill="FFFFFF"/>
        </w:rPr>
        <w:t xml:space="preserve">, </w:t>
      </w:r>
      <w:r w:rsidR="005C532B">
        <w:rPr>
          <w:rFonts w:cstheme="minorHAnsi"/>
          <w:i/>
          <w:iCs/>
          <w:color w:val="222222"/>
          <w:sz w:val="16"/>
          <w:szCs w:val="16"/>
          <w:shd w:val="clear" w:color="auto" w:fill="FFFFFF"/>
        </w:rPr>
        <w:t>March 11, 2019</w:t>
      </w:r>
      <w:r w:rsidRPr="005D3CEF">
        <w:rPr>
          <w:rFonts w:cstheme="minorHAnsi"/>
          <w:i/>
          <w:iCs/>
          <w:color w:val="222222"/>
          <w:sz w:val="16"/>
          <w:szCs w:val="16"/>
          <w:shd w:val="clear" w:color="auto" w:fill="FFFFFF"/>
        </w:rPr>
        <w:t>.</w:t>
      </w:r>
    </w:p>
  </w:footnote>
  <w:footnote w:id="20">
    <w:p w14:paraId="4A7DBD07" w14:textId="04199CB4" w:rsidR="00105413" w:rsidRPr="00E72196" w:rsidRDefault="00105413">
      <w:pPr>
        <w:pStyle w:val="FootnoteText"/>
        <w:rPr>
          <w:lang w:val="en-PH"/>
        </w:rPr>
      </w:pPr>
      <w:r>
        <w:rPr>
          <w:rStyle w:val="FootnoteReference"/>
        </w:rPr>
        <w:footnoteRef/>
      </w:r>
      <w:r>
        <w:t xml:space="preserve"> </w:t>
      </w:r>
      <w:r w:rsidRPr="005D3CEF">
        <w:rPr>
          <w:sz w:val="16"/>
          <w:szCs w:val="16"/>
        </w:rPr>
        <w:t>Federal Reserve Bank of St. Louis</w:t>
      </w:r>
      <w:r w:rsidRPr="005D3CEF">
        <w:rPr>
          <w:sz w:val="16"/>
          <w:szCs w:val="16"/>
          <w:lang w:val="en-PH"/>
        </w:rPr>
        <w:t xml:space="preserve">, FOMC Summary of Economic Projections for the </w:t>
      </w:r>
      <w:r>
        <w:rPr>
          <w:sz w:val="16"/>
          <w:szCs w:val="16"/>
          <w:lang w:val="en-PH"/>
        </w:rPr>
        <w:t xml:space="preserve">Civilian Unemployment Rate, Central Tendency, Midpoint </w:t>
      </w:r>
      <w:r w:rsidRPr="005D3CEF">
        <w:rPr>
          <w:sz w:val="16"/>
          <w:szCs w:val="16"/>
          <w:lang w:val="en-PH"/>
        </w:rPr>
        <w:t>[</w:t>
      </w:r>
      <w:r>
        <w:rPr>
          <w:sz w:val="16"/>
          <w:szCs w:val="16"/>
          <w:lang w:val="en-PH"/>
        </w:rPr>
        <w:t>UNRATECTM</w:t>
      </w:r>
      <w:r w:rsidRPr="005D3CEF">
        <w:rPr>
          <w:sz w:val="16"/>
          <w:szCs w:val="16"/>
          <w:lang w:val="en-PH"/>
        </w:rPr>
        <w:t>],</w:t>
      </w:r>
      <w:r w:rsidRPr="005D3CEF">
        <w:rPr>
          <w:rFonts w:cstheme="minorHAnsi"/>
          <w:i/>
          <w:iCs/>
          <w:color w:val="222222"/>
          <w:sz w:val="16"/>
          <w:szCs w:val="16"/>
          <w:shd w:val="clear" w:color="auto" w:fill="FFFFFF"/>
        </w:rPr>
        <w:t xml:space="preserve"> retrieved from FRED, Federal Reserve Bank of St. Louis; </w:t>
      </w:r>
      <w:hyperlink r:id="rId20" w:history="1">
        <w:r w:rsidRPr="00DF1D66">
          <w:rPr>
            <w:rStyle w:val="Hyperlink"/>
            <w:rFonts w:cstheme="minorHAnsi"/>
            <w:i/>
            <w:iCs/>
            <w:sz w:val="16"/>
            <w:szCs w:val="16"/>
            <w:shd w:val="clear" w:color="auto" w:fill="FFFFFF"/>
          </w:rPr>
          <w:t>https://fred.stlouisfed.org/series/UNRATECTM</w:t>
        </w:r>
      </w:hyperlink>
      <w:r w:rsidRPr="005D3CEF">
        <w:rPr>
          <w:rFonts w:cstheme="minorHAnsi"/>
          <w:i/>
          <w:iCs/>
          <w:color w:val="222222"/>
          <w:sz w:val="16"/>
          <w:szCs w:val="16"/>
          <w:shd w:val="clear" w:color="auto" w:fill="FFFFFF"/>
        </w:rPr>
        <w:t xml:space="preserve">, </w:t>
      </w:r>
      <w:r w:rsidR="005C532B">
        <w:rPr>
          <w:rFonts w:cstheme="minorHAnsi"/>
          <w:i/>
          <w:iCs/>
          <w:color w:val="222222"/>
          <w:sz w:val="16"/>
          <w:szCs w:val="16"/>
          <w:shd w:val="clear" w:color="auto" w:fill="FFFFFF"/>
        </w:rPr>
        <w:t>March 11, 2019</w:t>
      </w:r>
      <w:r w:rsidRPr="005D3CEF">
        <w:rPr>
          <w:rFonts w:cstheme="minorHAnsi"/>
          <w:i/>
          <w:iCs/>
          <w:color w:val="222222"/>
          <w:sz w:val="16"/>
          <w:szCs w:val="16"/>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D5FE7" w14:textId="77777777" w:rsidR="00105413" w:rsidRPr="00460436" w:rsidRDefault="00105413" w:rsidP="00460436">
    <w:pPr>
      <w:pStyle w:val="Header"/>
      <w:jc w:val="right"/>
      <w:rPr>
        <w:rStyle w:val="IntenseEmphasis"/>
      </w:rPr>
    </w:pPr>
    <w:r w:rsidRPr="00460436">
      <w:rPr>
        <w:rStyle w:val="IntenseEmphasis"/>
      </w:rPr>
      <w:t>Quarterly Economic Update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F2D28"/>
    <w:multiLevelType w:val="hybridMultilevel"/>
    <w:tmpl w:val="3CC48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254B19"/>
    <w:multiLevelType w:val="hybridMultilevel"/>
    <w:tmpl w:val="82C2C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B907BB"/>
    <w:multiLevelType w:val="hybridMultilevel"/>
    <w:tmpl w:val="A0F67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1E6018"/>
    <w:multiLevelType w:val="hybridMultilevel"/>
    <w:tmpl w:val="62A6E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111"/>
    <w:rsid w:val="0000055B"/>
    <w:rsid w:val="000017CB"/>
    <w:rsid w:val="00005111"/>
    <w:rsid w:val="00014CBA"/>
    <w:rsid w:val="00021EA4"/>
    <w:rsid w:val="000248D0"/>
    <w:rsid w:val="00024E64"/>
    <w:rsid w:val="0002602B"/>
    <w:rsid w:val="00027E1E"/>
    <w:rsid w:val="0003136B"/>
    <w:rsid w:val="000322F4"/>
    <w:rsid w:val="00033B75"/>
    <w:rsid w:val="00035810"/>
    <w:rsid w:val="0003611B"/>
    <w:rsid w:val="00047034"/>
    <w:rsid w:val="0005198D"/>
    <w:rsid w:val="00052F94"/>
    <w:rsid w:val="00053E46"/>
    <w:rsid w:val="0005726F"/>
    <w:rsid w:val="00057711"/>
    <w:rsid w:val="00060AA5"/>
    <w:rsid w:val="000644DB"/>
    <w:rsid w:val="000650B3"/>
    <w:rsid w:val="00065E14"/>
    <w:rsid w:val="00071875"/>
    <w:rsid w:val="000738AD"/>
    <w:rsid w:val="00074123"/>
    <w:rsid w:val="000742F7"/>
    <w:rsid w:val="00076850"/>
    <w:rsid w:val="000807FF"/>
    <w:rsid w:val="00084604"/>
    <w:rsid w:val="00084C45"/>
    <w:rsid w:val="000874E3"/>
    <w:rsid w:val="00090DA6"/>
    <w:rsid w:val="00093D9A"/>
    <w:rsid w:val="00093EF4"/>
    <w:rsid w:val="000A0001"/>
    <w:rsid w:val="000A0FCA"/>
    <w:rsid w:val="000A1224"/>
    <w:rsid w:val="000A239B"/>
    <w:rsid w:val="000B0583"/>
    <w:rsid w:val="000B0B86"/>
    <w:rsid w:val="000B42F9"/>
    <w:rsid w:val="000B4F85"/>
    <w:rsid w:val="000B5DA2"/>
    <w:rsid w:val="000B6EBB"/>
    <w:rsid w:val="000C19DD"/>
    <w:rsid w:val="000C2E7D"/>
    <w:rsid w:val="000C71C7"/>
    <w:rsid w:val="000D47AB"/>
    <w:rsid w:val="000E3192"/>
    <w:rsid w:val="000E6A61"/>
    <w:rsid w:val="000F1648"/>
    <w:rsid w:val="000F59FF"/>
    <w:rsid w:val="001009B9"/>
    <w:rsid w:val="00102080"/>
    <w:rsid w:val="00105413"/>
    <w:rsid w:val="00107AB4"/>
    <w:rsid w:val="001116CA"/>
    <w:rsid w:val="00113C90"/>
    <w:rsid w:val="001149CD"/>
    <w:rsid w:val="00116B91"/>
    <w:rsid w:val="00117BB0"/>
    <w:rsid w:val="00121E2F"/>
    <w:rsid w:val="00122842"/>
    <w:rsid w:val="001277B9"/>
    <w:rsid w:val="00131885"/>
    <w:rsid w:val="00140712"/>
    <w:rsid w:val="001451F8"/>
    <w:rsid w:val="001460CC"/>
    <w:rsid w:val="001475FF"/>
    <w:rsid w:val="001511FF"/>
    <w:rsid w:val="00156FE4"/>
    <w:rsid w:val="0016088B"/>
    <w:rsid w:val="0016688A"/>
    <w:rsid w:val="00166F90"/>
    <w:rsid w:val="00171C8E"/>
    <w:rsid w:val="00172307"/>
    <w:rsid w:val="001744C6"/>
    <w:rsid w:val="0017465F"/>
    <w:rsid w:val="00174B44"/>
    <w:rsid w:val="00174BCD"/>
    <w:rsid w:val="00174CC3"/>
    <w:rsid w:val="001756EC"/>
    <w:rsid w:val="0017576B"/>
    <w:rsid w:val="001773AA"/>
    <w:rsid w:val="0018096F"/>
    <w:rsid w:val="001819E6"/>
    <w:rsid w:val="00183B61"/>
    <w:rsid w:val="00186318"/>
    <w:rsid w:val="00187669"/>
    <w:rsid w:val="00193436"/>
    <w:rsid w:val="00195B12"/>
    <w:rsid w:val="001B1490"/>
    <w:rsid w:val="001B4B76"/>
    <w:rsid w:val="001C0F2A"/>
    <w:rsid w:val="001D7D8D"/>
    <w:rsid w:val="001E04F8"/>
    <w:rsid w:val="001E42A6"/>
    <w:rsid w:val="001E7445"/>
    <w:rsid w:val="001F7970"/>
    <w:rsid w:val="0021377C"/>
    <w:rsid w:val="00217AD5"/>
    <w:rsid w:val="002219B5"/>
    <w:rsid w:val="0022226D"/>
    <w:rsid w:val="00230D29"/>
    <w:rsid w:val="00231FA3"/>
    <w:rsid w:val="00236B68"/>
    <w:rsid w:val="002406D9"/>
    <w:rsid w:val="002502D5"/>
    <w:rsid w:val="00250313"/>
    <w:rsid w:val="002521FF"/>
    <w:rsid w:val="0025222E"/>
    <w:rsid w:val="00252A9B"/>
    <w:rsid w:val="00254176"/>
    <w:rsid w:val="00255530"/>
    <w:rsid w:val="00255C32"/>
    <w:rsid w:val="0025666D"/>
    <w:rsid w:val="002608F3"/>
    <w:rsid w:val="0026329B"/>
    <w:rsid w:val="0026599C"/>
    <w:rsid w:val="002731EF"/>
    <w:rsid w:val="00276309"/>
    <w:rsid w:val="002775DB"/>
    <w:rsid w:val="002817E1"/>
    <w:rsid w:val="00291763"/>
    <w:rsid w:val="00292B24"/>
    <w:rsid w:val="00296BEB"/>
    <w:rsid w:val="002972D2"/>
    <w:rsid w:val="0029736E"/>
    <w:rsid w:val="002978F9"/>
    <w:rsid w:val="002A14C5"/>
    <w:rsid w:val="002A3CB2"/>
    <w:rsid w:val="002A45E8"/>
    <w:rsid w:val="002A764F"/>
    <w:rsid w:val="002B16D0"/>
    <w:rsid w:val="002B29C7"/>
    <w:rsid w:val="002B2BBA"/>
    <w:rsid w:val="002C3C67"/>
    <w:rsid w:val="002C69A4"/>
    <w:rsid w:val="002D5CC3"/>
    <w:rsid w:val="002E0DC9"/>
    <w:rsid w:val="002E2644"/>
    <w:rsid w:val="002E3213"/>
    <w:rsid w:val="002E3660"/>
    <w:rsid w:val="002E4494"/>
    <w:rsid w:val="002E58CF"/>
    <w:rsid w:val="002E6FDE"/>
    <w:rsid w:val="002E7ACF"/>
    <w:rsid w:val="002F0CDA"/>
    <w:rsid w:val="002F1B2A"/>
    <w:rsid w:val="002F1C7B"/>
    <w:rsid w:val="002F3682"/>
    <w:rsid w:val="002F3CE6"/>
    <w:rsid w:val="002F6282"/>
    <w:rsid w:val="002F63F8"/>
    <w:rsid w:val="00301D84"/>
    <w:rsid w:val="003028B3"/>
    <w:rsid w:val="003042F3"/>
    <w:rsid w:val="00307A87"/>
    <w:rsid w:val="0031179D"/>
    <w:rsid w:val="00314985"/>
    <w:rsid w:val="00317448"/>
    <w:rsid w:val="003175DC"/>
    <w:rsid w:val="00321AA2"/>
    <w:rsid w:val="00322C58"/>
    <w:rsid w:val="0033052C"/>
    <w:rsid w:val="00332197"/>
    <w:rsid w:val="00336F2C"/>
    <w:rsid w:val="003376CD"/>
    <w:rsid w:val="00337BD8"/>
    <w:rsid w:val="003414E7"/>
    <w:rsid w:val="003459F6"/>
    <w:rsid w:val="003477B7"/>
    <w:rsid w:val="003479C3"/>
    <w:rsid w:val="00360100"/>
    <w:rsid w:val="00362202"/>
    <w:rsid w:val="00363E78"/>
    <w:rsid w:val="003643F8"/>
    <w:rsid w:val="00371414"/>
    <w:rsid w:val="00372F3C"/>
    <w:rsid w:val="003802E7"/>
    <w:rsid w:val="0038144F"/>
    <w:rsid w:val="00386023"/>
    <w:rsid w:val="00387C82"/>
    <w:rsid w:val="00392D01"/>
    <w:rsid w:val="00395B3E"/>
    <w:rsid w:val="00396E51"/>
    <w:rsid w:val="00397F57"/>
    <w:rsid w:val="003A4BCC"/>
    <w:rsid w:val="003B2BFB"/>
    <w:rsid w:val="003C1F24"/>
    <w:rsid w:val="003D112A"/>
    <w:rsid w:val="003D4159"/>
    <w:rsid w:val="003E282E"/>
    <w:rsid w:val="003E3E2D"/>
    <w:rsid w:val="003E4ACB"/>
    <w:rsid w:val="003E5CFB"/>
    <w:rsid w:val="003F2FE7"/>
    <w:rsid w:val="003F5061"/>
    <w:rsid w:val="00401A65"/>
    <w:rsid w:val="0040211C"/>
    <w:rsid w:val="00403355"/>
    <w:rsid w:val="0041138E"/>
    <w:rsid w:val="00411404"/>
    <w:rsid w:val="00411A4C"/>
    <w:rsid w:val="004134F4"/>
    <w:rsid w:val="00413EE3"/>
    <w:rsid w:val="00421F60"/>
    <w:rsid w:val="00424E74"/>
    <w:rsid w:val="00427110"/>
    <w:rsid w:val="0043016A"/>
    <w:rsid w:val="00440FEB"/>
    <w:rsid w:val="00442163"/>
    <w:rsid w:val="00443A15"/>
    <w:rsid w:val="004476DE"/>
    <w:rsid w:val="004506CC"/>
    <w:rsid w:val="004513EB"/>
    <w:rsid w:val="00451755"/>
    <w:rsid w:val="00453708"/>
    <w:rsid w:val="0045550A"/>
    <w:rsid w:val="00457E1D"/>
    <w:rsid w:val="00460436"/>
    <w:rsid w:val="00460E43"/>
    <w:rsid w:val="00463560"/>
    <w:rsid w:val="00466861"/>
    <w:rsid w:val="00467AB1"/>
    <w:rsid w:val="004709B0"/>
    <w:rsid w:val="004759DB"/>
    <w:rsid w:val="004778D8"/>
    <w:rsid w:val="00483923"/>
    <w:rsid w:val="00490AFD"/>
    <w:rsid w:val="00491B4B"/>
    <w:rsid w:val="00493CF1"/>
    <w:rsid w:val="004965CE"/>
    <w:rsid w:val="00496E13"/>
    <w:rsid w:val="004A0649"/>
    <w:rsid w:val="004A0ABB"/>
    <w:rsid w:val="004A4BD1"/>
    <w:rsid w:val="004B047B"/>
    <w:rsid w:val="004B2BFB"/>
    <w:rsid w:val="004B3B5E"/>
    <w:rsid w:val="004B7D92"/>
    <w:rsid w:val="004C587A"/>
    <w:rsid w:val="004C6B76"/>
    <w:rsid w:val="004D0515"/>
    <w:rsid w:val="004D099A"/>
    <w:rsid w:val="004D1DA4"/>
    <w:rsid w:val="004E2AB3"/>
    <w:rsid w:val="004E2C09"/>
    <w:rsid w:val="004E3393"/>
    <w:rsid w:val="004E4A45"/>
    <w:rsid w:val="004E4B6F"/>
    <w:rsid w:val="004E5EC0"/>
    <w:rsid w:val="004E7265"/>
    <w:rsid w:val="004F1527"/>
    <w:rsid w:val="004F330B"/>
    <w:rsid w:val="004F3ADA"/>
    <w:rsid w:val="004F55C9"/>
    <w:rsid w:val="004F73C7"/>
    <w:rsid w:val="00504F45"/>
    <w:rsid w:val="005127D3"/>
    <w:rsid w:val="00515DB3"/>
    <w:rsid w:val="00515E9D"/>
    <w:rsid w:val="005200CA"/>
    <w:rsid w:val="0052077C"/>
    <w:rsid w:val="00525C1B"/>
    <w:rsid w:val="005261C1"/>
    <w:rsid w:val="00527C83"/>
    <w:rsid w:val="00536B00"/>
    <w:rsid w:val="005378C5"/>
    <w:rsid w:val="005425D7"/>
    <w:rsid w:val="00542F5A"/>
    <w:rsid w:val="005475F2"/>
    <w:rsid w:val="00554121"/>
    <w:rsid w:val="005554F5"/>
    <w:rsid w:val="00556EAD"/>
    <w:rsid w:val="00557239"/>
    <w:rsid w:val="00562B39"/>
    <w:rsid w:val="0056320C"/>
    <w:rsid w:val="005662B5"/>
    <w:rsid w:val="00570005"/>
    <w:rsid w:val="00574DB8"/>
    <w:rsid w:val="00575923"/>
    <w:rsid w:val="00576484"/>
    <w:rsid w:val="00576E9B"/>
    <w:rsid w:val="005779B7"/>
    <w:rsid w:val="00577C8E"/>
    <w:rsid w:val="005807C6"/>
    <w:rsid w:val="00583BEE"/>
    <w:rsid w:val="00587C5A"/>
    <w:rsid w:val="00590322"/>
    <w:rsid w:val="005917C1"/>
    <w:rsid w:val="00594B4A"/>
    <w:rsid w:val="005954B1"/>
    <w:rsid w:val="005A005F"/>
    <w:rsid w:val="005A693F"/>
    <w:rsid w:val="005B1168"/>
    <w:rsid w:val="005B1ACA"/>
    <w:rsid w:val="005B40E5"/>
    <w:rsid w:val="005C021F"/>
    <w:rsid w:val="005C0A6E"/>
    <w:rsid w:val="005C0D2D"/>
    <w:rsid w:val="005C493F"/>
    <w:rsid w:val="005C532B"/>
    <w:rsid w:val="005D06C9"/>
    <w:rsid w:val="005D3CEF"/>
    <w:rsid w:val="005D5553"/>
    <w:rsid w:val="005E19C2"/>
    <w:rsid w:val="005E306A"/>
    <w:rsid w:val="005E3622"/>
    <w:rsid w:val="005E56AE"/>
    <w:rsid w:val="005F07E9"/>
    <w:rsid w:val="005F1D7F"/>
    <w:rsid w:val="0061080D"/>
    <w:rsid w:val="00610894"/>
    <w:rsid w:val="0061200D"/>
    <w:rsid w:val="006130EE"/>
    <w:rsid w:val="00621173"/>
    <w:rsid w:val="0062162D"/>
    <w:rsid w:val="00623672"/>
    <w:rsid w:val="00624AEF"/>
    <w:rsid w:val="0062659E"/>
    <w:rsid w:val="00626DAC"/>
    <w:rsid w:val="00627C19"/>
    <w:rsid w:val="00627DE7"/>
    <w:rsid w:val="00631555"/>
    <w:rsid w:val="006342D9"/>
    <w:rsid w:val="00634787"/>
    <w:rsid w:val="00640DD5"/>
    <w:rsid w:val="006439EA"/>
    <w:rsid w:val="00643FBF"/>
    <w:rsid w:val="006451FA"/>
    <w:rsid w:val="0064538F"/>
    <w:rsid w:val="00650430"/>
    <w:rsid w:val="00651AC2"/>
    <w:rsid w:val="00654B02"/>
    <w:rsid w:val="006575D2"/>
    <w:rsid w:val="00657642"/>
    <w:rsid w:val="00660A13"/>
    <w:rsid w:val="006646E8"/>
    <w:rsid w:val="0067215A"/>
    <w:rsid w:val="00675F26"/>
    <w:rsid w:val="00691D14"/>
    <w:rsid w:val="00694624"/>
    <w:rsid w:val="00695441"/>
    <w:rsid w:val="00695980"/>
    <w:rsid w:val="006A0819"/>
    <w:rsid w:val="006A114D"/>
    <w:rsid w:val="006A6BFF"/>
    <w:rsid w:val="006B394A"/>
    <w:rsid w:val="006C28D8"/>
    <w:rsid w:val="006C7116"/>
    <w:rsid w:val="006D2660"/>
    <w:rsid w:val="006D579F"/>
    <w:rsid w:val="006E0830"/>
    <w:rsid w:val="006E4B4F"/>
    <w:rsid w:val="006E608A"/>
    <w:rsid w:val="006F060A"/>
    <w:rsid w:val="006F4DB7"/>
    <w:rsid w:val="006F6733"/>
    <w:rsid w:val="006F7FB2"/>
    <w:rsid w:val="00701D95"/>
    <w:rsid w:val="007062B8"/>
    <w:rsid w:val="007102D3"/>
    <w:rsid w:val="007110AF"/>
    <w:rsid w:val="0072697B"/>
    <w:rsid w:val="00730C3D"/>
    <w:rsid w:val="007329E1"/>
    <w:rsid w:val="0073353D"/>
    <w:rsid w:val="0073598E"/>
    <w:rsid w:val="00740863"/>
    <w:rsid w:val="00742E84"/>
    <w:rsid w:val="00743683"/>
    <w:rsid w:val="0075479C"/>
    <w:rsid w:val="00756248"/>
    <w:rsid w:val="00756A49"/>
    <w:rsid w:val="007602B9"/>
    <w:rsid w:val="00761D36"/>
    <w:rsid w:val="0076272C"/>
    <w:rsid w:val="007635CE"/>
    <w:rsid w:val="0076678E"/>
    <w:rsid w:val="0076717F"/>
    <w:rsid w:val="0077027E"/>
    <w:rsid w:val="00770759"/>
    <w:rsid w:val="00773AC4"/>
    <w:rsid w:val="00773B5B"/>
    <w:rsid w:val="007807DE"/>
    <w:rsid w:val="00780FE9"/>
    <w:rsid w:val="00782F5F"/>
    <w:rsid w:val="00791F5C"/>
    <w:rsid w:val="007929DB"/>
    <w:rsid w:val="00792E5D"/>
    <w:rsid w:val="00795569"/>
    <w:rsid w:val="0079609A"/>
    <w:rsid w:val="007A0E93"/>
    <w:rsid w:val="007A5255"/>
    <w:rsid w:val="007A770A"/>
    <w:rsid w:val="007B0C0E"/>
    <w:rsid w:val="007B178B"/>
    <w:rsid w:val="007B3A9E"/>
    <w:rsid w:val="007B7D73"/>
    <w:rsid w:val="007C1E79"/>
    <w:rsid w:val="007C54CB"/>
    <w:rsid w:val="007D75F3"/>
    <w:rsid w:val="007E3ED3"/>
    <w:rsid w:val="007E539A"/>
    <w:rsid w:val="007E5B14"/>
    <w:rsid w:val="007E76B7"/>
    <w:rsid w:val="007F04AE"/>
    <w:rsid w:val="007F34A5"/>
    <w:rsid w:val="007F590E"/>
    <w:rsid w:val="007F5D12"/>
    <w:rsid w:val="007F67C3"/>
    <w:rsid w:val="0080028D"/>
    <w:rsid w:val="0080052B"/>
    <w:rsid w:val="00805C12"/>
    <w:rsid w:val="00811606"/>
    <w:rsid w:val="00811FA7"/>
    <w:rsid w:val="008129B2"/>
    <w:rsid w:val="008162B7"/>
    <w:rsid w:val="00816313"/>
    <w:rsid w:val="00816C0F"/>
    <w:rsid w:val="00820B1C"/>
    <w:rsid w:val="00826AE7"/>
    <w:rsid w:val="008339F4"/>
    <w:rsid w:val="00833A07"/>
    <w:rsid w:val="00835434"/>
    <w:rsid w:val="00836176"/>
    <w:rsid w:val="00837DF2"/>
    <w:rsid w:val="0084463F"/>
    <w:rsid w:val="0084528D"/>
    <w:rsid w:val="00855A46"/>
    <w:rsid w:val="008564EA"/>
    <w:rsid w:val="00857079"/>
    <w:rsid w:val="00860631"/>
    <w:rsid w:val="008636F9"/>
    <w:rsid w:val="00865CE8"/>
    <w:rsid w:val="008664EB"/>
    <w:rsid w:val="00870469"/>
    <w:rsid w:val="00875F25"/>
    <w:rsid w:val="0087715C"/>
    <w:rsid w:val="00877D3C"/>
    <w:rsid w:val="00882E60"/>
    <w:rsid w:val="008860FC"/>
    <w:rsid w:val="00886D3A"/>
    <w:rsid w:val="008874C1"/>
    <w:rsid w:val="00890513"/>
    <w:rsid w:val="0089070C"/>
    <w:rsid w:val="00890B68"/>
    <w:rsid w:val="0089260E"/>
    <w:rsid w:val="00892D49"/>
    <w:rsid w:val="008932A3"/>
    <w:rsid w:val="00893CB8"/>
    <w:rsid w:val="00894FB2"/>
    <w:rsid w:val="00895BD8"/>
    <w:rsid w:val="0089655B"/>
    <w:rsid w:val="008972D1"/>
    <w:rsid w:val="00897BC8"/>
    <w:rsid w:val="008A0838"/>
    <w:rsid w:val="008A13E7"/>
    <w:rsid w:val="008A5F7F"/>
    <w:rsid w:val="008A63E2"/>
    <w:rsid w:val="008A6630"/>
    <w:rsid w:val="008A6DB9"/>
    <w:rsid w:val="008A7D83"/>
    <w:rsid w:val="008B1963"/>
    <w:rsid w:val="008B20D0"/>
    <w:rsid w:val="008B37F0"/>
    <w:rsid w:val="008B3E4E"/>
    <w:rsid w:val="008B4702"/>
    <w:rsid w:val="008B65B4"/>
    <w:rsid w:val="008E270A"/>
    <w:rsid w:val="008F4B7D"/>
    <w:rsid w:val="009130AF"/>
    <w:rsid w:val="00913825"/>
    <w:rsid w:val="009141C1"/>
    <w:rsid w:val="009148CA"/>
    <w:rsid w:val="00914EA8"/>
    <w:rsid w:val="0091664E"/>
    <w:rsid w:val="009170B7"/>
    <w:rsid w:val="00920236"/>
    <w:rsid w:val="009219D9"/>
    <w:rsid w:val="0092472D"/>
    <w:rsid w:val="00925F58"/>
    <w:rsid w:val="009262AA"/>
    <w:rsid w:val="00926438"/>
    <w:rsid w:val="009323CA"/>
    <w:rsid w:val="00932DD8"/>
    <w:rsid w:val="00933E80"/>
    <w:rsid w:val="009343D3"/>
    <w:rsid w:val="009411C1"/>
    <w:rsid w:val="00942366"/>
    <w:rsid w:val="00943329"/>
    <w:rsid w:val="00943ED3"/>
    <w:rsid w:val="009445E7"/>
    <w:rsid w:val="0094654A"/>
    <w:rsid w:val="0095004D"/>
    <w:rsid w:val="009515AA"/>
    <w:rsid w:val="009524D9"/>
    <w:rsid w:val="00953DDB"/>
    <w:rsid w:val="00960B49"/>
    <w:rsid w:val="009648C3"/>
    <w:rsid w:val="00965AD3"/>
    <w:rsid w:val="0096732C"/>
    <w:rsid w:val="009675A9"/>
    <w:rsid w:val="009714E6"/>
    <w:rsid w:val="00971553"/>
    <w:rsid w:val="009717A1"/>
    <w:rsid w:val="009774D1"/>
    <w:rsid w:val="00977737"/>
    <w:rsid w:val="00981C70"/>
    <w:rsid w:val="00982B60"/>
    <w:rsid w:val="009878F0"/>
    <w:rsid w:val="00992467"/>
    <w:rsid w:val="0099783F"/>
    <w:rsid w:val="009A106A"/>
    <w:rsid w:val="009A13D9"/>
    <w:rsid w:val="009A1711"/>
    <w:rsid w:val="009A181B"/>
    <w:rsid w:val="009B1B6B"/>
    <w:rsid w:val="009B2A0E"/>
    <w:rsid w:val="009B5606"/>
    <w:rsid w:val="009B603A"/>
    <w:rsid w:val="009B7956"/>
    <w:rsid w:val="009C0945"/>
    <w:rsid w:val="009C0F33"/>
    <w:rsid w:val="009C1E6B"/>
    <w:rsid w:val="009C5CDE"/>
    <w:rsid w:val="009D5A7B"/>
    <w:rsid w:val="009E013E"/>
    <w:rsid w:val="009E4D8D"/>
    <w:rsid w:val="009E6453"/>
    <w:rsid w:val="009F1C9C"/>
    <w:rsid w:val="009F272A"/>
    <w:rsid w:val="009F3181"/>
    <w:rsid w:val="009F6EB6"/>
    <w:rsid w:val="009F790B"/>
    <w:rsid w:val="00A07EE0"/>
    <w:rsid w:val="00A07F45"/>
    <w:rsid w:val="00A11CAC"/>
    <w:rsid w:val="00A223EC"/>
    <w:rsid w:val="00A2684A"/>
    <w:rsid w:val="00A27EB6"/>
    <w:rsid w:val="00A325AB"/>
    <w:rsid w:val="00A5218C"/>
    <w:rsid w:val="00A52469"/>
    <w:rsid w:val="00A53931"/>
    <w:rsid w:val="00A57EA4"/>
    <w:rsid w:val="00A60213"/>
    <w:rsid w:val="00A645D8"/>
    <w:rsid w:val="00A72343"/>
    <w:rsid w:val="00A76F02"/>
    <w:rsid w:val="00A77399"/>
    <w:rsid w:val="00A77981"/>
    <w:rsid w:val="00A82B9E"/>
    <w:rsid w:val="00A841DE"/>
    <w:rsid w:val="00A8559D"/>
    <w:rsid w:val="00A931A3"/>
    <w:rsid w:val="00A9408A"/>
    <w:rsid w:val="00A96795"/>
    <w:rsid w:val="00A96E27"/>
    <w:rsid w:val="00AA1DAF"/>
    <w:rsid w:val="00AA7A1B"/>
    <w:rsid w:val="00AB498D"/>
    <w:rsid w:val="00AB4C96"/>
    <w:rsid w:val="00AB5122"/>
    <w:rsid w:val="00AB6E43"/>
    <w:rsid w:val="00AB6F46"/>
    <w:rsid w:val="00AB7603"/>
    <w:rsid w:val="00AC45F1"/>
    <w:rsid w:val="00AC6BB2"/>
    <w:rsid w:val="00AD0524"/>
    <w:rsid w:val="00AE306C"/>
    <w:rsid w:val="00AE3402"/>
    <w:rsid w:val="00AE3668"/>
    <w:rsid w:val="00AE64EF"/>
    <w:rsid w:val="00AF2763"/>
    <w:rsid w:val="00AF2BA7"/>
    <w:rsid w:val="00AF6040"/>
    <w:rsid w:val="00AF653C"/>
    <w:rsid w:val="00AF7938"/>
    <w:rsid w:val="00B00681"/>
    <w:rsid w:val="00B0118D"/>
    <w:rsid w:val="00B0395F"/>
    <w:rsid w:val="00B064A0"/>
    <w:rsid w:val="00B071DB"/>
    <w:rsid w:val="00B1388C"/>
    <w:rsid w:val="00B13FE9"/>
    <w:rsid w:val="00B162CD"/>
    <w:rsid w:val="00B23279"/>
    <w:rsid w:val="00B2585A"/>
    <w:rsid w:val="00B25B77"/>
    <w:rsid w:val="00B370B2"/>
    <w:rsid w:val="00B401C1"/>
    <w:rsid w:val="00B40456"/>
    <w:rsid w:val="00B40AF8"/>
    <w:rsid w:val="00B41840"/>
    <w:rsid w:val="00B44219"/>
    <w:rsid w:val="00B45F40"/>
    <w:rsid w:val="00B47AF7"/>
    <w:rsid w:val="00B53037"/>
    <w:rsid w:val="00B5315D"/>
    <w:rsid w:val="00B53BD2"/>
    <w:rsid w:val="00B60178"/>
    <w:rsid w:val="00B60EC4"/>
    <w:rsid w:val="00B650A2"/>
    <w:rsid w:val="00B7053E"/>
    <w:rsid w:val="00B71FC4"/>
    <w:rsid w:val="00B767AE"/>
    <w:rsid w:val="00B76D6D"/>
    <w:rsid w:val="00B80D2B"/>
    <w:rsid w:val="00B82B8B"/>
    <w:rsid w:val="00B84330"/>
    <w:rsid w:val="00B875CA"/>
    <w:rsid w:val="00B94E68"/>
    <w:rsid w:val="00BA13A5"/>
    <w:rsid w:val="00BA7A2C"/>
    <w:rsid w:val="00BB0EFC"/>
    <w:rsid w:val="00BB142E"/>
    <w:rsid w:val="00BB24FD"/>
    <w:rsid w:val="00BB34CA"/>
    <w:rsid w:val="00BB3B00"/>
    <w:rsid w:val="00BB3B04"/>
    <w:rsid w:val="00BC00A7"/>
    <w:rsid w:val="00BC4BE2"/>
    <w:rsid w:val="00BC6211"/>
    <w:rsid w:val="00BD0BA8"/>
    <w:rsid w:val="00BD1AF4"/>
    <w:rsid w:val="00BD32FB"/>
    <w:rsid w:val="00BD3693"/>
    <w:rsid w:val="00BD6E2F"/>
    <w:rsid w:val="00BD7CA7"/>
    <w:rsid w:val="00BE3AB7"/>
    <w:rsid w:val="00BE41AA"/>
    <w:rsid w:val="00BE4FA9"/>
    <w:rsid w:val="00BE7F85"/>
    <w:rsid w:val="00BF33EF"/>
    <w:rsid w:val="00BF363C"/>
    <w:rsid w:val="00BF5CE2"/>
    <w:rsid w:val="00C01B39"/>
    <w:rsid w:val="00C01ECD"/>
    <w:rsid w:val="00C04D0B"/>
    <w:rsid w:val="00C05052"/>
    <w:rsid w:val="00C07579"/>
    <w:rsid w:val="00C14310"/>
    <w:rsid w:val="00C1528C"/>
    <w:rsid w:val="00C17C3A"/>
    <w:rsid w:val="00C228CA"/>
    <w:rsid w:val="00C22EE7"/>
    <w:rsid w:val="00C27776"/>
    <w:rsid w:val="00C27961"/>
    <w:rsid w:val="00C27E06"/>
    <w:rsid w:val="00C35B2B"/>
    <w:rsid w:val="00C36857"/>
    <w:rsid w:val="00C40E95"/>
    <w:rsid w:val="00C41006"/>
    <w:rsid w:val="00C43C80"/>
    <w:rsid w:val="00C45B53"/>
    <w:rsid w:val="00C4790A"/>
    <w:rsid w:val="00C47DFF"/>
    <w:rsid w:val="00C50538"/>
    <w:rsid w:val="00C56AE3"/>
    <w:rsid w:val="00C66CC9"/>
    <w:rsid w:val="00C66CE7"/>
    <w:rsid w:val="00C70F5B"/>
    <w:rsid w:val="00C828B0"/>
    <w:rsid w:val="00C83561"/>
    <w:rsid w:val="00C84709"/>
    <w:rsid w:val="00C879D3"/>
    <w:rsid w:val="00C90043"/>
    <w:rsid w:val="00C91D90"/>
    <w:rsid w:val="00C91F35"/>
    <w:rsid w:val="00C9379B"/>
    <w:rsid w:val="00C937ED"/>
    <w:rsid w:val="00C94CE9"/>
    <w:rsid w:val="00CA2DA3"/>
    <w:rsid w:val="00CA2F0C"/>
    <w:rsid w:val="00CA74AC"/>
    <w:rsid w:val="00CB0612"/>
    <w:rsid w:val="00CB10F1"/>
    <w:rsid w:val="00CB1375"/>
    <w:rsid w:val="00CB2772"/>
    <w:rsid w:val="00CB60B6"/>
    <w:rsid w:val="00CB629F"/>
    <w:rsid w:val="00CC1A11"/>
    <w:rsid w:val="00CC1BC1"/>
    <w:rsid w:val="00CD0AEC"/>
    <w:rsid w:val="00CD3C44"/>
    <w:rsid w:val="00CD4B81"/>
    <w:rsid w:val="00CE3F54"/>
    <w:rsid w:val="00CE3F8F"/>
    <w:rsid w:val="00CE4A3E"/>
    <w:rsid w:val="00CE6CB2"/>
    <w:rsid w:val="00CF06AE"/>
    <w:rsid w:val="00CF10AF"/>
    <w:rsid w:val="00CF4274"/>
    <w:rsid w:val="00CF5A27"/>
    <w:rsid w:val="00CF5CE8"/>
    <w:rsid w:val="00D02679"/>
    <w:rsid w:val="00D0278F"/>
    <w:rsid w:val="00D038EC"/>
    <w:rsid w:val="00D03F0F"/>
    <w:rsid w:val="00D20BA9"/>
    <w:rsid w:val="00D325EC"/>
    <w:rsid w:val="00D3650D"/>
    <w:rsid w:val="00D36CBD"/>
    <w:rsid w:val="00D377A4"/>
    <w:rsid w:val="00D42A9D"/>
    <w:rsid w:val="00D501BC"/>
    <w:rsid w:val="00D54945"/>
    <w:rsid w:val="00D5786C"/>
    <w:rsid w:val="00D57F60"/>
    <w:rsid w:val="00D6175A"/>
    <w:rsid w:val="00D644B7"/>
    <w:rsid w:val="00D651FB"/>
    <w:rsid w:val="00D67485"/>
    <w:rsid w:val="00D7058E"/>
    <w:rsid w:val="00D70F48"/>
    <w:rsid w:val="00D74F6D"/>
    <w:rsid w:val="00D75AA6"/>
    <w:rsid w:val="00D76538"/>
    <w:rsid w:val="00D76D32"/>
    <w:rsid w:val="00D80300"/>
    <w:rsid w:val="00D848EE"/>
    <w:rsid w:val="00D851AB"/>
    <w:rsid w:val="00D92313"/>
    <w:rsid w:val="00D928C8"/>
    <w:rsid w:val="00D93550"/>
    <w:rsid w:val="00D9587F"/>
    <w:rsid w:val="00DA23B0"/>
    <w:rsid w:val="00DA394E"/>
    <w:rsid w:val="00DB663A"/>
    <w:rsid w:val="00DB7592"/>
    <w:rsid w:val="00DC072B"/>
    <w:rsid w:val="00DC1920"/>
    <w:rsid w:val="00DC43C8"/>
    <w:rsid w:val="00DC79F9"/>
    <w:rsid w:val="00DD257B"/>
    <w:rsid w:val="00DE2554"/>
    <w:rsid w:val="00DE61F3"/>
    <w:rsid w:val="00DE7623"/>
    <w:rsid w:val="00DF482B"/>
    <w:rsid w:val="00DF67C7"/>
    <w:rsid w:val="00E14E12"/>
    <w:rsid w:val="00E2306A"/>
    <w:rsid w:val="00E24F81"/>
    <w:rsid w:val="00E2559D"/>
    <w:rsid w:val="00E36C66"/>
    <w:rsid w:val="00E37A8F"/>
    <w:rsid w:val="00E42B68"/>
    <w:rsid w:val="00E43703"/>
    <w:rsid w:val="00E43FA8"/>
    <w:rsid w:val="00E44639"/>
    <w:rsid w:val="00E46AEC"/>
    <w:rsid w:val="00E46CEA"/>
    <w:rsid w:val="00E50993"/>
    <w:rsid w:val="00E516F3"/>
    <w:rsid w:val="00E528F7"/>
    <w:rsid w:val="00E55684"/>
    <w:rsid w:val="00E602D0"/>
    <w:rsid w:val="00E603C8"/>
    <w:rsid w:val="00E64EB9"/>
    <w:rsid w:val="00E64F4D"/>
    <w:rsid w:val="00E6770F"/>
    <w:rsid w:val="00E72196"/>
    <w:rsid w:val="00E72615"/>
    <w:rsid w:val="00E753C8"/>
    <w:rsid w:val="00E75858"/>
    <w:rsid w:val="00E75ECD"/>
    <w:rsid w:val="00E76F05"/>
    <w:rsid w:val="00E86A90"/>
    <w:rsid w:val="00E9112A"/>
    <w:rsid w:val="00E97CBF"/>
    <w:rsid w:val="00EA58FE"/>
    <w:rsid w:val="00EA6897"/>
    <w:rsid w:val="00EA6EF0"/>
    <w:rsid w:val="00EB0855"/>
    <w:rsid w:val="00EB12D9"/>
    <w:rsid w:val="00EB3490"/>
    <w:rsid w:val="00EB3E76"/>
    <w:rsid w:val="00EB4F0F"/>
    <w:rsid w:val="00EC41C3"/>
    <w:rsid w:val="00EC7DBC"/>
    <w:rsid w:val="00EC7F7D"/>
    <w:rsid w:val="00ED3258"/>
    <w:rsid w:val="00ED3491"/>
    <w:rsid w:val="00ED6446"/>
    <w:rsid w:val="00ED688E"/>
    <w:rsid w:val="00EE18B8"/>
    <w:rsid w:val="00EE2870"/>
    <w:rsid w:val="00EE48CC"/>
    <w:rsid w:val="00EE617F"/>
    <w:rsid w:val="00EF008E"/>
    <w:rsid w:val="00EF1834"/>
    <w:rsid w:val="00EF1A73"/>
    <w:rsid w:val="00EF589B"/>
    <w:rsid w:val="00EF66C8"/>
    <w:rsid w:val="00EF6CF6"/>
    <w:rsid w:val="00F02B3A"/>
    <w:rsid w:val="00F03716"/>
    <w:rsid w:val="00F048C4"/>
    <w:rsid w:val="00F073A3"/>
    <w:rsid w:val="00F11B2B"/>
    <w:rsid w:val="00F205E9"/>
    <w:rsid w:val="00F20F1B"/>
    <w:rsid w:val="00F24605"/>
    <w:rsid w:val="00F253B2"/>
    <w:rsid w:val="00F25470"/>
    <w:rsid w:val="00F2792C"/>
    <w:rsid w:val="00F307A2"/>
    <w:rsid w:val="00F3248D"/>
    <w:rsid w:val="00F32C8E"/>
    <w:rsid w:val="00F333DD"/>
    <w:rsid w:val="00F3628D"/>
    <w:rsid w:val="00F404DF"/>
    <w:rsid w:val="00F424B0"/>
    <w:rsid w:val="00F43F3B"/>
    <w:rsid w:val="00F546BC"/>
    <w:rsid w:val="00F60507"/>
    <w:rsid w:val="00F60736"/>
    <w:rsid w:val="00F63839"/>
    <w:rsid w:val="00F6459B"/>
    <w:rsid w:val="00F647B5"/>
    <w:rsid w:val="00F66FF2"/>
    <w:rsid w:val="00F67FB8"/>
    <w:rsid w:val="00F71D53"/>
    <w:rsid w:val="00F74174"/>
    <w:rsid w:val="00F75079"/>
    <w:rsid w:val="00F76A99"/>
    <w:rsid w:val="00F77FAF"/>
    <w:rsid w:val="00F80395"/>
    <w:rsid w:val="00F81F49"/>
    <w:rsid w:val="00F8456D"/>
    <w:rsid w:val="00F8763E"/>
    <w:rsid w:val="00F90D02"/>
    <w:rsid w:val="00F92FD1"/>
    <w:rsid w:val="00F93467"/>
    <w:rsid w:val="00F94484"/>
    <w:rsid w:val="00F96716"/>
    <w:rsid w:val="00F97AF0"/>
    <w:rsid w:val="00F97E01"/>
    <w:rsid w:val="00FB02AC"/>
    <w:rsid w:val="00FB7EF9"/>
    <w:rsid w:val="00FC013E"/>
    <w:rsid w:val="00FC2844"/>
    <w:rsid w:val="00FC293A"/>
    <w:rsid w:val="00FC3BE2"/>
    <w:rsid w:val="00FD2C77"/>
    <w:rsid w:val="00FD3700"/>
    <w:rsid w:val="00FD4516"/>
    <w:rsid w:val="00FD4C3E"/>
    <w:rsid w:val="00FD7A98"/>
    <w:rsid w:val="00FE184D"/>
    <w:rsid w:val="00FE3845"/>
    <w:rsid w:val="00FE4D42"/>
    <w:rsid w:val="00FE5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D5EEE"/>
  <w15:docId w15:val="{9B4EE4A6-13F5-4AC2-B3AD-823F71AF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61C1"/>
    <w:rPr>
      <w:sz w:val="24"/>
    </w:rPr>
  </w:style>
  <w:style w:type="paragraph" w:styleId="Heading1">
    <w:name w:val="heading 1"/>
    <w:basedOn w:val="Normal"/>
    <w:next w:val="Normal"/>
    <w:link w:val="Heading1Char"/>
    <w:uiPriority w:val="9"/>
    <w:qFormat/>
    <w:rsid w:val="005261C1"/>
    <w:pPr>
      <w:keepNext/>
      <w:keepLines/>
      <w:spacing w:before="240" w:after="0"/>
      <w:outlineLvl w:val="0"/>
    </w:pPr>
    <w:rPr>
      <w:rFonts w:asciiTheme="majorHAnsi" w:eastAsiaTheme="majorEastAsia" w:hAnsiTheme="majorHAnsi" w:cstheme="majorBidi"/>
      <w:color w:val="008FD5"/>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05111"/>
    <w:pPr>
      <w:spacing w:after="0" w:line="240" w:lineRule="auto"/>
    </w:pPr>
    <w:rPr>
      <w:rFonts w:eastAsiaTheme="minorEastAsia"/>
    </w:rPr>
  </w:style>
  <w:style w:type="character" w:customStyle="1" w:styleId="NoSpacingChar">
    <w:name w:val="No Spacing Char"/>
    <w:basedOn w:val="DefaultParagraphFont"/>
    <w:link w:val="NoSpacing"/>
    <w:uiPriority w:val="1"/>
    <w:rsid w:val="00005111"/>
    <w:rPr>
      <w:rFonts w:eastAsiaTheme="minorEastAsia"/>
    </w:rPr>
  </w:style>
  <w:style w:type="character" w:customStyle="1" w:styleId="Heading1Char">
    <w:name w:val="Heading 1 Char"/>
    <w:basedOn w:val="DefaultParagraphFont"/>
    <w:link w:val="Heading1"/>
    <w:uiPriority w:val="9"/>
    <w:rsid w:val="005261C1"/>
    <w:rPr>
      <w:rFonts w:asciiTheme="majorHAnsi" w:eastAsiaTheme="majorEastAsia" w:hAnsiTheme="majorHAnsi" w:cstheme="majorBidi"/>
      <w:color w:val="008FD5"/>
      <w:sz w:val="36"/>
      <w:szCs w:val="32"/>
    </w:rPr>
  </w:style>
  <w:style w:type="paragraph" w:styleId="ListParagraph">
    <w:name w:val="List Paragraph"/>
    <w:basedOn w:val="Normal"/>
    <w:uiPriority w:val="34"/>
    <w:qFormat/>
    <w:rsid w:val="00005111"/>
    <w:pPr>
      <w:ind w:left="720"/>
      <w:contextualSpacing/>
    </w:pPr>
  </w:style>
  <w:style w:type="paragraph" w:styleId="Header">
    <w:name w:val="header"/>
    <w:basedOn w:val="Normal"/>
    <w:link w:val="HeaderChar"/>
    <w:uiPriority w:val="99"/>
    <w:unhideWhenUsed/>
    <w:rsid w:val="00171C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C8E"/>
    <w:rPr>
      <w:sz w:val="24"/>
    </w:rPr>
  </w:style>
  <w:style w:type="paragraph" w:styleId="Footer">
    <w:name w:val="footer"/>
    <w:basedOn w:val="Normal"/>
    <w:link w:val="FooterChar"/>
    <w:uiPriority w:val="99"/>
    <w:unhideWhenUsed/>
    <w:rsid w:val="00171C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C8E"/>
    <w:rPr>
      <w:sz w:val="24"/>
    </w:rPr>
  </w:style>
  <w:style w:type="character" w:styleId="IntenseEmphasis">
    <w:name w:val="Intense Emphasis"/>
    <w:basedOn w:val="DefaultParagraphFont"/>
    <w:uiPriority w:val="21"/>
    <w:qFormat/>
    <w:rsid w:val="00460436"/>
    <w:rPr>
      <w:i/>
      <w:iCs/>
      <w:color w:val="008FD5"/>
    </w:rPr>
  </w:style>
  <w:style w:type="character" w:styleId="Hyperlink">
    <w:name w:val="Hyperlink"/>
    <w:basedOn w:val="DefaultParagraphFont"/>
    <w:uiPriority w:val="99"/>
    <w:unhideWhenUsed/>
    <w:rsid w:val="00230D29"/>
    <w:rPr>
      <w:color w:val="0563C1" w:themeColor="hyperlink"/>
      <w:u w:val="single"/>
    </w:rPr>
  </w:style>
  <w:style w:type="paragraph" w:styleId="FootnoteText">
    <w:name w:val="footnote text"/>
    <w:basedOn w:val="Normal"/>
    <w:link w:val="FootnoteTextChar"/>
    <w:uiPriority w:val="99"/>
    <w:semiHidden/>
    <w:unhideWhenUsed/>
    <w:rsid w:val="00D644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B7"/>
    <w:rPr>
      <w:sz w:val="20"/>
      <w:szCs w:val="20"/>
    </w:rPr>
  </w:style>
  <w:style w:type="character" w:styleId="FootnoteReference">
    <w:name w:val="footnote reference"/>
    <w:basedOn w:val="DefaultParagraphFont"/>
    <w:uiPriority w:val="99"/>
    <w:semiHidden/>
    <w:unhideWhenUsed/>
    <w:rsid w:val="00D644B7"/>
    <w:rPr>
      <w:vertAlign w:val="superscript"/>
    </w:rPr>
  </w:style>
  <w:style w:type="paragraph" w:styleId="BalloonText">
    <w:name w:val="Balloon Text"/>
    <w:basedOn w:val="Normal"/>
    <w:link w:val="BalloonTextChar"/>
    <w:uiPriority w:val="99"/>
    <w:semiHidden/>
    <w:unhideWhenUsed/>
    <w:rsid w:val="003414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4E7"/>
    <w:rPr>
      <w:rFonts w:ascii="Segoe UI" w:hAnsi="Segoe UI" w:cs="Segoe UI"/>
      <w:sz w:val="18"/>
      <w:szCs w:val="18"/>
    </w:rPr>
  </w:style>
  <w:style w:type="character" w:styleId="UnresolvedMention">
    <w:name w:val="Unresolved Mention"/>
    <w:basedOn w:val="DefaultParagraphFont"/>
    <w:uiPriority w:val="99"/>
    <w:semiHidden/>
    <w:unhideWhenUsed/>
    <w:rsid w:val="00E602D0"/>
    <w:rPr>
      <w:color w:val="605E5C"/>
      <w:shd w:val="clear" w:color="auto" w:fill="E1DFDD"/>
    </w:rPr>
  </w:style>
  <w:style w:type="character" w:styleId="CommentReference">
    <w:name w:val="annotation reference"/>
    <w:basedOn w:val="DefaultParagraphFont"/>
    <w:uiPriority w:val="99"/>
    <w:semiHidden/>
    <w:unhideWhenUsed/>
    <w:rsid w:val="004709B0"/>
    <w:rPr>
      <w:sz w:val="16"/>
      <w:szCs w:val="16"/>
    </w:rPr>
  </w:style>
  <w:style w:type="paragraph" w:styleId="CommentText">
    <w:name w:val="annotation text"/>
    <w:basedOn w:val="Normal"/>
    <w:link w:val="CommentTextChar"/>
    <w:uiPriority w:val="99"/>
    <w:semiHidden/>
    <w:unhideWhenUsed/>
    <w:rsid w:val="004709B0"/>
    <w:pPr>
      <w:spacing w:line="240" w:lineRule="auto"/>
    </w:pPr>
    <w:rPr>
      <w:sz w:val="20"/>
      <w:szCs w:val="20"/>
    </w:rPr>
  </w:style>
  <w:style w:type="character" w:customStyle="1" w:styleId="CommentTextChar">
    <w:name w:val="Comment Text Char"/>
    <w:basedOn w:val="DefaultParagraphFont"/>
    <w:link w:val="CommentText"/>
    <w:uiPriority w:val="99"/>
    <w:semiHidden/>
    <w:rsid w:val="004709B0"/>
    <w:rPr>
      <w:sz w:val="20"/>
      <w:szCs w:val="20"/>
    </w:rPr>
  </w:style>
  <w:style w:type="paragraph" w:styleId="CommentSubject">
    <w:name w:val="annotation subject"/>
    <w:basedOn w:val="CommentText"/>
    <w:next w:val="CommentText"/>
    <w:link w:val="CommentSubjectChar"/>
    <w:uiPriority w:val="99"/>
    <w:semiHidden/>
    <w:unhideWhenUsed/>
    <w:rsid w:val="004709B0"/>
    <w:rPr>
      <w:b/>
      <w:bCs/>
    </w:rPr>
  </w:style>
  <w:style w:type="character" w:customStyle="1" w:styleId="CommentSubjectChar">
    <w:name w:val="Comment Subject Char"/>
    <w:basedOn w:val="CommentTextChar"/>
    <w:link w:val="CommentSubject"/>
    <w:uiPriority w:val="99"/>
    <w:semiHidden/>
    <w:rsid w:val="004709B0"/>
    <w:rPr>
      <w:b/>
      <w:bCs/>
      <w:sz w:val="20"/>
      <w:szCs w:val="20"/>
    </w:rPr>
  </w:style>
  <w:style w:type="paragraph" w:styleId="Revision">
    <w:name w:val="Revision"/>
    <w:hidden/>
    <w:uiPriority w:val="99"/>
    <w:semiHidden/>
    <w:rsid w:val="00773B5B"/>
    <w:pPr>
      <w:spacing w:after="0" w:line="240" w:lineRule="auto"/>
    </w:pPr>
    <w:rPr>
      <w:sz w:val="24"/>
    </w:rPr>
  </w:style>
  <w:style w:type="paragraph" w:styleId="EndnoteText">
    <w:name w:val="endnote text"/>
    <w:basedOn w:val="Normal"/>
    <w:link w:val="EndnoteTextChar"/>
    <w:uiPriority w:val="99"/>
    <w:semiHidden/>
    <w:unhideWhenUsed/>
    <w:rsid w:val="00BC62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6211"/>
    <w:rPr>
      <w:sz w:val="20"/>
      <w:szCs w:val="20"/>
    </w:rPr>
  </w:style>
  <w:style w:type="character" w:styleId="EndnoteReference">
    <w:name w:val="endnote reference"/>
    <w:basedOn w:val="DefaultParagraphFont"/>
    <w:uiPriority w:val="99"/>
    <w:semiHidden/>
    <w:unhideWhenUsed/>
    <w:rsid w:val="00BC6211"/>
    <w:rPr>
      <w:vertAlign w:val="superscript"/>
    </w:rPr>
  </w:style>
  <w:style w:type="character" w:styleId="FollowedHyperlink">
    <w:name w:val="FollowedHyperlink"/>
    <w:basedOn w:val="DefaultParagraphFont"/>
    <w:uiPriority w:val="99"/>
    <w:semiHidden/>
    <w:unhideWhenUsed/>
    <w:rsid w:val="00CE6CB2"/>
    <w:rPr>
      <w:color w:val="954F72" w:themeColor="followedHyperlink"/>
      <w:u w:val="single"/>
    </w:rPr>
  </w:style>
  <w:style w:type="table" w:styleId="TableGrid">
    <w:name w:val="Table Grid"/>
    <w:basedOn w:val="TableNormal"/>
    <w:uiPriority w:val="39"/>
    <w:rsid w:val="00F07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830">
      <w:bodyDiv w:val="1"/>
      <w:marLeft w:val="0"/>
      <w:marRight w:val="0"/>
      <w:marTop w:val="0"/>
      <w:marBottom w:val="0"/>
      <w:divBdr>
        <w:top w:val="none" w:sz="0" w:space="0" w:color="auto"/>
        <w:left w:val="none" w:sz="0" w:space="0" w:color="auto"/>
        <w:bottom w:val="none" w:sz="0" w:space="0" w:color="auto"/>
        <w:right w:val="none" w:sz="0" w:space="0" w:color="auto"/>
      </w:divBdr>
    </w:div>
    <w:div w:id="154414549">
      <w:bodyDiv w:val="1"/>
      <w:marLeft w:val="0"/>
      <w:marRight w:val="0"/>
      <w:marTop w:val="0"/>
      <w:marBottom w:val="0"/>
      <w:divBdr>
        <w:top w:val="none" w:sz="0" w:space="0" w:color="auto"/>
        <w:left w:val="none" w:sz="0" w:space="0" w:color="auto"/>
        <w:bottom w:val="none" w:sz="0" w:space="0" w:color="auto"/>
        <w:right w:val="none" w:sz="0" w:space="0" w:color="auto"/>
      </w:divBdr>
    </w:div>
    <w:div w:id="220026142">
      <w:bodyDiv w:val="1"/>
      <w:marLeft w:val="0"/>
      <w:marRight w:val="0"/>
      <w:marTop w:val="0"/>
      <w:marBottom w:val="0"/>
      <w:divBdr>
        <w:top w:val="none" w:sz="0" w:space="0" w:color="auto"/>
        <w:left w:val="none" w:sz="0" w:space="0" w:color="auto"/>
        <w:bottom w:val="none" w:sz="0" w:space="0" w:color="auto"/>
        <w:right w:val="none" w:sz="0" w:space="0" w:color="auto"/>
      </w:divBdr>
    </w:div>
    <w:div w:id="408381108">
      <w:bodyDiv w:val="1"/>
      <w:marLeft w:val="0"/>
      <w:marRight w:val="0"/>
      <w:marTop w:val="0"/>
      <w:marBottom w:val="0"/>
      <w:divBdr>
        <w:top w:val="none" w:sz="0" w:space="0" w:color="auto"/>
        <w:left w:val="none" w:sz="0" w:space="0" w:color="auto"/>
        <w:bottom w:val="none" w:sz="0" w:space="0" w:color="auto"/>
        <w:right w:val="none" w:sz="0" w:space="0" w:color="auto"/>
      </w:divBdr>
    </w:div>
    <w:div w:id="443580113">
      <w:bodyDiv w:val="1"/>
      <w:marLeft w:val="0"/>
      <w:marRight w:val="0"/>
      <w:marTop w:val="0"/>
      <w:marBottom w:val="0"/>
      <w:divBdr>
        <w:top w:val="none" w:sz="0" w:space="0" w:color="auto"/>
        <w:left w:val="none" w:sz="0" w:space="0" w:color="auto"/>
        <w:bottom w:val="none" w:sz="0" w:space="0" w:color="auto"/>
        <w:right w:val="none" w:sz="0" w:space="0" w:color="auto"/>
      </w:divBdr>
    </w:div>
    <w:div w:id="456947011">
      <w:bodyDiv w:val="1"/>
      <w:marLeft w:val="0"/>
      <w:marRight w:val="0"/>
      <w:marTop w:val="0"/>
      <w:marBottom w:val="0"/>
      <w:divBdr>
        <w:top w:val="none" w:sz="0" w:space="0" w:color="auto"/>
        <w:left w:val="none" w:sz="0" w:space="0" w:color="auto"/>
        <w:bottom w:val="none" w:sz="0" w:space="0" w:color="auto"/>
        <w:right w:val="none" w:sz="0" w:space="0" w:color="auto"/>
      </w:divBdr>
    </w:div>
    <w:div w:id="773093842">
      <w:bodyDiv w:val="1"/>
      <w:marLeft w:val="0"/>
      <w:marRight w:val="0"/>
      <w:marTop w:val="0"/>
      <w:marBottom w:val="0"/>
      <w:divBdr>
        <w:top w:val="none" w:sz="0" w:space="0" w:color="auto"/>
        <w:left w:val="none" w:sz="0" w:space="0" w:color="auto"/>
        <w:bottom w:val="none" w:sz="0" w:space="0" w:color="auto"/>
        <w:right w:val="none" w:sz="0" w:space="0" w:color="auto"/>
      </w:divBdr>
    </w:div>
    <w:div w:id="843252920">
      <w:bodyDiv w:val="1"/>
      <w:marLeft w:val="0"/>
      <w:marRight w:val="0"/>
      <w:marTop w:val="0"/>
      <w:marBottom w:val="0"/>
      <w:divBdr>
        <w:top w:val="none" w:sz="0" w:space="0" w:color="auto"/>
        <w:left w:val="none" w:sz="0" w:space="0" w:color="auto"/>
        <w:bottom w:val="none" w:sz="0" w:space="0" w:color="auto"/>
        <w:right w:val="none" w:sz="0" w:space="0" w:color="auto"/>
      </w:divBdr>
    </w:div>
    <w:div w:id="895630664">
      <w:bodyDiv w:val="1"/>
      <w:marLeft w:val="0"/>
      <w:marRight w:val="0"/>
      <w:marTop w:val="0"/>
      <w:marBottom w:val="0"/>
      <w:divBdr>
        <w:top w:val="none" w:sz="0" w:space="0" w:color="auto"/>
        <w:left w:val="none" w:sz="0" w:space="0" w:color="auto"/>
        <w:bottom w:val="none" w:sz="0" w:space="0" w:color="auto"/>
        <w:right w:val="none" w:sz="0" w:space="0" w:color="auto"/>
      </w:divBdr>
    </w:div>
    <w:div w:id="992954216">
      <w:bodyDiv w:val="1"/>
      <w:marLeft w:val="0"/>
      <w:marRight w:val="0"/>
      <w:marTop w:val="0"/>
      <w:marBottom w:val="0"/>
      <w:divBdr>
        <w:top w:val="none" w:sz="0" w:space="0" w:color="auto"/>
        <w:left w:val="none" w:sz="0" w:space="0" w:color="auto"/>
        <w:bottom w:val="none" w:sz="0" w:space="0" w:color="auto"/>
        <w:right w:val="none" w:sz="0" w:space="0" w:color="auto"/>
      </w:divBdr>
    </w:div>
    <w:div w:id="1004865342">
      <w:bodyDiv w:val="1"/>
      <w:marLeft w:val="0"/>
      <w:marRight w:val="0"/>
      <w:marTop w:val="0"/>
      <w:marBottom w:val="0"/>
      <w:divBdr>
        <w:top w:val="none" w:sz="0" w:space="0" w:color="auto"/>
        <w:left w:val="none" w:sz="0" w:space="0" w:color="auto"/>
        <w:bottom w:val="none" w:sz="0" w:space="0" w:color="auto"/>
        <w:right w:val="none" w:sz="0" w:space="0" w:color="auto"/>
      </w:divBdr>
    </w:div>
    <w:div w:id="1105227601">
      <w:bodyDiv w:val="1"/>
      <w:marLeft w:val="0"/>
      <w:marRight w:val="0"/>
      <w:marTop w:val="0"/>
      <w:marBottom w:val="0"/>
      <w:divBdr>
        <w:top w:val="none" w:sz="0" w:space="0" w:color="auto"/>
        <w:left w:val="none" w:sz="0" w:space="0" w:color="auto"/>
        <w:bottom w:val="none" w:sz="0" w:space="0" w:color="auto"/>
        <w:right w:val="none" w:sz="0" w:space="0" w:color="auto"/>
      </w:divBdr>
    </w:div>
    <w:div w:id="1143766072">
      <w:bodyDiv w:val="1"/>
      <w:marLeft w:val="0"/>
      <w:marRight w:val="0"/>
      <w:marTop w:val="0"/>
      <w:marBottom w:val="0"/>
      <w:divBdr>
        <w:top w:val="none" w:sz="0" w:space="0" w:color="auto"/>
        <w:left w:val="none" w:sz="0" w:space="0" w:color="auto"/>
        <w:bottom w:val="none" w:sz="0" w:space="0" w:color="auto"/>
        <w:right w:val="none" w:sz="0" w:space="0" w:color="auto"/>
      </w:divBdr>
    </w:div>
    <w:div w:id="1144080784">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219323280">
      <w:bodyDiv w:val="1"/>
      <w:marLeft w:val="0"/>
      <w:marRight w:val="0"/>
      <w:marTop w:val="0"/>
      <w:marBottom w:val="0"/>
      <w:divBdr>
        <w:top w:val="none" w:sz="0" w:space="0" w:color="auto"/>
        <w:left w:val="none" w:sz="0" w:space="0" w:color="auto"/>
        <w:bottom w:val="none" w:sz="0" w:space="0" w:color="auto"/>
        <w:right w:val="none" w:sz="0" w:space="0" w:color="auto"/>
      </w:divBdr>
    </w:div>
    <w:div w:id="1279219945">
      <w:bodyDiv w:val="1"/>
      <w:marLeft w:val="0"/>
      <w:marRight w:val="0"/>
      <w:marTop w:val="0"/>
      <w:marBottom w:val="0"/>
      <w:divBdr>
        <w:top w:val="none" w:sz="0" w:space="0" w:color="auto"/>
        <w:left w:val="none" w:sz="0" w:space="0" w:color="auto"/>
        <w:bottom w:val="none" w:sz="0" w:space="0" w:color="auto"/>
        <w:right w:val="none" w:sz="0" w:space="0" w:color="auto"/>
      </w:divBdr>
    </w:div>
    <w:div w:id="1446774377">
      <w:bodyDiv w:val="1"/>
      <w:marLeft w:val="0"/>
      <w:marRight w:val="0"/>
      <w:marTop w:val="0"/>
      <w:marBottom w:val="0"/>
      <w:divBdr>
        <w:top w:val="none" w:sz="0" w:space="0" w:color="auto"/>
        <w:left w:val="none" w:sz="0" w:space="0" w:color="auto"/>
        <w:bottom w:val="none" w:sz="0" w:space="0" w:color="auto"/>
        <w:right w:val="none" w:sz="0" w:space="0" w:color="auto"/>
      </w:divBdr>
    </w:div>
    <w:div w:id="1511136789">
      <w:bodyDiv w:val="1"/>
      <w:marLeft w:val="0"/>
      <w:marRight w:val="0"/>
      <w:marTop w:val="0"/>
      <w:marBottom w:val="0"/>
      <w:divBdr>
        <w:top w:val="none" w:sz="0" w:space="0" w:color="auto"/>
        <w:left w:val="none" w:sz="0" w:space="0" w:color="auto"/>
        <w:bottom w:val="none" w:sz="0" w:space="0" w:color="auto"/>
        <w:right w:val="none" w:sz="0" w:space="0" w:color="auto"/>
      </w:divBdr>
    </w:div>
    <w:div w:id="1586376252">
      <w:bodyDiv w:val="1"/>
      <w:marLeft w:val="0"/>
      <w:marRight w:val="0"/>
      <w:marTop w:val="0"/>
      <w:marBottom w:val="0"/>
      <w:divBdr>
        <w:top w:val="none" w:sz="0" w:space="0" w:color="auto"/>
        <w:left w:val="none" w:sz="0" w:space="0" w:color="auto"/>
        <w:bottom w:val="none" w:sz="0" w:space="0" w:color="auto"/>
        <w:right w:val="none" w:sz="0" w:space="0" w:color="auto"/>
      </w:divBdr>
    </w:div>
    <w:div w:id="1969045385">
      <w:bodyDiv w:val="1"/>
      <w:marLeft w:val="0"/>
      <w:marRight w:val="0"/>
      <w:marTop w:val="0"/>
      <w:marBottom w:val="0"/>
      <w:divBdr>
        <w:top w:val="none" w:sz="0" w:space="0" w:color="auto"/>
        <w:left w:val="none" w:sz="0" w:space="0" w:color="auto"/>
        <w:bottom w:val="none" w:sz="0" w:space="0" w:color="auto"/>
        <w:right w:val="none" w:sz="0" w:space="0" w:color="auto"/>
      </w:divBdr>
    </w:div>
    <w:div w:id="2015066081">
      <w:bodyDiv w:val="1"/>
      <w:marLeft w:val="0"/>
      <w:marRight w:val="0"/>
      <w:marTop w:val="0"/>
      <w:marBottom w:val="0"/>
      <w:divBdr>
        <w:top w:val="none" w:sz="0" w:space="0" w:color="auto"/>
        <w:left w:val="none" w:sz="0" w:space="0" w:color="auto"/>
        <w:bottom w:val="none" w:sz="0" w:space="0" w:color="auto"/>
        <w:right w:val="none" w:sz="0" w:space="0" w:color="auto"/>
      </w:divBdr>
    </w:div>
    <w:div w:id="2049450560">
      <w:bodyDiv w:val="1"/>
      <w:marLeft w:val="0"/>
      <w:marRight w:val="0"/>
      <w:marTop w:val="0"/>
      <w:marBottom w:val="0"/>
      <w:divBdr>
        <w:top w:val="none" w:sz="0" w:space="0" w:color="auto"/>
        <w:left w:val="none" w:sz="0" w:space="0" w:color="auto"/>
        <w:bottom w:val="none" w:sz="0" w:space="0" w:color="auto"/>
        <w:right w:val="none" w:sz="0" w:space="0" w:color="auto"/>
      </w:divBdr>
    </w:div>
    <w:div w:id="205410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s://www.linkedin.com/company/tagnif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www.tagnifi.com"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0.png"/></Relationships>
</file>

<file path=word/_rels/footnotes.xml.rels><?xml version="1.0" encoding="UTF-8" standalone="yes"?>
<Relationships xmlns="http://schemas.openxmlformats.org/package/2006/relationships"><Relationship Id="rId8" Type="http://schemas.openxmlformats.org/officeDocument/2006/relationships/hyperlink" Target="https://fred.stlouisfed.org/series/BAA" TargetMode="External"/><Relationship Id="rId13" Type="http://schemas.openxmlformats.org/officeDocument/2006/relationships/hyperlink" Target="https://fred.stlouisfed.org/series/HOUST" TargetMode="External"/><Relationship Id="rId18" Type="http://schemas.openxmlformats.org/officeDocument/2006/relationships/hyperlink" Target="https://fred.stlouisfed.org/series/GDPC1CTM" TargetMode="External"/><Relationship Id="rId3" Type="http://schemas.openxmlformats.org/officeDocument/2006/relationships/hyperlink" Target="https://fred.stlouisfed.org/series/GDPC1" TargetMode="External"/><Relationship Id="rId7" Type="http://schemas.openxmlformats.org/officeDocument/2006/relationships/hyperlink" Target="https://fred.stlouisfed.org/series/DGS10" TargetMode="External"/><Relationship Id="rId12" Type="http://schemas.openxmlformats.org/officeDocument/2006/relationships/hyperlink" Target="https://fred.stlouisfed.org/series/PPIACO" TargetMode="External"/><Relationship Id="rId17" Type="http://schemas.openxmlformats.org/officeDocument/2006/relationships/hyperlink" Target="https://fred.stlouisfed.org/series/ALTSALES" TargetMode="External"/><Relationship Id="rId2" Type="http://schemas.openxmlformats.org/officeDocument/2006/relationships/hyperlink" Target="https://fred.stlouisfed.org/series/TWEXB" TargetMode="External"/><Relationship Id="rId16" Type="http://schemas.openxmlformats.org/officeDocument/2006/relationships/hyperlink" Target="https://fred.stlouisfed.org/series/PCE" TargetMode="External"/><Relationship Id="rId20" Type="http://schemas.openxmlformats.org/officeDocument/2006/relationships/hyperlink" Target="https://fred.stlouisfed.org/series/UNRATECTM" TargetMode="External"/><Relationship Id="rId1" Type="http://schemas.openxmlformats.org/officeDocument/2006/relationships/hyperlink" Target="https://fred.stlouisfed.org/series/MCOILWTICO" TargetMode="External"/><Relationship Id="rId6" Type="http://schemas.openxmlformats.org/officeDocument/2006/relationships/hyperlink" Target="https://fred.stlouisfed.org/series/FEDFUNDS" TargetMode="External"/><Relationship Id="rId11" Type="http://schemas.openxmlformats.org/officeDocument/2006/relationships/hyperlink" Target="https://fred.stlouisfed.org/series/CPIAUCSL" TargetMode="External"/><Relationship Id="rId5" Type="http://schemas.openxmlformats.org/officeDocument/2006/relationships/hyperlink" Target="https://fred.stlouisfed.org/series/DGS1" TargetMode="External"/><Relationship Id="rId15" Type="http://schemas.openxmlformats.org/officeDocument/2006/relationships/hyperlink" Target="https://fred.stlouisfed.org/series/SPCS20RSA" TargetMode="External"/><Relationship Id="rId10" Type="http://schemas.openxmlformats.org/officeDocument/2006/relationships/hyperlink" Target="https://fred.stlouisfed.org/series/UNRATE" TargetMode="External"/><Relationship Id="rId19" Type="http://schemas.openxmlformats.org/officeDocument/2006/relationships/hyperlink" Target="https://fred.stlouisfed.org/series/PCECTPICTM" TargetMode="External"/><Relationship Id="rId4" Type="http://schemas.openxmlformats.org/officeDocument/2006/relationships/hyperlink" Target="https://fred.stlouisfed.org/series/INDPRO" TargetMode="External"/><Relationship Id="rId9" Type="http://schemas.openxmlformats.org/officeDocument/2006/relationships/hyperlink" Target="https://fred.stlouisfed.org/series/PAYEMS" TargetMode="External"/><Relationship Id="rId14" Type="http://schemas.openxmlformats.org/officeDocument/2006/relationships/hyperlink" Target="https://fred.stlouisfed.org/series/MORTGAGE3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Designed for business valuation professionals, TagniFi’s Quarterly Economic Update provides timely macroeconomic data to satisfy Revenue Ruling 59-60.</Abstract>
  <CompanyAddress/>
  <CompanyPhone/>
  <CompanyFax/>
  <CompanyEmail>www.tagnifi.com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74E0BF-AB8B-4BB2-B0EE-0A05A936A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Quarterly Economic Update</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Economic Update</dc:title>
  <dc:subject>For the 4th Quarter of 2018</dc:subject>
  <dc:creator>Office 365</dc:creator>
  <cp:keywords/>
  <dc:description/>
  <cp:lastModifiedBy>Chad Sandstedt</cp:lastModifiedBy>
  <cp:revision>5</cp:revision>
  <cp:lastPrinted>2015-10-05T17:29:00Z</cp:lastPrinted>
  <dcterms:created xsi:type="dcterms:W3CDTF">2019-03-25T17:41:00Z</dcterms:created>
  <dcterms:modified xsi:type="dcterms:W3CDTF">2019-03-25T19:55:00Z</dcterms:modified>
</cp:coreProperties>
</file>