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625127297"/>
        <w:docPartObj>
          <w:docPartGallery w:val="Cover Pages"/>
          <w:docPartUnique/>
        </w:docPartObj>
      </w:sdtPr>
      <w:sdtEndPr/>
      <w:sdtContent>
        <w:p w14:paraId="2ABEC867" w14:textId="1B3017D2" w:rsidR="000F1648" w:rsidRPr="00B76A73" w:rsidRDefault="008B2769" w:rsidP="002E6FDE">
          <w:pPr>
            <w:jc w:val="right"/>
          </w:pPr>
          <w:r w:rsidRPr="00B76A73">
            <w:rPr>
              <w:noProof/>
            </w:rPr>
            <w:drawing>
              <wp:inline distT="0" distB="0" distL="0" distR="0" wp14:anchorId="44435E8E" wp14:editId="4A515C24">
                <wp:extent cx="1743075" cy="275242"/>
                <wp:effectExtent l="0" t="0" r="0" b="0"/>
                <wp:docPr id="11" name="Picture 11" descr="A close up of a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TagniFi Large Logo BlackFlat.pn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0997" cy="289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F0E9DD8" w14:textId="6A3F039C" w:rsidR="006663D0" w:rsidRPr="00B76A73" w:rsidRDefault="006663D0" w:rsidP="002E6FDE">
          <w:pPr>
            <w:jc w:val="right"/>
          </w:pPr>
        </w:p>
        <w:p w14:paraId="61E7189B" w14:textId="5A4E226B" w:rsidR="006663D0" w:rsidRPr="00B76A73" w:rsidRDefault="00361E70" w:rsidP="00696388">
          <w:pPr>
            <w:jc w:val="right"/>
          </w:pPr>
          <w:r w:rsidRPr="00B76A73">
            <w:rPr>
              <w:noProof/>
            </w:rPr>
            <w:drawing>
              <wp:inline distT="0" distB="0" distL="0" distR="0" wp14:anchorId="525F52FA" wp14:editId="74E4F75B">
                <wp:extent cx="4324350" cy="4697139"/>
                <wp:effectExtent l="0" t="0" r="0" b="8255"/>
                <wp:docPr id="56" name="Pictur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667" t="3363" r="2564" b="5829"/>
                        <a:stretch/>
                      </pic:blipFill>
                      <pic:spPr bwMode="auto">
                        <a:xfrm>
                          <a:off x="0" y="0"/>
                          <a:ext cx="4326477" cy="46994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987AB7" w:rsidRPr="00B76A73">
            <w:br/>
          </w:r>
        </w:p>
        <w:p w14:paraId="149D5EEE" w14:textId="3BE1B0C0" w:rsidR="00005111" w:rsidRPr="00B76A73" w:rsidRDefault="006663D0" w:rsidP="002E6FDE">
          <w:pPr>
            <w:jc w:val="right"/>
            <w:rPr>
              <w:color w:val="008FD5"/>
              <w:sz w:val="64"/>
              <w:szCs w:val="64"/>
            </w:rPr>
          </w:pPr>
          <w:r w:rsidRPr="00B76A73">
            <w:rPr>
              <w:color w:val="008FD5"/>
              <w:sz w:val="64"/>
              <w:szCs w:val="64"/>
            </w:rPr>
            <w:t>QUARTERLY ECONOMIC UPDATE</w:t>
          </w:r>
        </w:p>
        <w:p w14:paraId="7ADB2944" w14:textId="61B1807C" w:rsidR="006663D0" w:rsidRPr="00B76A73" w:rsidRDefault="006663D0" w:rsidP="002E6FDE">
          <w:pPr>
            <w:jc w:val="right"/>
            <w:rPr>
              <w:sz w:val="36"/>
              <w:szCs w:val="36"/>
            </w:rPr>
          </w:pPr>
          <w:r w:rsidRPr="00B76A73">
            <w:rPr>
              <w:sz w:val="36"/>
              <w:szCs w:val="36"/>
            </w:rPr>
            <w:t xml:space="preserve">For the </w:t>
          </w:r>
          <w:r w:rsidR="00056DC1">
            <w:rPr>
              <w:sz w:val="36"/>
              <w:szCs w:val="36"/>
            </w:rPr>
            <w:t>1</w:t>
          </w:r>
          <w:r w:rsidR="00056DC1" w:rsidRPr="00056DC1">
            <w:rPr>
              <w:sz w:val="36"/>
              <w:szCs w:val="36"/>
              <w:vertAlign w:val="superscript"/>
            </w:rPr>
            <w:t>st</w:t>
          </w:r>
          <w:r w:rsidR="00B73CC4" w:rsidRPr="00B76A73">
            <w:rPr>
              <w:sz w:val="36"/>
              <w:szCs w:val="36"/>
            </w:rPr>
            <w:t xml:space="preserve"> </w:t>
          </w:r>
          <w:r w:rsidR="00795ECE" w:rsidRPr="00B76A73">
            <w:rPr>
              <w:sz w:val="36"/>
              <w:szCs w:val="36"/>
            </w:rPr>
            <w:t>Quarter of 202</w:t>
          </w:r>
          <w:r w:rsidR="00056DC1">
            <w:rPr>
              <w:sz w:val="36"/>
              <w:szCs w:val="36"/>
            </w:rPr>
            <w:t>3</w:t>
          </w:r>
        </w:p>
        <w:p w14:paraId="45CA5FB6" w14:textId="7FC6A9D9" w:rsidR="006663D0" w:rsidRPr="00B76A73" w:rsidRDefault="006663D0" w:rsidP="002E6FDE">
          <w:pPr>
            <w:jc w:val="right"/>
            <w:rPr>
              <w:sz w:val="36"/>
              <w:szCs w:val="36"/>
            </w:rPr>
          </w:pPr>
        </w:p>
        <w:p w14:paraId="036ED6C8" w14:textId="5EC9A59D" w:rsidR="006663D0" w:rsidRPr="00B76A73" w:rsidRDefault="006663D0" w:rsidP="002E6FDE">
          <w:pPr>
            <w:jc w:val="right"/>
            <w:rPr>
              <w:color w:val="008FD5"/>
              <w:sz w:val="28"/>
              <w:szCs w:val="28"/>
            </w:rPr>
          </w:pPr>
          <w:r w:rsidRPr="00B76A73">
            <w:rPr>
              <w:color w:val="008FD5"/>
              <w:sz w:val="28"/>
              <w:szCs w:val="28"/>
            </w:rPr>
            <w:t>Abstract</w:t>
          </w:r>
        </w:p>
        <w:p w14:paraId="78E365CD" w14:textId="1DCB5F6C" w:rsidR="006663D0" w:rsidRPr="00B76A73" w:rsidRDefault="006663D0" w:rsidP="006663D0">
          <w:pPr>
            <w:jc w:val="right"/>
            <w:rPr>
              <w:sz w:val="20"/>
              <w:szCs w:val="20"/>
            </w:rPr>
          </w:pPr>
          <w:r w:rsidRPr="00B76A73">
            <w:rPr>
              <w:sz w:val="20"/>
              <w:szCs w:val="20"/>
            </w:rPr>
            <w:t xml:space="preserve">Designed for business valuation professionals, </w:t>
          </w:r>
          <w:proofErr w:type="spellStart"/>
          <w:r w:rsidRPr="00B76A73">
            <w:rPr>
              <w:sz w:val="20"/>
              <w:szCs w:val="20"/>
            </w:rPr>
            <w:t>TagniFi’s</w:t>
          </w:r>
          <w:proofErr w:type="spellEnd"/>
          <w:r w:rsidRPr="00B76A73">
            <w:rPr>
              <w:sz w:val="20"/>
              <w:szCs w:val="20"/>
            </w:rPr>
            <w:t xml:space="preserve"> Quarterly Economic </w:t>
          </w:r>
          <w:r w:rsidRPr="00B76A73">
            <w:rPr>
              <w:sz w:val="20"/>
              <w:szCs w:val="20"/>
            </w:rPr>
            <w:br/>
            <w:t>Update provides timely economic data to satisfy Revenue Ruling 56-60.</w:t>
          </w:r>
        </w:p>
        <w:p w14:paraId="149D5EEF" w14:textId="0F932CBB" w:rsidR="00005111" w:rsidRPr="00B76A73" w:rsidRDefault="00005111" w:rsidP="000F1648">
          <w:pPr>
            <w:ind w:hanging="900"/>
          </w:pPr>
          <w:r w:rsidRPr="00B76A73">
            <w:br w:type="page"/>
          </w:r>
        </w:p>
      </w:sdtContent>
    </w:sdt>
    <w:p w14:paraId="149D5EF0" w14:textId="77777777" w:rsidR="00217AD5" w:rsidRPr="00B76A73" w:rsidRDefault="00005111" w:rsidP="00005111">
      <w:pPr>
        <w:pStyle w:val="Heading1"/>
      </w:pPr>
      <w:r w:rsidRPr="00B76A73">
        <w:lastRenderedPageBreak/>
        <w:t>Summary</w:t>
      </w:r>
    </w:p>
    <w:p w14:paraId="743C5F03" w14:textId="1C1A282E" w:rsidR="00556560" w:rsidRDefault="00B73CC4" w:rsidP="00B73CC4">
      <w:r w:rsidRPr="00B76A73">
        <w:t xml:space="preserve">In the </w:t>
      </w:r>
      <w:r w:rsidR="00090A7B">
        <w:t>1</w:t>
      </w:r>
      <w:r w:rsidR="00090A7B" w:rsidRPr="00090A7B">
        <w:rPr>
          <w:vertAlign w:val="superscript"/>
        </w:rPr>
        <w:t>st</w:t>
      </w:r>
      <w:r w:rsidR="00090A7B">
        <w:t xml:space="preserve"> </w:t>
      </w:r>
      <w:r w:rsidRPr="00B76A73">
        <w:t>quarter of 202</w:t>
      </w:r>
      <w:r w:rsidR="00090A7B">
        <w:t>3</w:t>
      </w:r>
      <w:r w:rsidRPr="00B76A73">
        <w:t xml:space="preserve">, </w:t>
      </w:r>
      <w:r w:rsidR="00777D25">
        <w:t xml:space="preserve">the </w:t>
      </w:r>
      <w:r w:rsidR="00090A7B">
        <w:t>U.S. econom</w:t>
      </w:r>
      <w:r w:rsidR="00777D25">
        <w:t>y grew more slowly but spending remained strong, as did the</w:t>
      </w:r>
      <w:r w:rsidR="004567EF">
        <w:t xml:space="preserve"> </w:t>
      </w:r>
      <w:r w:rsidR="00F66712">
        <w:t>job market</w:t>
      </w:r>
      <w:r w:rsidR="004567EF">
        <w:t xml:space="preserve">, with unemployment equal to its pre-pandemic </w:t>
      </w:r>
      <w:r w:rsidR="00E2264B">
        <w:t>low</w:t>
      </w:r>
      <w:r w:rsidR="00777D25">
        <w:t xml:space="preserve">. </w:t>
      </w:r>
      <w:r w:rsidR="001D097E">
        <w:t>I</w:t>
      </w:r>
      <w:r w:rsidR="00F66712">
        <w:t xml:space="preserve">nflation </w:t>
      </w:r>
      <w:r w:rsidR="00777D25">
        <w:t xml:space="preserve">waned a bit further, mainly due to falling energy prices. </w:t>
      </w:r>
      <w:r w:rsidR="00AC0986">
        <w:t xml:space="preserve">Crude oil prices dropped to a 15-month low in the wake of </w:t>
      </w:r>
      <w:r w:rsidR="001D097E">
        <w:t xml:space="preserve">multiple bank insolvencies </w:t>
      </w:r>
      <w:r w:rsidR="00AC0986">
        <w:t xml:space="preserve">in March; prices largely recovered </w:t>
      </w:r>
      <w:r w:rsidR="00556560">
        <w:t>as banking relief came swiftly.</w:t>
      </w:r>
      <w:r w:rsidR="00556560" w:rsidRPr="00556560">
        <w:t xml:space="preserve"> </w:t>
      </w:r>
      <w:r w:rsidR="00556560" w:rsidRPr="00154420">
        <w:t xml:space="preserve">The </w:t>
      </w:r>
      <w:r w:rsidR="00556560">
        <w:t>banking crisis also briefly rocked stock and bond markets, but calmer conditions prevailed with the arrival of reassuring inflation data.</w:t>
      </w:r>
      <w:r w:rsidR="00556560" w:rsidRPr="00556560">
        <w:t xml:space="preserve"> </w:t>
      </w:r>
      <w:r w:rsidR="00556560">
        <w:t>The housing market continued to slow from its blazing pace of recent years</w:t>
      </w:r>
      <w:r w:rsidR="001D097E">
        <w:t xml:space="preserve"> as</w:t>
      </w:r>
      <w:r w:rsidR="00556560">
        <w:t xml:space="preserve"> demand and price growth</w:t>
      </w:r>
      <w:r w:rsidR="00BF6BF5">
        <w:t xml:space="preserve"> were</w:t>
      </w:r>
      <w:r w:rsidR="00556560">
        <w:t xml:space="preserve"> hampered by high interest rates.</w:t>
      </w:r>
    </w:p>
    <w:p w14:paraId="57FEE3D9" w14:textId="077B7641" w:rsidR="00556560" w:rsidRDefault="00777D25" w:rsidP="00B73CC4">
      <w:r>
        <w:t xml:space="preserve">With </w:t>
      </w:r>
      <w:r w:rsidR="00556560">
        <w:t xml:space="preserve">anti-inflationary policy holding </w:t>
      </w:r>
      <w:r>
        <w:t>interest rates at a nearly 17-year high</w:t>
      </w:r>
      <w:r w:rsidR="00F66712">
        <w:t>, t</w:t>
      </w:r>
      <w:r w:rsidR="002366E1" w:rsidRPr="00B76A73">
        <w:t>he Federal Reserve</w:t>
      </w:r>
      <w:r>
        <w:t xml:space="preserve"> </w:t>
      </w:r>
      <w:r w:rsidR="00556560">
        <w:t xml:space="preserve">finally </w:t>
      </w:r>
      <w:r>
        <w:t>softened their hawkish stance</w:t>
      </w:r>
      <w:r w:rsidR="00354FA1">
        <w:t xml:space="preserve"> i</w:t>
      </w:r>
      <w:r>
        <w:t>n the wake of March</w:t>
      </w:r>
      <w:r w:rsidR="00556560">
        <w:t>’s banking crisis</w:t>
      </w:r>
      <w:r w:rsidR="00354FA1">
        <w:t xml:space="preserve">. The Fed indicated that while further </w:t>
      </w:r>
      <w:r w:rsidR="00556560">
        <w:t>tightening</w:t>
      </w:r>
      <w:r w:rsidR="00354FA1">
        <w:t xml:space="preserve"> may be deemed necessary</w:t>
      </w:r>
      <w:r>
        <w:t xml:space="preserve">, </w:t>
      </w:r>
      <w:r w:rsidR="00556560">
        <w:t>it</w:t>
      </w:r>
      <w:r w:rsidR="00354FA1">
        <w:t xml:space="preserve"> would depend on careful monitoring of economic conditions.</w:t>
      </w:r>
      <w:r w:rsidR="00556560">
        <w:t xml:space="preserve"> </w:t>
      </w:r>
    </w:p>
    <w:p w14:paraId="397EF885" w14:textId="5C4BC289" w:rsidR="00B73CC4" w:rsidRPr="00B76A73" w:rsidRDefault="00556560" w:rsidP="00B73CC4">
      <w:r>
        <w:t>As</w:t>
      </w:r>
      <w:r w:rsidR="0098795E">
        <w:t xml:space="preserve"> predictions of slower growth begin to come to fruition,</w:t>
      </w:r>
      <w:r w:rsidR="00AC0986">
        <w:t xml:space="preserve"> many forecasters expect a recession, although the timing remains uncertain</w:t>
      </w:r>
      <w:r w:rsidR="00B73CC4" w:rsidRPr="00B76A73">
        <w:t>.</w:t>
      </w:r>
      <w:r w:rsidR="00AC0986">
        <w:t xml:space="preserve"> </w:t>
      </w:r>
      <w:r w:rsidR="0021341A">
        <w:t>FOMC members lowered projections of economic growth to 0.</w:t>
      </w:r>
      <w:r w:rsidR="0098795E">
        <w:t>4</w:t>
      </w:r>
      <w:r w:rsidR="0021341A">
        <w:t>% in 2023</w:t>
      </w:r>
      <w:r w:rsidR="00BE4D4B">
        <w:t>.</w:t>
      </w:r>
    </w:p>
    <w:p w14:paraId="5317DA1B" w14:textId="3319A012" w:rsidR="000346C8" w:rsidRPr="00B76A73" w:rsidRDefault="00C479D5" w:rsidP="00224BBF">
      <w:r w:rsidRPr="00B76A73">
        <w:t>R</w:t>
      </w:r>
      <w:r w:rsidR="00D96764" w:rsidRPr="00B76A73">
        <w:t xml:space="preserve">ecorded COVID-19 cases </w:t>
      </w:r>
      <w:r w:rsidR="00C05B0C">
        <w:t>fell</w:t>
      </w:r>
      <w:r w:rsidR="00860777">
        <w:t xml:space="preserve"> </w:t>
      </w:r>
      <w:r w:rsidR="00C05B0C">
        <w:t>throughout</w:t>
      </w:r>
      <w:r w:rsidR="00860777">
        <w:t xml:space="preserve"> the </w:t>
      </w:r>
      <w:r w:rsidR="00C05B0C">
        <w:t>1st</w:t>
      </w:r>
      <w:r w:rsidR="00860777">
        <w:t xml:space="preserve"> </w:t>
      </w:r>
      <w:r w:rsidR="00D96764" w:rsidRPr="00B76A73">
        <w:t xml:space="preserve">quarter </w:t>
      </w:r>
      <w:r w:rsidR="000346C8" w:rsidRPr="00B76A73">
        <w:t xml:space="preserve">of </w:t>
      </w:r>
      <w:r w:rsidR="00D96764" w:rsidRPr="00B76A73">
        <w:t>202</w:t>
      </w:r>
      <w:r w:rsidR="00C05B0C">
        <w:t>3</w:t>
      </w:r>
      <w:r w:rsidR="00D96764" w:rsidRPr="00B76A73">
        <w:t>. With widely available at-home test</w:t>
      </w:r>
      <w:r w:rsidR="00DF14A6" w:rsidRPr="00B76A73">
        <w:t>s</w:t>
      </w:r>
      <w:r w:rsidR="00D96764" w:rsidRPr="00B76A73">
        <w:t xml:space="preserve"> and relaxed testing policies </w:t>
      </w:r>
      <w:r w:rsidR="00CA1E58" w:rsidRPr="00B76A73">
        <w:t>in</w:t>
      </w:r>
      <w:r w:rsidR="00D96764" w:rsidRPr="00B76A73">
        <w:t xml:space="preserve"> </w:t>
      </w:r>
      <w:r w:rsidR="00DF14A6" w:rsidRPr="00B76A73">
        <w:t xml:space="preserve">public and private spaces across the U.S., official COVID case rates </w:t>
      </w:r>
      <w:r w:rsidR="00CA1E58" w:rsidRPr="00B76A73">
        <w:t>likely</w:t>
      </w:r>
      <w:r w:rsidR="00DF14A6" w:rsidRPr="00B76A73">
        <w:t xml:space="preserve"> no longer give an accurate picture of the virus’s reach</w:t>
      </w:r>
      <w:r w:rsidR="00224BBF" w:rsidRPr="00B76A73">
        <w:t>.</w:t>
      </w:r>
    </w:p>
    <w:p w14:paraId="045703EE" w14:textId="54688504" w:rsidR="00224BBF" w:rsidRPr="00B76A73" w:rsidRDefault="000E0FA4" w:rsidP="00224BBF">
      <w:r w:rsidRPr="00B76A73">
        <w:t>Vaccines have been established as a reliable way to limit serious illness and death from COVID-19</w:t>
      </w:r>
      <w:r w:rsidR="00396933">
        <w:t xml:space="preserve">. During the </w:t>
      </w:r>
      <w:r w:rsidR="00C05B0C">
        <w:t>1</w:t>
      </w:r>
      <w:r w:rsidR="00C05B0C" w:rsidRPr="00C05B0C">
        <w:rPr>
          <w:vertAlign w:val="superscript"/>
        </w:rPr>
        <w:t>st</w:t>
      </w:r>
      <w:r w:rsidR="00C05B0C">
        <w:t xml:space="preserve"> </w:t>
      </w:r>
      <w:r w:rsidR="00396933">
        <w:t xml:space="preserve">quarter, </w:t>
      </w:r>
      <w:r w:rsidR="00C05B0C">
        <w:t>7</w:t>
      </w:r>
      <w:r w:rsidR="00396933">
        <w:t>.7 million vaccine doses were administere</w:t>
      </w:r>
      <w:r w:rsidR="00C05B0C">
        <w:t>d in the U.S</w:t>
      </w:r>
      <w:r w:rsidR="00396933">
        <w:t>.</w:t>
      </w:r>
      <w:r w:rsidR="00396933" w:rsidRPr="00B76A73">
        <w:t xml:space="preserve"> </w:t>
      </w:r>
      <w:r w:rsidR="00C05B0C">
        <w:t>The number of vaccinated people in the U.S. rose by 1.34 million</w:t>
      </w:r>
      <w:r w:rsidR="00396933">
        <w:t xml:space="preserve"> and </w:t>
      </w:r>
      <w:r w:rsidR="00C05B0C">
        <w:t>the number</w:t>
      </w:r>
      <w:r w:rsidR="00396933">
        <w:t xml:space="preserve"> fully vaccinated</w:t>
      </w:r>
      <w:r w:rsidR="00C05B0C">
        <w:t xml:space="preserve"> rose by 0.88 million</w:t>
      </w:r>
      <w:r w:rsidR="00224BBF" w:rsidRPr="00B76A73">
        <w:t xml:space="preserve">. </w:t>
      </w:r>
      <w:r w:rsidR="009A160F">
        <w:t xml:space="preserve">Although </w:t>
      </w:r>
      <w:r w:rsidR="00BB06C1">
        <w:t>new research out of Canada suggests</w:t>
      </w:r>
      <w:r w:rsidR="003F469F" w:rsidRPr="00B76A73">
        <w:t xml:space="preserve"> COVID-19 </w:t>
      </w:r>
      <w:r w:rsidR="00BB06C1">
        <w:t>may be approaching</w:t>
      </w:r>
      <w:r w:rsidR="003F469F" w:rsidRPr="00B76A73">
        <w:t xml:space="preserve"> endemic </w:t>
      </w:r>
      <w:r w:rsidR="00BB06C1">
        <w:t>levels</w:t>
      </w:r>
      <w:r w:rsidR="003F469F" w:rsidRPr="00B76A73">
        <w:t xml:space="preserve">, </w:t>
      </w:r>
      <w:r w:rsidR="00BB06C1">
        <w:t>death rates from COVID-19 remained approximately 4 times that of a typical flu season. Still, a</w:t>
      </w:r>
      <w:r w:rsidR="003F469F" w:rsidRPr="00B76A73">
        <w:t xml:space="preserve"> combination of vaccination and prior infection has allowed </w:t>
      </w:r>
      <w:r w:rsidR="002366E1" w:rsidRPr="00B76A73">
        <w:t>many aspects of life and commerce to return close</w:t>
      </w:r>
      <w:r w:rsidR="00C05B0C">
        <w:t>r</w:t>
      </w:r>
      <w:r w:rsidR="002366E1" w:rsidRPr="00B76A73">
        <w:t xml:space="preserve"> to normal</w:t>
      </w:r>
      <w:r w:rsidR="00BB06C1">
        <w:t xml:space="preserve">, and the federal </w:t>
      </w:r>
      <w:r w:rsidR="00C92B4A">
        <w:t>public health</w:t>
      </w:r>
      <w:r w:rsidR="00BB06C1">
        <w:t xml:space="preserve"> emergency is set to end May</w:t>
      </w:r>
      <w:r w:rsidR="00C92B4A">
        <w:t xml:space="preserve"> 11, 2023</w:t>
      </w:r>
      <w:r w:rsidR="002366E1" w:rsidRPr="00B76A73">
        <w:t>.</w:t>
      </w:r>
      <w:r w:rsidR="00BB06C1">
        <w:t xml:space="preserve"> The coming months will reveal more about the seasonality of COVID-19 risk going forward.</w:t>
      </w:r>
    </w:p>
    <w:p w14:paraId="380DE2B2" w14:textId="6E29D8F8" w:rsidR="00F03302" w:rsidRPr="00B76A73" w:rsidRDefault="00B36811" w:rsidP="001E26E8">
      <w:pPr>
        <w:spacing w:before="160"/>
        <w:rPr>
          <w:strike/>
        </w:rPr>
      </w:pPr>
      <w:r w:rsidRPr="00B76A73">
        <w:t>A multifactor indicator of economic strength, the</w:t>
      </w:r>
      <w:r w:rsidR="00A615E8" w:rsidRPr="00B76A73">
        <w:t xml:space="preserve"> Philadelphia Fed’s coincident index</w:t>
      </w:r>
      <w:r w:rsidR="00EC7CB1" w:rsidRPr="00B76A73">
        <w:rPr>
          <w:rStyle w:val="FootnoteReference"/>
        </w:rPr>
        <w:footnoteReference w:id="1"/>
      </w:r>
      <w:r w:rsidR="00A615E8" w:rsidRPr="00B76A73">
        <w:t xml:space="preserve"> of economic activity in the U.S. </w:t>
      </w:r>
      <w:r w:rsidR="003A390C" w:rsidRPr="00B76A73">
        <w:t xml:space="preserve">rose </w:t>
      </w:r>
      <w:r w:rsidR="00795ECE" w:rsidRPr="00B76A73">
        <w:t>0.</w:t>
      </w:r>
      <w:r w:rsidR="003F24A9">
        <w:t>3</w:t>
      </w:r>
      <w:r w:rsidR="003A390C" w:rsidRPr="00B76A73">
        <w:t xml:space="preserve">% in </w:t>
      </w:r>
      <w:r w:rsidR="00056DC1">
        <w:t>March</w:t>
      </w:r>
      <w:r w:rsidR="00795ECE" w:rsidRPr="00B76A73">
        <w:t xml:space="preserve"> 202</w:t>
      </w:r>
      <w:r w:rsidR="00056DC1">
        <w:t>3</w:t>
      </w:r>
      <w:r w:rsidR="00795ECE" w:rsidRPr="00B76A73">
        <w:t xml:space="preserve"> </w:t>
      </w:r>
      <w:r w:rsidR="00C10F0A" w:rsidRPr="00B76A73">
        <w:t xml:space="preserve">and </w:t>
      </w:r>
      <w:r w:rsidR="003F24A9">
        <w:t>0.</w:t>
      </w:r>
      <w:r w:rsidR="00056DC1">
        <w:t>9</w:t>
      </w:r>
      <w:r w:rsidR="00C10F0A" w:rsidRPr="00B76A73">
        <w:t xml:space="preserve">% </w:t>
      </w:r>
      <w:r w:rsidR="00EC7CB1" w:rsidRPr="00B76A73">
        <w:t>during</w:t>
      </w:r>
      <w:r w:rsidR="00A615E8" w:rsidRPr="00B76A73">
        <w:t xml:space="preserve"> the </w:t>
      </w:r>
      <w:r w:rsidR="00056DC1">
        <w:t>1</w:t>
      </w:r>
      <w:r w:rsidR="00056DC1" w:rsidRPr="00056DC1">
        <w:rPr>
          <w:vertAlign w:val="superscript"/>
        </w:rPr>
        <w:t>st</w:t>
      </w:r>
      <w:r w:rsidR="00056DC1">
        <w:t xml:space="preserve"> </w:t>
      </w:r>
      <w:r w:rsidR="00A615E8" w:rsidRPr="00B76A73">
        <w:t>quarter</w:t>
      </w:r>
      <w:r w:rsidR="00AF420E" w:rsidRPr="00B76A73">
        <w:t xml:space="preserve">. </w:t>
      </w:r>
      <w:r w:rsidR="00EC7CB1" w:rsidRPr="00B76A73">
        <w:t>For the quarter</w:t>
      </w:r>
      <w:r w:rsidR="00A615E8" w:rsidRPr="00B76A73">
        <w:t xml:space="preserve">, coincident indexes </w:t>
      </w:r>
      <w:r w:rsidR="003F24A9" w:rsidRPr="003F24A9">
        <w:t xml:space="preserve">increased in </w:t>
      </w:r>
      <w:r w:rsidR="00056DC1">
        <w:t>49</w:t>
      </w:r>
      <w:r w:rsidR="003F24A9" w:rsidRPr="003F24A9">
        <w:t xml:space="preserve"> states and </w:t>
      </w:r>
      <w:r w:rsidR="00E2264B">
        <w:t>declined</w:t>
      </w:r>
      <w:r w:rsidR="003F24A9" w:rsidRPr="003F24A9">
        <w:t xml:space="preserve"> in </w:t>
      </w:r>
      <w:r w:rsidR="00056DC1">
        <w:t>1</w:t>
      </w:r>
      <w:r w:rsidR="003F24A9">
        <w:t xml:space="preserve"> state</w:t>
      </w:r>
      <w:r w:rsidR="00A615E8" w:rsidRPr="00B76A73">
        <w:t xml:space="preserve">. Coincident indexes reflect </w:t>
      </w:r>
      <w:r w:rsidR="00714B74" w:rsidRPr="00B76A73">
        <w:t>unemployment, payroll employment, manufacturing hours, and wages and salaries</w:t>
      </w:r>
      <w:r w:rsidR="00A14CD4" w:rsidRPr="00B76A73">
        <w:t>.</w:t>
      </w:r>
      <w:r w:rsidR="00714B74" w:rsidRPr="00B76A73">
        <w:t xml:space="preserve"> </w:t>
      </w:r>
    </w:p>
    <w:p w14:paraId="7739DC43" w14:textId="41C18986" w:rsidR="00A96A6A" w:rsidRPr="00B76A73" w:rsidRDefault="0027585A" w:rsidP="006D4E8F">
      <w:pPr>
        <w:jc w:val="center"/>
      </w:pPr>
      <w:r w:rsidRPr="00B76A73">
        <w:rPr>
          <w:noProof/>
        </w:rPr>
        <w:lastRenderedPageBreak/>
        <w:t xml:space="preserve"> </w:t>
      </w:r>
      <w:r w:rsidR="008F6F3B" w:rsidRPr="008F6F3B">
        <w:drawing>
          <wp:inline distT="0" distB="0" distL="0" distR="0" wp14:anchorId="7F73970E" wp14:editId="47EF12FF">
            <wp:extent cx="5943600" cy="3261360"/>
            <wp:effectExtent l="0" t="0" r="0" b="0"/>
            <wp:docPr id="6061174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CFF26" w14:textId="1EBBCD40" w:rsidR="003477B7" w:rsidRPr="00B76A73" w:rsidRDefault="00CA4851" w:rsidP="008C0F54">
      <w:pPr>
        <w:spacing w:before="160"/>
      </w:pPr>
      <w:r w:rsidRPr="00B76A73">
        <w:t>T</w:t>
      </w:r>
      <w:r w:rsidR="009E4D8D" w:rsidRPr="00B76A73">
        <w:t>he U.S. dollar index</w:t>
      </w:r>
      <w:r w:rsidR="00DA3959" w:rsidRPr="00B76A73">
        <w:t xml:space="preserve"> for goods and services</w:t>
      </w:r>
      <w:r w:rsidR="00053E46" w:rsidRPr="00B76A73">
        <w:rPr>
          <w:rStyle w:val="FootnoteReference"/>
        </w:rPr>
        <w:footnoteReference w:id="2"/>
      </w:r>
      <w:r w:rsidR="009E4D8D" w:rsidRPr="00B76A73">
        <w:t xml:space="preserve"> </w:t>
      </w:r>
      <w:r w:rsidR="00B85E37">
        <w:t xml:space="preserve">fell </w:t>
      </w:r>
      <w:r w:rsidR="00056DC1">
        <w:t>1.6</w:t>
      </w:r>
      <w:r w:rsidR="004903C9" w:rsidRPr="00B76A73">
        <w:t>%</w:t>
      </w:r>
      <w:r w:rsidR="00442565" w:rsidRPr="00B76A73">
        <w:t xml:space="preserve"> during</w:t>
      </w:r>
      <w:r w:rsidR="00DA3959" w:rsidRPr="00B76A73">
        <w:t xml:space="preserve"> the </w:t>
      </w:r>
      <w:r w:rsidR="00056DC1">
        <w:t>1</w:t>
      </w:r>
      <w:r w:rsidR="00056DC1" w:rsidRPr="00056DC1">
        <w:rPr>
          <w:vertAlign w:val="superscript"/>
        </w:rPr>
        <w:t>st</w:t>
      </w:r>
      <w:r w:rsidR="00056DC1">
        <w:t xml:space="preserve"> </w:t>
      </w:r>
      <w:r w:rsidR="00BF6BF5" w:rsidRPr="00B76A73">
        <w:t>quarter of 202</w:t>
      </w:r>
      <w:r w:rsidR="00BF6BF5">
        <w:t>3 but</w:t>
      </w:r>
      <w:r w:rsidR="009A160F">
        <w:t xml:space="preserve"> was</w:t>
      </w:r>
      <w:r w:rsidR="00D3695A">
        <w:t xml:space="preserve"> up </w:t>
      </w:r>
      <w:r w:rsidR="00056DC1">
        <w:t>3.7</w:t>
      </w:r>
      <w:r w:rsidR="007939CA" w:rsidRPr="00B76A73">
        <w:t xml:space="preserve">% </w:t>
      </w:r>
      <w:r w:rsidR="00E2264B">
        <w:t>compared</w:t>
      </w:r>
      <w:r w:rsidR="007939CA" w:rsidRPr="00B76A73">
        <w:t xml:space="preserve"> </w:t>
      </w:r>
      <w:r w:rsidR="00E2264B">
        <w:t xml:space="preserve">to </w:t>
      </w:r>
      <w:r w:rsidR="00D3695A">
        <w:t xml:space="preserve">the </w:t>
      </w:r>
      <w:r w:rsidR="007030F0">
        <w:t>same period one year prior</w:t>
      </w:r>
      <w:r w:rsidR="009E4D8D" w:rsidRPr="00B76A73">
        <w:t>.</w:t>
      </w:r>
      <w:r w:rsidR="002857FD" w:rsidRPr="00B76A73">
        <w:t xml:space="preserve"> </w:t>
      </w:r>
      <w:r w:rsidR="007030F0">
        <w:t>T</w:t>
      </w:r>
      <w:r w:rsidR="000B43C0" w:rsidRPr="00B76A73">
        <w:t>he dollar</w:t>
      </w:r>
      <w:r w:rsidR="003926DD">
        <w:t xml:space="preserve"> </w:t>
      </w:r>
      <w:r w:rsidR="007030F0">
        <w:t xml:space="preserve">slipped in late March after the Federal Reserve raised target rates but softened its predictions on future rate hikes. In its March meetings, which followed two bank failures, the Fed </w:t>
      </w:r>
      <w:r w:rsidR="00BF6BF5">
        <w:t>suggested there might be</w:t>
      </w:r>
      <w:r w:rsidR="007030F0">
        <w:t xml:space="preserve"> only one further rate hike this year</w:t>
      </w:r>
      <w:r w:rsidR="0079151F" w:rsidRPr="00B76A73">
        <w:t>.</w:t>
      </w:r>
    </w:p>
    <w:p w14:paraId="5FD9C9E3" w14:textId="28854472" w:rsidR="004D1C9D" w:rsidRPr="00B76A73" w:rsidRDefault="008F6F3B" w:rsidP="006D4E8F">
      <w:pPr>
        <w:jc w:val="center"/>
      </w:pPr>
      <w:r>
        <w:rPr>
          <w:noProof/>
        </w:rPr>
        <w:drawing>
          <wp:inline distT="0" distB="0" distL="0" distR="0" wp14:anchorId="5A748601" wp14:editId="4203D814">
            <wp:extent cx="4097020" cy="2658110"/>
            <wp:effectExtent l="0" t="0" r="0" b="8890"/>
            <wp:docPr id="12919020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EF9" w14:textId="2E5F76E4" w:rsidR="002731EF" w:rsidRPr="00B76A73" w:rsidRDefault="001058D4" w:rsidP="001475FF">
      <w:pPr>
        <w:pStyle w:val="Heading1"/>
      </w:pPr>
      <w:r w:rsidRPr="00B76A73">
        <w:lastRenderedPageBreak/>
        <w:t>Q</w:t>
      </w:r>
      <w:r w:rsidR="006C1321">
        <w:t>1</w:t>
      </w:r>
      <w:r w:rsidRPr="00B76A73">
        <w:t xml:space="preserve"> </w:t>
      </w:r>
      <w:r w:rsidR="002731EF" w:rsidRPr="00B76A73">
        <w:t>Economic Highlights</w:t>
      </w:r>
    </w:p>
    <w:p w14:paraId="7FCBE057" w14:textId="40950A1A" w:rsidR="00540D2B" w:rsidRPr="00E66555" w:rsidRDefault="00540D2B" w:rsidP="00E528F7">
      <w:pPr>
        <w:pStyle w:val="ListParagraph"/>
        <w:numPr>
          <w:ilvl w:val="0"/>
          <w:numId w:val="3"/>
        </w:numPr>
      </w:pPr>
      <w:r w:rsidRPr="00B76A73">
        <w:t xml:space="preserve">The Philadelphia Fed’s coincident index of economic activity in the U.S. </w:t>
      </w:r>
      <w:r w:rsidR="007618D6" w:rsidRPr="00B76A73">
        <w:t xml:space="preserve">rose </w:t>
      </w:r>
      <w:r w:rsidR="009A160F" w:rsidRPr="00B76A73">
        <w:t>0.</w:t>
      </w:r>
      <w:r w:rsidR="009A160F">
        <w:t>3</w:t>
      </w:r>
      <w:r w:rsidR="009A160F" w:rsidRPr="00B76A73">
        <w:t xml:space="preserve">% in </w:t>
      </w:r>
      <w:r w:rsidR="0069186C">
        <w:t>March 2023</w:t>
      </w:r>
      <w:r w:rsidR="009A160F" w:rsidRPr="00B76A73">
        <w:t xml:space="preserve"> and </w:t>
      </w:r>
      <w:r w:rsidR="009A160F">
        <w:t>0.</w:t>
      </w:r>
      <w:r w:rsidR="0069186C" w:rsidRPr="00E66555">
        <w:t>9</w:t>
      </w:r>
      <w:r w:rsidR="009A160F" w:rsidRPr="00E66555">
        <w:t xml:space="preserve">% during the </w:t>
      </w:r>
      <w:r w:rsidR="0069186C" w:rsidRPr="00E66555">
        <w:t>1</w:t>
      </w:r>
      <w:r w:rsidR="0069186C" w:rsidRPr="00E66555">
        <w:rPr>
          <w:vertAlign w:val="superscript"/>
        </w:rPr>
        <w:t>st</w:t>
      </w:r>
      <w:r w:rsidR="0069186C" w:rsidRPr="00E66555">
        <w:t xml:space="preserve"> </w:t>
      </w:r>
      <w:r w:rsidR="009A160F" w:rsidRPr="00E66555">
        <w:t>quarter</w:t>
      </w:r>
      <w:r w:rsidRPr="00E66555">
        <w:t>.</w:t>
      </w:r>
    </w:p>
    <w:p w14:paraId="1CF55C2B" w14:textId="77777777" w:rsidR="0069186C" w:rsidRPr="00E66555" w:rsidRDefault="0069186C" w:rsidP="0069186C">
      <w:pPr>
        <w:pStyle w:val="ListParagraph"/>
        <w:numPr>
          <w:ilvl w:val="0"/>
          <w:numId w:val="3"/>
        </w:numPr>
      </w:pPr>
      <w:r w:rsidRPr="00E66555">
        <w:t>The U.S. dollar index fell 1.6% during the 1</w:t>
      </w:r>
      <w:r w:rsidRPr="00E66555">
        <w:rPr>
          <w:vertAlign w:val="superscript"/>
        </w:rPr>
        <w:t>st</w:t>
      </w:r>
      <w:r w:rsidRPr="00E66555">
        <w:t xml:space="preserve"> quarter of 2023 but was up 3.7% since the same period one year prior.</w:t>
      </w:r>
    </w:p>
    <w:p w14:paraId="149D5EFA" w14:textId="3D10B3E9" w:rsidR="002608F3" w:rsidRPr="00E66555" w:rsidRDefault="006C2DAB" w:rsidP="00E528F7">
      <w:pPr>
        <w:pStyle w:val="ListParagraph"/>
        <w:numPr>
          <w:ilvl w:val="0"/>
          <w:numId w:val="3"/>
        </w:numPr>
      </w:pPr>
      <w:r w:rsidRPr="00E66555">
        <w:t xml:space="preserve">Real GDP </w:t>
      </w:r>
      <w:r w:rsidR="00E66555" w:rsidRPr="00E66555">
        <w:t>grew at an annualized rate of 1.1% during the 1</w:t>
      </w:r>
      <w:r w:rsidR="00E66555" w:rsidRPr="00E66555">
        <w:rPr>
          <w:vertAlign w:val="superscript"/>
        </w:rPr>
        <w:t>st</w:t>
      </w:r>
      <w:r w:rsidR="00E66555" w:rsidRPr="00E66555">
        <w:t xml:space="preserve"> quarter of 2023, decelerating from its 2.6% increase in the 4</w:t>
      </w:r>
      <w:r w:rsidR="00E66555" w:rsidRPr="00E66555">
        <w:rPr>
          <w:vertAlign w:val="superscript"/>
        </w:rPr>
        <w:t xml:space="preserve">th </w:t>
      </w:r>
      <w:r w:rsidR="00E66555" w:rsidRPr="00E66555">
        <w:t>quarter of 2022</w:t>
      </w:r>
      <w:r w:rsidR="00D93A8B" w:rsidRPr="00E66555">
        <w:t>.</w:t>
      </w:r>
    </w:p>
    <w:p w14:paraId="149D5EFD" w14:textId="25BDC706" w:rsidR="0076717F" w:rsidRPr="00E66555" w:rsidRDefault="00591A62" w:rsidP="00E528F7">
      <w:pPr>
        <w:pStyle w:val="ListParagraph"/>
        <w:numPr>
          <w:ilvl w:val="0"/>
          <w:numId w:val="3"/>
        </w:numPr>
      </w:pPr>
      <w:r w:rsidRPr="00E66555">
        <w:t xml:space="preserve">The effective federal funds rate </w:t>
      </w:r>
      <w:r w:rsidR="00E66555" w:rsidRPr="00E66555">
        <w:t>rose 0.55 percentage point</w:t>
      </w:r>
      <w:r w:rsidR="00E2264B">
        <w:t>s</w:t>
      </w:r>
      <w:r w:rsidR="00E66555" w:rsidRPr="00E66555">
        <w:t xml:space="preserve"> to 4.65% during the 1</w:t>
      </w:r>
      <w:r w:rsidR="00E66555" w:rsidRPr="00E66555">
        <w:rPr>
          <w:vertAlign w:val="superscript"/>
        </w:rPr>
        <w:t>st</w:t>
      </w:r>
      <w:r w:rsidR="00E66555" w:rsidRPr="00E66555">
        <w:t xml:space="preserve"> quarter</w:t>
      </w:r>
      <w:r w:rsidR="006449AC" w:rsidRPr="00E66555">
        <w:t xml:space="preserve">, continuing </w:t>
      </w:r>
      <w:r w:rsidR="00D03C98" w:rsidRPr="00E66555">
        <w:t xml:space="preserve">the climb from near-zero levels </w:t>
      </w:r>
      <w:r w:rsidR="00C8448F" w:rsidRPr="00E66555">
        <w:t xml:space="preserve">that began </w:t>
      </w:r>
      <w:r w:rsidR="00E66555" w:rsidRPr="00E66555">
        <w:t>last</w:t>
      </w:r>
      <w:r w:rsidR="00D03C98" w:rsidRPr="00E66555">
        <w:t xml:space="preserve"> March</w:t>
      </w:r>
      <w:r w:rsidR="00D93A8B" w:rsidRPr="00E66555">
        <w:t xml:space="preserve">. </w:t>
      </w:r>
    </w:p>
    <w:p w14:paraId="6AA929FC" w14:textId="3D5514D6" w:rsidR="00591A62" w:rsidRPr="00E66555" w:rsidRDefault="00C8448F" w:rsidP="0069122E">
      <w:pPr>
        <w:pStyle w:val="ListParagraph"/>
        <w:numPr>
          <w:ilvl w:val="0"/>
          <w:numId w:val="3"/>
        </w:numPr>
      </w:pPr>
      <w:r w:rsidRPr="00E66555">
        <w:t xml:space="preserve">The 1-year and 2-year annual treasury yields ended </w:t>
      </w:r>
      <w:r w:rsidR="00E66555" w:rsidRPr="00E66555">
        <w:t>the 1</w:t>
      </w:r>
      <w:r w:rsidR="00E66555" w:rsidRPr="00E66555">
        <w:rPr>
          <w:vertAlign w:val="superscript"/>
        </w:rPr>
        <w:t>st</w:t>
      </w:r>
      <w:r w:rsidR="00E66555" w:rsidRPr="00E66555">
        <w:t xml:space="preserve"> quarter at 4.64% and 4.06%, respectively. The benchmark 10-year treasury yielded 3.48% at the end of the quarter, while the 30-year treasury yielded 3.67%</w:t>
      </w:r>
      <w:r w:rsidR="00E66555" w:rsidRPr="00E66555">
        <w:rPr>
          <w:color w:val="000000" w:themeColor="text1"/>
        </w:rPr>
        <w:t>.</w:t>
      </w:r>
    </w:p>
    <w:p w14:paraId="2A4826B3" w14:textId="3AB88C1F" w:rsidR="0069122E" w:rsidRPr="00E66555" w:rsidRDefault="00E66555" w:rsidP="0069122E">
      <w:pPr>
        <w:pStyle w:val="ListParagraph"/>
        <w:numPr>
          <w:ilvl w:val="0"/>
          <w:numId w:val="3"/>
        </w:numPr>
      </w:pPr>
      <w:r w:rsidRPr="00E66555">
        <w:t>The u</w:t>
      </w:r>
      <w:r w:rsidR="0069122E" w:rsidRPr="00E66555">
        <w:t>nemployment</w:t>
      </w:r>
      <w:r w:rsidRPr="00E66555">
        <w:t xml:space="preserve"> rate</w:t>
      </w:r>
      <w:r w:rsidR="0069122E" w:rsidRPr="00E66555">
        <w:t xml:space="preserve"> </w:t>
      </w:r>
      <w:r w:rsidRPr="00E66555">
        <w:t>ended the 1</w:t>
      </w:r>
      <w:r w:rsidRPr="00E66555">
        <w:rPr>
          <w:vertAlign w:val="superscript"/>
        </w:rPr>
        <w:t>st</w:t>
      </w:r>
      <w:r w:rsidRPr="00E66555">
        <w:t xml:space="preserve"> quarter at 3.5%, unchanged from the prior quarter</w:t>
      </w:r>
      <w:r w:rsidR="006449AC" w:rsidRPr="00E66555">
        <w:t xml:space="preserve">. </w:t>
      </w:r>
      <w:r w:rsidR="00F051F3" w:rsidRPr="00E66555">
        <w:t xml:space="preserve">Nonfarm payrolls </w:t>
      </w:r>
      <w:r w:rsidRPr="00E66555">
        <w:t>grew by 0.9 million jobs in the 1</w:t>
      </w:r>
      <w:r w:rsidRPr="00E66555">
        <w:rPr>
          <w:vertAlign w:val="superscript"/>
        </w:rPr>
        <w:t>st</w:t>
      </w:r>
      <w:r w:rsidRPr="00E66555">
        <w:t xml:space="preserve"> quarter</w:t>
      </w:r>
      <w:r w:rsidR="00CF666C" w:rsidRPr="00E66555">
        <w:rPr>
          <w:color w:val="000000" w:themeColor="text1"/>
        </w:rPr>
        <w:t>.</w:t>
      </w:r>
      <w:r w:rsidR="00C328EF" w:rsidRPr="00E66555">
        <w:t xml:space="preserve"> </w:t>
      </w:r>
    </w:p>
    <w:p w14:paraId="149D5EFF" w14:textId="78A424CE" w:rsidR="003E4ACB" w:rsidRPr="00E66555" w:rsidRDefault="007A4896" w:rsidP="00E528F7">
      <w:pPr>
        <w:pStyle w:val="ListParagraph"/>
        <w:numPr>
          <w:ilvl w:val="0"/>
          <w:numId w:val="3"/>
        </w:numPr>
      </w:pPr>
      <w:r w:rsidRPr="00E66555">
        <w:t>The Consumer Price Index</w:t>
      </w:r>
      <w:r w:rsidR="006E4B4F" w:rsidRPr="00E66555">
        <w:t xml:space="preserve"> </w:t>
      </w:r>
      <w:r w:rsidR="00C8448F" w:rsidRPr="00E66555">
        <w:t xml:space="preserve">for all items </w:t>
      </w:r>
      <w:r w:rsidR="00E66555" w:rsidRPr="00E66555">
        <w:t>rose 5.0% year-over-year in March 2023, down from its more-than-40-year high of 8.9% in June 2022</w:t>
      </w:r>
      <w:r w:rsidR="006449AC" w:rsidRPr="00E66555">
        <w:t xml:space="preserve">. Excluding volatile energy prices, </w:t>
      </w:r>
      <w:r w:rsidR="00E66555" w:rsidRPr="00E66555">
        <w:t>the annual increase was 6.0%.</w:t>
      </w:r>
    </w:p>
    <w:p w14:paraId="02DFF80C" w14:textId="33853171" w:rsidR="0069122E" w:rsidRPr="00E66555" w:rsidRDefault="00D04F3A" w:rsidP="0069122E">
      <w:pPr>
        <w:pStyle w:val="ListParagraph"/>
        <w:numPr>
          <w:ilvl w:val="0"/>
          <w:numId w:val="3"/>
        </w:numPr>
      </w:pPr>
      <w:r w:rsidRPr="00E66555">
        <w:t xml:space="preserve">Crude </w:t>
      </w:r>
      <w:r w:rsidR="0024113D" w:rsidRPr="00E66555">
        <w:t xml:space="preserve">oil </w:t>
      </w:r>
      <w:r w:rsidRPr="00E66555">
        <w:t xml:space="preserve">prices </w:t>
      </w:r>
      <w:r w:rsidR="00E66555" w:rsidRPr="00E66555">
        <w:t>ended the 1</w:t>
      </w:r>
      <w:r w:rsidR="00E66555" w:rsidRPr="00E66555">
        <w:rPr>
          <w:vertAlign w:val="superscript"/>
        </w:rPr>
        <w:t>st</w:t>
      </w:r>
      <w:r w:rsidR="00E66555" w:rsidRPr="00E66555">
        <w:t xml:space="preserve"> quarter at $75.68 per barrel, down 5.6% from the prior quarter and 24.7% over one year</w:t>
      </w:r>
      <w:r w:rsidR="0069122E" w:rsidRPr="00E66555">
        <w:t>.</w:t>
      </w:r>
    </w:p>
    <w:p w14:paraId="149D5F00" w14:textId="0234322C" w:rsidR="003E4ACB" w:rsidRPr="00E66555" w:rsidRDefault="00D04F3A" w:rsidP="00E528F7">
      <w:pPr>
        <w:pStyle w:val="ListParagraph"/>
        <w:numPr>
          <w:ilvl w:val="0"/>
          <w:numId w:val="3"/>
        </w:numPr>
      </w:pPr>
      <w:r w:rsidRPr="00E66555">
        <w:t xml:space="preserve">New home starts </w:t>
      </w:r>
      <w:r w:rsidR="00E66555" w:rsidRPr="00E66555">
        <w:t>rose 5.3% during the first quarter to a level of 1.42 million in March</w:t>
      </w:r>
      <w:r w:rsidR="0035542E" w:rsidRPr="00E66555">
        <w:t>.</w:t>
      </w:r>
      <w:r w:rsidR="00E66555" w:rsidRPr="00E66555">
        <w:t xml:space="preserve"> Total new home starts were down 17.2% </w:t>
      </w:r>
      <w:r w:rsidR="00E2264B">
        <w:t>year-over-year</w:t>
      </w:r>
      <w:r w:rsidR="00E66555" w:rsidRPr="00E66555">
        <w:t>.</w:t>
      </w:r>
    </w:p>
    <w:p w14:paraId="149D5F03" w14:textId="302985D0" w:rsidR="00867D68" w:rsidRPr="00E66555" w:rsidRDefault="00E66555" w:rsidP="00F94484">
      <w:pPr>
        <w:pStyle w:val="ListParagraph"/>
        <w:numPr>
          <w:ilvl w:val="0"/>
          <w:numId w:val="3"/>
        </w:numPr>
      </w:pPr>
      <w:r w:rsidRPr="00E66555">
        <w:rPr>
          <w:noProof/>
        </w:rPr>
        <w:t>The NASDAQ composite rose 16.8% during the 1</w:t>
      </w:r>
      <w:r w:rsidRPr="00E66555">
        <w:rPr>
          <w:noProof/>
          <w:vertAlign w:val="superscript"/>
        </w:rPr>
        <w:t>st</w:t>
      </w:r>
      <w:r w:rsidRPr="00E66555">
        <w:rPr>
          <w:noProof/>
        </w:rPr>
        <w:t xml:space="preserve"> quarter. The Dow Jones Transportation Average climbed 7.8%, the S&amp;P 500 was up 7.0%, and the Wilshire 5000 was up 6.8% for the quarter.</w:t>
      </w:r>
    </w:p>
    <w:p w14:paraId="149D5F04" w14:textId="77777777" w:rsidR="00057711" w:rsidRPr="00B76A73" w:rsidRDefault="00057711" w:rsidP="00057711">
      <w:pPr>
        <w:pStyle w:val="Heading1"/>
      </w:pPr>
      <w:r w:rsidRPr="00B76A73">
        <w:t>Business Activity</w:t>
      </w:r>
    </w:p>
    <w:p w14:paraId="25413EE4" w14:textId="763A859B" w:rsidR="00A96A6A" w:rsidRPr="00B76A73" w:rsidRDefault="00142F71" w:rsidP="00057711">
      <w:r w:rsidRPr="00B76A73">
        <w:t>R</w:t>
      </w:r>
      <w:r w:rsidR="0080028D" w:rsidRPr="00B76A73">
        <w:t>eal gross domestic product (GDP)</w:t>
      </w:r>
      <w:r w:rsidR="00A8559D" w:rsidRPr="00B76A73">
        <w:rPr>
          <w:rStyle w:val="FootnoteReference"/>
        </w:rPr>
        <w:footnoteReference w:id="3"/>
      </w:r>
      <w:r w:rsidR="0080028D" w:rsidRPr="00B76A73">
        <w:t xml:space="preserve"> </w:t>
      </w:r>
      <w:r w:rsidR="0070151C">
        <w:t>grew</w:t>
      </w:r>
      <w:r w:rsidR="00D34B81" w:rsidRPr="00B76A73">
        <w:t xml:space="preserve"> at an annualized rate of </w:t>
      </w:r>
      <w:r w:rsidR="0070151C">
        <w:t>1.1</w:t>
      </w:r>
      <w:r w:rsidR="00D34B81" w:rsidRPr="00B76A73">
        <w:t>%</w:t>
      </w:r>
      <w:r w:rsidR="0070151C">
        <w:t xml:space="preserve"> during the 1</w:t>
      </w:r>
      <w:r w:rsidR="0070151C" w:rsidRPr="0070151C">
        <w:rPr>
          <w:vertAlign w:val="superscript"/>
        </w:rPr>
        <w:t>st</w:t>
      </w:r>
      <w:r w:rsidR="0070151C">
        <w:t xml:space="preserve"> quarter of 2023</w:t>
      </w:r>
      <w:r w:rsidR="00D34B81" w:rsidRPr="00B76A73">
        <w:t xml:space="preserve">, </w:t>
      </w:r>
      <w:r w:rsidR="006D705D">
        <w:t>decelerating from its</w:t>
      </w:r>
      <w:r w:rsidR="00D34B81" w:rsidRPr="00B76A73">
        <w:t xml:space="preserve"> </w:t>
      </w:r>
      <w:r w:rsidR="0070151C">
        <w:t>2.6</w:t>
      </w:r>
      <w:r w:rsidR="00D34B81" w:rsidRPr="00B76A73">
        <w:t xml:space="preserve">% </w:t>
      </w:r>
      <w:r w:rsidR="00AD2210">
        <w:t>inc</w:t>
      </w:r>
      <w:r w:rsidR="00D34B81" w:rsidRPr="00B76A73">
        <w:t xml:space="preserve">rease in the </w:t>
      </w:r>
      <w:r w:rsidR="0070151C">
        <w:t>4</w:t>
      </w:r>
      <w:r w:rsidR="0070151C" w:rsidRPr="0070151C">
        <w:rPr>
          <w:vertAlign w:val="superscript"/>
        </w:rPr>
        <w:t>th</w:t>
      </w:r>
      <w:r w:rsidR="0070151C">
        <w:rPr>
          <w:vertAlign w:val="superscript"/>
        </w:rPr>
        <w:t xml:space="preserve"> </w:t>
      </w:r>
      <w:r w:rsidR="00D34B81" w:rsidRPr="00B76A73">
        <w:t>quarter of 2022</w:t>
      </w:r>
      <w:r w:rsidR="00FD75F3" w:rsidRPr="00B76A73">
        <w:t xml:space="preserve">. </w:t>
      </w:r>
      <w:r w:rsidR="006D705D">
        <w:t xml:space="preserve">Slower growth was attributed to interest rate hikes and inflation, yet consumer demand remained strong. Personal </w:t>
      </w:r>
      <w:r w:rsidR="00E260D7">
        <w:t>and government spending</w:t>
      </w:r>
      <w:r w:rsidR="006D705D">
        <w:t xml:space="preserve"> </w:t>
      </w:r>
      <w:r w:rsidR="00E260D7">
        <w:t>contributed to</w:t>
      </w:r>
      <w:r w:rsidR="006D705D">
        <w:t xml:space="preserve"> the 1</w:t>
      </w:r>
      <w:r w:rsidR="006D705D" w:rsidRPr="006D705D">
        <w:rPr>
          <w:vertAlign w:val="superscript"/>
        </w:rPr>
        <w:t>st</w:t>
      </w:r>
      <w:r w:rsidR="006D705D">
        <w:t xml:space="preserve"> quarter increase</w:t>
      </w:r>
      <w:r w:rsidR="006A05B4">
        <w:t>, as did exports</w:t>
      </w:r>
      <w:r w:rsidR="00FD75F3" w:rsidRPr="00B76A73">
        <w:t>.</w:t>
      </w:r>
      <w:r w:rsidR="006D705D">
        <w:t xml:space="preserve"> Many economists expect real GDP gains to continue to soften</w:t>
      </w:r>
      <w:r w:rsidR="006B361C">
        <w:t xml:space="preserve"> in 2023.</w:t>
      </w:r>
    </w:p>
    <w:p w14:paraId="7810A9C6" w14:textId="0ADE54B4" w:rsidR="00A96A6A" w:rsidRPr="00B76A73" w:rsidRDefault="008F6F3B" w:rsidP="005117CA">
      <w:pPr>
        <w:jc w:val="center"/>
      </w:pPr>
      <w:r>
        <w:rPr>
          <w:noProof/>
        </w:rPr>
        <w:lastRenderedPageBreak/>
        <w:drawing>
          <wp:inline distT="0" distB="0" distL="0" distR="0" wp14:anchorId="201A4022" wp14:editId="74340630">
            <wp:extent cx="4097020" cy="2651760"/>
            <wp:effectExtent l="0" t="0" r="0" b="0"/>
            <wp:docPr id="77047224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17CE2" w14:textId="0B6B840B" w:rsidR="00C060D2" w:rsidRPr="00B76A73" w:rsidRDefault="00C060D2" w:rsidP="00C060D2">
      <w:r w:rsidRPr="00B76A73">
        <w:t>Personal consumption expenditures</w:t>
      </w:r>
      <w:r w:rsidRPr="00B76A73">
        <w:rPr>
          <w:rStyle w:val="FootnoteReference"/>
        </w:rPr>
        <w:footnoteReference w:id="4"/>
      </w:r>
      <w:r w:rsidRPr="00B76A73">
        <w:t xml:space="preserve"> (PCE) had a positive </w:t>
      </w:r>
      <w:r w:rsidR="00E260D7">
        <w:t>2.5</w:t>
      </w:r>
      <w:r w:rsidRPr="00B76A73">
        <w:t>% effect on real GDP</w:t>
      </w:r>
      <w:r w:rsidR="007477D7">
        <w:t xml:space="preserve"> in the </w:t>
      </w:r>
      <w:r w:rsidR="00E260D7">
        <w:t>1</w:t>
      </w:r>
      <w:r w:rsidR="00E260D7" w:rsidRPr="00E260D7">
        <w:rPr>
          <w:vertAlign w:val="superscript"/>
        </w:rPr>
        <w:t>st</w:t>
      </w:r>
      <w:r w:rsidR="00E260D7">
        <w:t xml:space="preserve"> </w:t>
      </w:r>
      <w:r w:rsidR="007477D7">
        <w:t>quarter</w:t>
      </w:r>
      <w:r w:rsidRPr="00B76A73">
        <w:t xml:space="preserve">. Growth in personal spending was led by </w:t>
      </w:r>
      <w:r w:rsidR="00AF1F92">
        <w:t>increases in both goods and services consumption, especially for motor vehicles and parts and health care</w:t>
      </w:r>
      <w:r>
        <w:t>.</w:t>
      </w:r>
    </w:p>
    <w:p w14:paraId="08B1E397" w14:textId="779CAA76" w:rsidR="00C060D2" w:rsidRPr="00B76A73" w:rsidRDefault="00C060D2" w:rsidP="00C060D2">
      <w:r w:rsidRPr="00B76A73">
        <w:t>Government expenditures</w:t>
      </w:r>
      <w:r w:rsidRPr="00B76A73">
        <w:rPr>
          <w:rStyle w:val="FootnoteReference"/>
        </w:rPr>
        <w:footnoteReference w:id="5"/>
      </w:r>
      <w:r w:rsidRPr="00B76A73">
        <w:t xml:space="preserve"> rose at both the federal level and the state and local level to contribute 0.</w:t>
      </w:r>
      <w:r w:rsidR="00AF1F92">
        <w:t>8</w:t>
      </w:r>
      <w:r w:rsidRPr="00B76A73">
        <w:t xml:space="preserve">% to the </w:t>
      </w:r>
      <w:r w:rsidR="00AF1F92">
        <w:t>1</w:t>
      </w:r>
      <w:r w:rsidR="00AF1F92" w:rsidRPr="00AF1F92">
        <w:rPr>
          <w:vertAlign w:val="superscript"/>
        </w:rPr>
        <w:t>st</w:t>
      </w:r>
      <w:r w:rsidR="00AF1F92">
        <w:t xml:space="preserve"> </w:t>
      </w:r>
      <w:r w:rsidRPr="00B76A73">
        <w:t xml:space="preserve">quarter GDP gain. </w:t>
      </w:r>
      <w:r w:rsidR="00AF1F92">
        <w:t>F</w:t>
      </w:r>
      <w:r w:rsidRPr="00B76A73">
        <w:t>ederal spending</w:t>
      </w:r>
      <w:r w:rsidR="00AF1F92">
        <w:t xml:space="preserve"> growth was led by nondefense consumption; defense consumption also rose</w:t>
      </w:r>
      <w:r w:rsidRPr="00B76A73">
        <w:t>. Higher state and local government spending primarily reflected increases in employee compensation.</w:t>
      </w:r>
    </w:p>
    <w:p w14:paraId="0D92AC13" w14:textId="361285B7" w:rsidR="00DD2ED8" w:rsidRPr="00B76A73" w:rsidRDefault="00DD2ED8" w:rsidP="00DD2ED8">
      <w:r w:rsidRPr="00B76A73">
        <w:t>Net exports</w:t>
      </w:r>
      <w:r w:rsidRPr="00B76A73">
        <w:rPr>
          <w:rStyle w:val="FootnoteReference"/>
        </w:rPr>
        <w:footnoteReference w:id="6"/>
      </w:r>
      <w:r w:rsidRPr="00B76A73">
        <w:t xml:space="preserve"> </w:t>
      </w:r>
      <w:r w:rsidR="006F154C">
        <w:t>contributed a further</w:t>
      </w:r>
      <w:r w:rsidRPr="00B76A73">
        <w:t xml:space="preserve"> </w:t>
      </w:r>
      <w:r w:rsidR="006F154C">
        <w:t>0.</w:t>
      </w:r>
      <w:r w:rsidR="00AF1F92">
        <w:t>1</w:t>
      </w:r>
      <w:r w:rsidRPr="00B76A73">
        <w:t xml:space="preserve">% </w:t>
      </w:r>
      <w:r w:rsidR="006F154C">
        <w:t xml:space="preserve">to </w:t>
      </w:r>
      <w:r w:rsidR="00C051CD">
        <w:t xml:space="preserve">real GDP growth in the </w:t>
      </w:r>
      <w:r w:rsidR="00AF1F92">
        <w:t>1</w:t>
      </w:r>
      <w:r w:rsidR="00AF1F92" w:rsidRPr="00AF1F92">
        <w:rPr>
          <w:vertAlign w:val="superscript"/>
        </w:rPr>
        <w:t>st</w:t>
      </w:r>
      <w:r w:rsidR="00AF1F92">
        <w:t xml:space="preserve"> quarter</w:t>
      </w:r>
      <w:r w:rsidRPr="00B76A73">
        <w:t xml:space="preserve">, as </w:t>
      </w:r>
      <w:r w:rsidR="00C051CD">
        <w:t>export</w:t>
      </w:r>
      <w:r w:rsidR="00AF1F92">
        <w:t>s rose more than imports</w:t>
      </w:r>
      <w:r w:rsidRPr="00B76A73">
        <w:t>.</w:t>
      </w:r>
      <w:r w:rsidR="00EF6BDF">
        <w:t xml:space="preserve"> </w:t>
      </w:r>
      <w:r w:rsidR="0076714B">
        <w:t>The rise in</w:t>
      </w:r>
      <w:r w:rsidR="00AF1F92">
        <w:t xml:space="preserve"> exports </w:t>
      </w:r>
      <w:r w:rsidR="0076714B">
        <w:t>was concentrated among goods, especially consumer goods (except food and automotive), while exports of services declined, led by transport.</w:t>
      </w:r>
      <w:r w:rsidRPr="00B76A73">
        <w:t xml:space="preserve"> </w:t>
      </w:r>
      <w:r w:rsidR="0076714B">
        <w:t>Higher imports of goods, particularly durable consumer goods and automotive vehicles, engines, and parts, moderated the net export gain.</w:t>
      </w:r>
    </w:p>
    <w:p w14:paraId="59E2FBC9" w14:textId="4F8CFD4D" w:rsidR="00E24CD9" w:rsidRPr="00B76A73" w:rsidRDefault="00DD2ED8" w:rsidP="006B1EB1">
      <w:r w:rsidRPr="00B76A73">
        <w:t>Gross domestic private investment</w:t>
      </w:r>
      <w:r w:rsidRPr="00B76A73">
        <w:rPr>
          <w:rStyle w:val="FootnoteReference"/>
        </w:rPr>
        <w:footnoteReference w:id="7"/>
      </w:r>
      <w:r w:rsidRPr="00B76A73">
        <w:t xml:space="preserve"> </w:t>
      </w:r>
      <w:r w:rsidR="00E42E00">
        <w:t>constrained real GDP growth with a</w:t>
      </w:r>
      <w:r w:rsidR="00D3714D">
        <w:t xml:space="preserve"> </w:t>
      </w:r>
      <w:r w:rsidR="0076714B">
        <w:t>negative 2</w:t>
      </w:r>
      <w:r w:rsidR="00D3714D">
        <w:t xml:space="preserve">.3% </w:t>
      </w:r>
      <w:r w:rsidR="00E42E00">
        <w:t xml:space="preserve">contribution </w:t>
      </w:r>
      <w:r w:rsidR="00D3714D">
        <w:t xml:space="preserve">to the </w:t>
      </w:r>
      <w:r w:rsidR="00E42E00">
        <w:t>1</w:t>
      </w:r>
      <w:r w:rsidR="00E42E00" w:rsidRPr="00E42E00">
        <w:rPr>
          <w:vertAlign w:val="superscript"/>
        </w:rPr>
        <w:t>st</w:t>
      </w:r>
      <w:r w:rsidR="00E42E00">
        <w:t xml:space="preserve"> quarter estimate</w:t>
      </w:r>
      <w:r w:rsidR="00D3714D">
        <w:t xml:space="preserve">. </w:t>
      </w:r>
      <w:r w:rsidR="00E42E00">
        <w:t>P</w:t>
      </w:r>
      <w:r w:rsidR="00D3714D">
        <w:t>rivate inventory investment</w:t>
      </w:r>
      <w:r w:rsidR="00E42E00">
        <w:t xml:space="preserve"> fell</w:t>
      </w:r>
      <w:r w:rsidR="00ED43DF">
        <w:t>, led by</w:t>
      </w:r>
      <w:r w:rsidR="00E42E00">
        <w:t xml:space="preserve"> wholesale trade and manufacturing. </w:t>
      </w:r>
      <w:r w:rsidR="00ED43DF">
        <w:t>The</w:t>
      </w:r>
      <w:r w:rsidR="00D3714D">
        <w:t xml:space="preserve"> </w:t>
      </w:r>
      <w:r w:rsidR="00ED43DF">
        <w:t xml:space="preserve">top contributor to the </w:t>
      </w:r>
      <w:r w:rsidR="00D3714D">
        <w:t>decline in residential fixed investment</w:t>
      </w:r>
      <w:r w:rsidR="00ED43DF">
        <w:t xml:space="preserve"> was </w:t>
      </w:r>
      <w:r w:rsidR="00D3714D">
        <w:t>new single-family construction</w:t>
      </w:r>
      <w:r w:rsidRPr="00B76A73">
        <w:t xml:space="preserve">. </w:t>
      </w:r>
    </w:p>
    <w:p w14:paraId="3014DE71" w14:textId="1C98EEAB" w:rsidR="00B66CB7" w:rsidRPr="00B76A73" w:rsidRDefault="008F6F3B" w:rsidP="005117CA">
      <w:pPr>
        <w:jc w:val="center"/>
      </w:pPr>
      <w:r>
        <w:rPr>
          <w:noProof/>
        </w:rPr>
        <w:lastRenderedPageBreak/>
        <w:drawing>
          <wp:inline distT="0" distB="0" distL="0" distR="0" wp14:anchorId="5829E617" wp14:editId="05A16B2A">
            <wp:extent cx="4231005" cy="3371215"/>
            <wp:effectExtent l="0" t="0" r="0" b="635"/>
            <wp:docPr id="182874109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DDDC4E" w14:textId="3E7A383C" w:rsidR="00100F15" w:rsidRPr="00AF0EEA" w:rsidRDefault="00100F15" w:rsidP="00100F15">
      <w:pPr>
        <w:rPr>
          <w:b/>
          <w:bCs/>
        </w:rPr>
      </w:pPr>
      <w:r>
        <w:t>Economists polled by the Livingston Survey</w:t>
      </w:r>
      <w:r>
        <w:rPr>
          <w:rStyle w:val="FootnoteReference"/>
        </w:rPr>
        <w:footnoteReference w:id="8"/>
      </w:r>
      <w:r>
        <w:t xml:space="preserve"> in December of 2022 had projected</w:t>
      </w:r>
      <w:r w:rsidRPr="003412DA">
        <w:t xml:space="preserve"> </w:t>
      </w:r>
      <w:r>
        <w:t>real GDP to rise at an annual rate of 0.4</w:t>
      </w:r>
      <w:r w:rsidRPr="003412DA">
        <w:t>%</w:t>
      </w:r>
      <w:r>
        <w:t xml:space="preserve"> in the first half of 2023, then to fall at an annual rate of -1.0</w:t>
      </w:r>
      <w:r w:rsidRPr="003412DA">
        <w:t xml:space="preserve">% in </w:t>
      </w:r>
      <w:r>
        <w:t>the second half of 2023.</w:t>
      </w:r>
    </w:p>
    <w:p w14:paraId="31033888" w14:textId="2C16E502" w:rsidR="004D1C9D" w:rsidRPr="00B76A73" w:rsidRDefault="00D03164" w:rsidP="00174BCD">
      <w:pPr>
        <w:rPr>
          <w:strike/>
        </w:rPr>
      </w:pPr>
      <w:r w:rsidRPr="00B76A73">
        <w:t>The Industrial Production Index</w:t>
      </w:r>
      <w:r w:rsidRPr="00B76A73">
        <w:rPr>
          <w:rStyle w:val="FootnoteReference"/>
        </w:rPr>
        <w:footnoteReference w:id="9"/>
      </w:r>
      <w:r w:rsidRPr="00B76A73">
        <w:t xml:space="preserve"> is an economic indicator that measures real output for all facilities located in the United States manufacturing, mining, and electric, and gas utilities. The index stood at 10</w:t>
      </w:r>
      <w:r w:rsidR="00C36C62">
        <w:t>3</w:t>
      </w:r>
      <w:r w:rsidR="00EF14EE" w:rsidRPr="00B76A73">
        <w:t>.</w:t>
      </w:r>
      <w:r w:rsidR="00491F40">
        <w:t>0</w:t>
      </w:r>
      <w:r w:rsidRPr="00B76A73">
        <w:t xml:space="preserve"> at the end of </w:t>
      </w:r>
      <w:r w:rsidR="006B1EB1" w:rsidRPr="00B76A73">
        <w:t xml:space="preserve">the </w:t>
      </w:r>
      <w:r w:rsidR="00491F40">
        <w:t>1</w:t>
      </w:r>
      <w:r w:rsidR="00491F40" w:rsidRPr="00491F40">
        <w:rPr>
          <w:vertAlign w:val="superscript"/>
        </w:rPr>
        <w:t>st</w:t>
      </w:r>
      <w:r w:rsidR="00491F40">
        <w:t xml:space="preserve"> </w:t>
      </w:r>
      <w:r w:rsidR="006B1EB1" w:rsidRPr="00B76A73">
        <w:t>quarter</w:t>
      </w:r>
      <w:r w:rsidRPr="00B76A73">
        <w:t xml:space="preserve">, </w:t>
      </w:r>
      <w:r w:rsidR="00BF6BF5">
        <w:t>up</w:t>
      </w:r>
      <w:r w:rsidR="00C36C62">
        <w:t xml:space="preserve"> 1.</w:t>
      </w:r>
      <w:r w:rsidR="00491F40">
        <w:t>5</w:t>
      </w:r>
      <w:r w:rsidRPr="00B76A73">
        <w:t xml:space="preserve">% </w:t>
      </w:r>
      <w:r w:rsidR="00EF14EE" w:rsidRPr="00B76A73">
        <w:t>from</w:t>
      </w:r>
      <w:r w:rsidR="006B1EB1" w:rsidRPr="00B76A73">
        <w:t xml:space="preserve"> the </w:t>
      </w:r>
      <w:r w:rsidR="00491F40">
        <w:t>end of 2022</w:t>
      </w:r>
      <w:r w:rsidRPr="00B76A73">
        <w:t>.</w:t>
      </w:r>
    </w:p>
    <w:p w14:paraId="149D5F1F" w14:textId="6DCD8580" w:rsidR="00172307" w:rsidRPr="00B76A73" w:rsidRDefault="008F6F3B" w:rsidP="00BA7A2C">
      <w:pPr>
        <w:jc w:val="center"/>
      </w:pPr>
      <w:r>
        <w:rPr>
          <w:noProof/>
        </w:rPr>
        <w:lastRenderedPageBreak/>
        <w:drawing>
          <wp:inline distT="0" distB="0" distL="0" distR="0" wp14:anchorId="4DB73E19" wp14:editId="0F208651">
            <wp:extent cx="3816350" cy="2646045"/>
            <wp:effectExtent l="0" t="0" r="0" b="1905"/>
            <wp:docPr id="1378178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38C44B" w14:textId="661C887B" w:rsidR="007A05AD" w:rsidRPr="00B76A73" w:rsidRDefault="007A05AD" w:rsidP="007A05AD">
      <w:r w:rsidRPr="00B76A73">
        <w:t>The Capacity Utilization Index</w:t>
      </w:r>
      <w:r w:rsidRPr="00B76A73">
        <w:rPr>
          <w:rStyle w:val="FootnoteReference"/>
        </w:rPr>
        <w:footnoteReference w:id="10"/>
      </w:r>
      <w:r w:rsidRPr="00B76A73">
        <w:t xml:space="preserve">, which attempts to capture industrial output as a percentage of the economy’s maximum production capacity, </w:t>
      </w:r>
      <w:r w:rsidR="00491F40">
        <w:t>ended</w:t>
      </w:r>
      <w:r w:rsidR="00137248" w:rsidRPr="00B76A73">
        <w:t xml:space="preserve"> the </w:t>
      </w:r>
      <w:r w:rsidR="00491F40">
        <w:t>1</w:t>
      </w:r>
      <w:r w:rsidR="00491F40" w:rsidRPr="00491F40">
        <w:rPr>
          <w:vertAlign w:val="superscript"/>
        </w:rPr>
        <w:t>st</w:t>
      </w:r>
      <w:r w:rsidR="00491F40">
        <w:t xml:space="preserve"> </w:t>
      </w:r>
      <w:r w:rsidR="00137248" w:rsidRPr="00B76A73">
        <w:t>quarter</w:t>
      </w:r>
      <w:r w:rsidR="00953DF2" w:rsidRPr="00B76A73">
        <w:t xml:space="preserve"> of 202</w:t>
      </w:r>
      <w:r w:rsidR="00491F40">
        <w:t>3 at 78.2</w:t>
      </w:r>
      <w:r w:rsidR="00491F40" w:rsidRPr="00B76A73">
        <w:t>%</w:t>
      </w:r>
      <w:r w:rsidRPr="00B76A73">
        <w:t xml:space="preserve">. </w:t>
      </w:r>
      <w:r w:rsidR="00491F40">
        <w:t xml:space="preserve">March 2023’s </w:t>
      </w:r>
      <w:r w:rsidR="00273DCA" w:rsidRPr="00B76A73">
        <w:t xml:space="preserve">level was </w:t>
      </w:r>
      <w:r w:rsidR="00F750FA">
        <w:t>above</w:t>
      </w:r>
      <w:r w:rsidR="00E93558">
        <w:t xml:space="preserve"> </w:t>
      </w:r>
      <w:r w:rsidR="00273DCA" w:rsidRPr="00B76A73">
        <w:t>the</w:t>
      </w:r>
      <w:r w:rsidRPr="00B76A73">
        <w:t xml:space="preserve"> </w:t>
      </w:r>
      <w:r w:rsidR="00953DF2" w:rsidRPr="00B76A73">
        <w:t>30-year average</w:t>
      </w:r>
      <w:r w:rsidR="00273DCA" w:rsidRPr="00B76A73">
        <w:t xml:space="preserve"> of 76.</w:t>
      </w:r>
      <w:r w:rsidR="00720F25" w:rsidRPr="00B76A73">
        <w:t>9</w:t>
      </w:r>
      <w:r w:rsidR="00273DCA" w:rsidRPr="00B76A73">
        <w:t>%</w:t>
      </w:r>
      <w:r w:rsidRPr="00B76A73">
        <w:t xml:space="preserve"> for th</w:t>
      </w:r>
      <w:r w:rsidR="00273DCA" w:rsidRPr="00B76A73">
        <w:t>is</w:t>
      </w:r>
      <w:r w:rsidRPr="00B76A73">
        <w:t xml:space="preserve"> metric</w:t>
      </w:r>
      <w:r w:rsidR="00E93558">
        <w:t>,</w:t>
      </w:r>
      <w:r w:rsidR="00B66C70" w:rsidRPr="00B76A73">
        <w:t xml:space="preserve"> </w:t>
      </w:r>
      <w:r w:rsidR="00F750FA">
        <w:t>and 1.3% higher</w:t>
      </w:r>
      <w:r w:rsidR="00B66C70" w:rsidRPr="00B76A73">
        <w:t xml:space="preserve"> than </w:t>
      </w:r>
      <w:r w:rsidR="003058BA" w:rsidRPr="00B76A73">
        <w:t>the previous quarter</w:t>
      </w:r>
      <w:r w:rsidRPr="00B76A73">
        <w:t>.</w:t>
      </w:r>
    </w:p>
    <w:p w14:paraId="2B52197D" w14:textId="143001D6" w:rsidR="007A05AD" w:rsidRPr="00B76A73" w:rsidRDefault="008F6F3B" w:rsidP="00BA7A2C">
      <w:pPr>
        <w:jc w:val="center"/>
      </w:pPr>
      <w:r>
        <w:rPr>
          <w:noProof/>
        </w:rPr>
        <w:drawing>
          <wp:inline distT="0" distB="0" distL="0" distR="0" wp14:anchorId="03D28D7B" wp14:editId="3075043A">
            <wp:extent cx="3816350" cy="2646045"/>
            <wp:effectExtent l="0" t="0" r="0" b="1905"/>
            <wp:docPr id="4960188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20" w14:textId="72147876" w:rsidR="00005111" w:rsidRPr="00B76A73" w:rsidRDefault="00005111" w:rsidP="005261C1">
      <w:pPr>
        <w:pStyle w:val="Heading1"/>
      </w:pPr>
      <w:r w:rsidRPr="00B76A73">
        <w:t>Interest Rates</w:t>
      </w:r>
    </w:p>
    <w:p w14:paraId="472CBB47" w14:textId="66399B95" w:rsidR="00A96A6A" w:rsidRPr="00B76A73" w:rsidRDefault="004005A4" w:rsidP="00952E0A">
      <w:pPr>
        <w:rPr>
          <w:color w:val="000000" w:themeColor="text1"/>
        </w:rPr>
      </w:pPr>
      <w:r w:rsidRPr="00B76A73">
        <w:t>T</w:t>
      </w:r>
      <w:r w:rsidR="00231BB2" w:rsidRPr="00B76A73">
        <w:t xml:space="preserve">he effective </w:t>
      </w:r>
      <w:r w:rsidR="00814E45" w:rsidRPr="00B76A73">
        <w:t>federal f</w:t>
      </w:r>
      <w:r w:rsidR="00231BB2" w:rsidRPr="00B76A73">
        <w:t>unds rate</w:t>
      </w:r>
      <w:r w:rsidR="00814E45" w:rsidRPr="00B76A73">
        <w:rPr>
          <w:rStyle w:val="FootnoteReference"/>
        </w:rPr>
        <w:footnoteReference w:id="11"/>
      </w:r>
      <w:r w:rsidR="00231BB2" w:rsidRPr="00B76A73">
        <w:t xml:space="preserve"> </w:t>
      </w:r>
      <w:r w:rsidR="00D03C98" w:rsidRPr="00B76A73">
        <w:t xml:space="preserve">rose </w:t>
      </w:r>
      <w:r w:rsidR="004C17A1">
        <w:t>0.55</w:t>
      </w:r>
      <w:r w:rsidR="00D03C98" w:rsidRPr="00B76A73">
        <w:t xml:space="preserve"> percentage point</w:t>
      </w:r>
      <w:r w:rsidR="00C17572">
        <w:t>s</w:t>
      </w:r>
      <w:r w:rsidR="00D03C98" w:rsidRPr="00B76A73">
        <w:t xml:space="preserve"> to </w:t>
      </w:r>
      <w:r w:rsidR="001750D1">
        <w:t>4.</w:t>
      </w:r>
      <w:r w:rsidR="004C17A1">
        <w:t>65</w:t>
      </w:r>
      <w:r w:rsidR="00D03C98" w:rsidRPr="00B76A73">
        <w:t xml:space="preserve">% during the </w:t>
      </w:r>
      <w:r w:rsidR="004C17A1">
        <w:t>1</w:t>
      </w:r>
      <w:r w:rsidR="004C17A1" w:rsidRPr="004C17A1">
        <w:rPr>
          <w:vertAlign w:val="superscript"/>
        </w:rPr>
        <w:t>st</w:t>
      </w:r>
      <w:r w:rsidR="004C17A1">
        <w:t xml:space="preserve"> </w:t>
      </w:r>
      <w:r w:rsidR="00D03C98" w:rsidRPr="00B76A73">
        <w:t>quarter</w:t>
      </w:r>
      <w:r w:rsidR="005A5095" w:rsidRPr="00B76A73">
        <w:t>, continuing</w:t>
      </w:r>
      <w:r w:rsidR="00D03C98" w:rsidRPr="00B76A73">
        <w:t xml:space="preserve"> the climb from near-zero levels </w:t>
      </w:r>
      <w:r w:rsidR="005A5095" w:rsidRPr="00B76A73">
        <w:t xml:space="preserve">that began </w:t>
      </w:r>
      <w:r w:rsidR="004C17A1">
        <w:t>last</w:t>
      </w:r>
      <w:r w:rsidR="00D03C98" w:rsidRPr="00B76A73">
        <w:t xml:space="preserve"> March</w:t>
      </w:r>
      <w:r w:rsidR="00814E45" w:rsidRPr="00B76A73">
        <w:t xml:space="preserve">. </w:t>
      </w:r>
      <w:r w:rsidR="007B69AE">
        <w:t>Both s</w:t>
      </w:r>
      <w:r w:rsidR="00231BB2" w:rsidRPr="00B76A73">
        <w:t>hort-</w:t>
      </w:r>
      <w:r w:rsidR="007B69AE">
        <w:t xml:space="preserve"> and long-</w:t>
      </w:r>
      <w:r w:rsidR="00231BB2" w:rsidRPr="00B76A73">
        <w:t>term</w:t>
      </w:r>
      <w:r w:rsidR="00A14458" w:rsidRPr="00B76A73">
        <w:t xml:space="preserve"> </w:t>
      </w:r>
      <w:r w:rsidR="00231BB2" w:rsidRPr="00B76A73">
        <w:lastRenderedPageBreak/>
        <w:t xml:space="preserve">treasury </w:t>
      </w:r>
      <w:r w:rsidR="003F4CDB" w:rsidRPr="00B76A73">
        <w:t>bond yields</w:t>
      </w:r>
      <w:r w:rsidR="005A0EC4" w:rsidRPr="00B76A73">
        <w:rPr>
          <w:rStyle w:val="FootnoteReference"/>
        </w:rPr>
        <w:footnoteReference w:id="12"/>
      </w:r>
      <w:r w:rsidR="00A73A66" w:rsidRPr="00B76A73">
        <w:t xml:space="preserve"> </w:t>
      </w:r>
      <w:r w:rsidR="00451F5B">
        <w:t xml:space="preserve">for periods </w:t>
      </w:r>
      <w:r w:rsidR="00764632">
        <w:t>one</w:t>
      </w:r>
      <w:r w:rsidR="00451F5B">
        <w:t xml:space="preserve"> year and up </w:t>
      </w:r>
      <w:r w:rsidR="004C17A1">
        <w:t>fell</w:t>
      </w:r>
      <w:r w:rsidR="00A14458" w:rsidRPr="00B76A73">
        <w:t xml:space="preserve"> during the </w:t>
      </w:r>
      <w:r w:rsidR="004C17A1">
        <w:t>1</w:t>
      </w:r>
      <w:r w:rsidR="004C17A1" w:rsidRPr="004C17A1">
        <w:rPr>
          <w:vertAlign w:val="superscript"/>
        </w:rPr>
        <w:t>st</w:t>
      </w:r>
      <w:r w:rsidR="004C17A1">
        <w:t xml:space="preserve"> </w:t>
      </w:r>
      <w:r w:rsidR="00A14458" w:rsidRPr="00B76A73">
        <w:t>quarter</w:t>
      </w:r>
      <w:r w:rsidR="004C17A1">
        <w:t>. T</w:t>
      </w:r>
      <w:r w:rsidR="007B69AE">
        <w:t>he yield curve remained inverted as l</w:t>
      </w:r>
      <w:r w:rsidR="00A14458" w:rsidRPr="00B76A73">
        <w:t xml:space="preserve">ong-term treasury yields </w:t>
      </w:r>
      <w:r w:rsidR="007B69AE">
        <w:t>continued to lag shorter-term yields</w:t>
      </w:r>
      <w:r w:rsidR="00231BB2" w:rsidRPr="00B76A73">
        <w:t>.</w:t>
      </w:r>
      <w:r w:rsidR="00455043" w:rsidRPr="00B76A73">
        <w:t xml:space="preserve"> T</w:t>
      </w:r>
      <w:r w:rsidR="00032178" w:rsidRPr="00B76A73">
        <w:t>he</w:t>
      </w:r>
      <w:r w:rsidR="00376778" w:rsidRPr="00B76A73">
        <w:t xml:space="preserve"> </w:t>
      </w:r>
      <w:r w:rsidR="00981FF8" w:rsidRPr="00B76A73">
        <w:t>closely watched</w:t>
      </w:r>
      <w:r w:rsidR="00635C43" w:rsidRPr="00B76A73">
        <w:t xml:space="preserve"> </w:t>
      </w:r>
      <w:r w:rsidR="00376778" w:rsidRPr="00B76A73">
        <w:t xml:space="preserve">two- and ten-year rates </w:t>
      </w:r>
      <w:r w:rsidR="00032178" w:rsidRPr="00B76A73">
        <w:t xml:space="preserve">inverted early in </w:t>
      </w:r>
      <w:r w:rsidR="00981FF8" w:rsidRPr="00B76A73">
        <w:t>July</w:t>
      </w:r>
      <w:r w:rsidR="00032178" w:rsidRPr="00B76A73">
        <w:t xml:space="preserve"> </w:t>
      </w:r>
      <w:r w:rsidR="00764632">
        <w:t xml:space="preserve">2022 </w:t>
      </w:r>
      <w:r w:rsidR="00032178" w:rsidRPr="00B76A73">
        <w:t xml:space="preserve">and </w:t>
      </w:r>
      <w:r w:rsidR="00622D23">
        <w:t xml:space="preserve">have </w:t>
      </w:r>
      <w:r w:rsidR="00032178" w:rsidRPr="00B76A73">
        <w:t>remained that way</w:t>
      </w:r>
      <w:r w:rsidR="00622D23">
        <w:t xml:space="preserve">, </w:t>
      </w:r>
      <w:r w:rsidR="00950B89">
        <w:t xml:space="preserve">although the gap narrowed </w:t>
      </w:r>
      <w:r w:rsidR="00EA6A36">
        <w:t>briefly during</w:t>
      </w:r>
      <w:r w:rsidR="00950B89">
        <w:t xml:space="preserve"> </w:t>
      </w:r>
      <w:r w:rsidR="00764632">
        <w:t>March</w:t>
      </w:r>
      <w:r w:rsidR="008723E8">
        <w:t xml:space="preserve"> as the two-year yield reacted more steeply to the failures of Signature Bank and Silicon Valley Bank</w:t>
      </w:r>
      <w:r w:rsidR="005E1BD2" w:rsidRPr="00B76A73">
        <w:t xml:space="preserve">. </w:t>
      </w:r>
      <w:r w:rsidR="003F4CDB" w:rsidRPr="00B76A73">
        <w:t>The</w:t>
      </w:r>
      <w:r w:rsidR="008844A2" w:rsidRPr="00B76A73">
        <w:t xml:space="preserve"> 1</w:t>
      </w:r>
      <w:r w:rsidR="005E7A94" w:rsidRPr="00B76A73">
        <w:t xml:space="preserve">-year and 2-year annual treasury yields </w:t>
      </w:r>
      <w:r w:rsidR="00B65667" w:rsidRPr="00B76A73">
        <w:t xml:space="preserve">ended the </w:t>
      </w:r>
      <w:r w:rsidR="0049180E">
        <w:t>1</w:t>
      </w:r>
      <w:r w:rsidR="0049180E" w:rsidRPr="0049180E">
        <w:rPr>
          <w:vertAlign w:val="superscript"/>
        </w:rPr>
        <w:t>st</w:t>
      </w:r>
      <w:r w:rsidR="0049180E">
        <w:t xml:space="preserve"> </w:t>
      </w:r>
      <w:r w:rsidR="00B65667" w:rsidRPr="00B76A73">
        <w:t>quarter</w:t>
      </w:r>
      <w:r w:rsidR="005E7A94" w:rsidRPr="00B76A73">
        <w:t xml:space="preserve"> at </w:t>
      </w:r>
      <w:r w:rsidR="00981FF8" w:rsidRPr="00B76A73">
        <w:t>4.</w:t>
      </w:r>
      <w:r w:rsidR="0049180E">
        <w:t>64</w:t>
      </w:r>
      <w:r w:rsidR="005E7A94" w:rsidRPr="00B76A73">
        <w:t>%</w:t>
      </w:r>
      <w:r w:rsidR="008844A2" w:rsidRPr="00B76A73">
        <w:t xml:space="preserve"> and </w:t>
      </w:r>
      <w:r w:rsidR="00981FF8" w:rsidRPr="00B76A73">
        <w:t>4.</w:t>
      </w:r>
      <w:r w:rsidR="0049180E">
        <w:t>06</w:t>
      </w:r>
      <w:r w:rsidR="006E6EAA" w:rsidRPr="00B76A73">
        <w:t>%, respectively</w:t>
      </w:r>
      <w:r w:rsidR="005E7A94" w:rsidRPr="00B76A73">
        <w:t>.</w:t>
      </w:r>
      <w:r w:rsidR="00231BB2" w:rsidRPr="00B76A73">
        <w:t xml:space="preserve"> The </w:t>
      </w:r>
      <w:r w:rsidR="005E7A94" w:rsidRPr="00B76A73">
        <w:t xml:space="preserve">benchmark </w:t>
      </w:r>
      <w:r w:rsidR="00022BB4" w:rsidRPr="00B76A73">
        <w:t>1</w:t>
      </w:r>
      <w:r w:rsidR="0061080D" w:rsidRPr="00B76A73">
        <w:t xml:space="preserve">0-year treasury </w:t>
      </w:r>
      <w:r w:rsidR="005E7A94" w:rsidRPr="00B76A73">
        <w:t>yielded</w:t>
      </w:r>
      <w:r w:rsidR="0061080D" w:rsidRPr="00B76A73">
        <w:t xml:space="preserve"> </w:t>
      </w:r>
      <w:r w:rsidR="00981FF8" w:rsidRPr="00B76A73">
        <w:t>3.</w:t>
      </w:r>
      <w:r w:rsidR="0049180E">
        <w:t>4</w:t>
      </w:r>
      <w:r w:rsidR="00622D23">
        <w:t>8</w:t>
      </w:r>
      <w:r w:rsidR="0061080D" w:rsidRPr="00B76A73">
        <w:t>%</w:t>
      </w:r>
      <w:r w:rsidR="005E7A94" w:rsidRPr="00B76A73">
        <w:t xml:space="preserve"> at the</w:t>
      </w:r>
      <w:r w:rsidR="00B65667" w:rsidRPr="00B76A73">
        <w:t xml:space="preserve"> end of </w:t>
      </w:r>
      <w:r w:rsidR="008844A2" w:rsidRPr="00B76A73">
        <w:t>the quarter</w:t>
      </w:r>
      <w:r w:rsidR="005E7A94" w:rsidRPr="00B76A73">
        <w:t xml:space="preserve">, while </w:t>
      </w:r>
      <w:r w:rsidR="00D851AB" w:rsidRPr="00B76A73">
        <w:t xml:space="preserve">the </w:t>
      </w:r>
      <w:r w:rsidR="00022BB4" w:rsidRPr="00B76A73">
        <w:t>3</w:t>
      </w:r>
      <w:r w:rsidR="00D851AB" w:rsidRPr="00B76A73">
        <w:t xml:space="preserve">0-year treasury </w:t>
      </w:r>
      <w:r w:rsidR="00B65667" w:rsidRPr="00B76A73">
        <w:t>yielded</w:t>
      </w:r>
      <w:r w:rsidR="00D851AB" w:rsidRPr="00B76A73">
        <w:t xml:space="preserve"> </w:t>
      </w:r>
      <w:r w:rsidR="00635C43" w:rsidRPr="00B76A73">
        <w:t>3.</w:t>
      </w:r>
      <w:r w:rsidR="0049180E">
        <w:t>6</w:t>
      </w:r>
      <w:r w:rsidR="00622D23">
        <w:t>7</w:t>
      </w:r>
      <w:r w:rsidR="00D851AB" w:rsidRPr="00B76A73">
        <w:t>%</w:t>
      </w:r>
      <w:r w:rsidR="00AE64EF" w:rsidRPr="00B76A73">
        <w:rPr>
          <w:color w:val="000000" w:themeColor="text1"/>
        </w:rPr>
        <w:t>.</w:t>
      </w:r>
      <w:r w:rsidR="002301AB" w:rsidRPr="00B76A73">
        <w:rPr>
          <w:color w:val="000000" w:themeColor="text1"/>
        </w:rPr>
        <w:t xml:space="preserve"> See </w:t>
      </w:r>
      <w:r w:rsidR="002301AB" w:rsidRPr="00B76A73">
        <w:rPr>
          <w:i/>
          <w:iCs/>
          <w:color w:val="000000" w:themeColor="text1"/>
        </w:rPr>
        <w:t>Appendix – Selected Interest Rates</w:t>
      </w:r>
      <w:r w:rsidR="002301AB" w:rsidRPr="00B76A73">
        <w:rPr>
          <w:color w:val="000000" w:themeColor="text1"/>
        </w:rPr>
        <w:t xml:space="preserve"> for detailed interest rate data. </w:t>
      </w:r>
    </w:p>
    <w:p w14:paraId="0614E8BB" w14:textId="7FA697D1" w:rsidR="004D1C9D" w:rsidRPr="00B76A73" w:rsidRDefault="008F6F3B" w:rsidP="005117CA">
      <w:pPr>
        <w:jc w:val="center"/>
      </w:pPr>
      <w:r>
        <w:rPr>
          <w:noProof/>
        </w:rPr>
        <w:drawing>
          <wp:inline distT="0" distB="0" distL="0" distR="0" wp14:anchorId="40EE760F" wp14:editId="1A1DADF0">
            <wp:extent cx="3493135" cy="2664460"/>
            <wp:effectExtent l="0" t="0" r="0" b="2540"/>
            <wp:docPr id="6299821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1CA932" w14:textId="416DF365" w:rsidR="00B00681" w:rsidRPr="00B76A73" w:rsidRDefault="00171C8E" w:rsidP="00005111">
      <w:r w:rsidRPr="00B76A73">
        <w:t xml:space="preserve">In </w:t>
      </w:r>
      <w:r w:rsidR="00B34926" w:rsidRPr="00B76A73">
        <w:t xml:space="preserve">the </w:t>
      </w:r>
      <w:r w:rsidR="00BB286D">
        <w:t>1</w:t>
      </w:r>
      <w:r w:rsidR="00BB286D" w:rsidRPr="00BB286D">
        <w:rPr>
          <w:vertAlign w:val="superscript"/>
        </w:rPr>
        <w:t>st</w:t>
      </w:r>
      <w:r w:rsidR="00BB286D">
        <w:t xml:space="preserve"> </w:t>
      </w:r>
      <w:r w:rsidR="00B34926" w:rsidRPr="00B76A73">
        <w:t>quarter of 202</w:t>
      </w:r>
      <w:r w:rsidR="00BB286D">
        <w:t>3</w:t>
      </w:r>
      <w:r w:rsidR="00FE4D42" w:rsidRPr="00B76A73">
        <w:t>,</w:t>
      </w:r>
      <w:r w:rsidRPr="00B76A73">
        <w:t xml:space="preserve"> the Federal Reserve </w:t>
      </w:r>
      <w:r w:rsidR="00635C43" w:rsidRPr="00B76A73">
        <w:t>continued the</w:t>
      </w:r>
      <w:r w:rsidR="00981FF8" w:rsidRPr="00B76A73">
        <w:t>ir</w:t>
      </w:r>
      <w:r w:rsidR="00635C43" w:rsidRPr="00B76A73">
        <w:t xml:space="preserve"> series of</w:t>
      </w:r>
      <w:r w:rsidR="00D851AB" w:rsidRPr="00B76A73">
        <w:t xml:space="preserve"> federal funds target rate</w:t>
      </w:r>
      <w:r w:rsidR="003A4C56" w:rsidRPr="00B76A73">
        <w:rPr>
          <w:rStyle w:val="FootnoteReference"/>
        </w:rPr>
        <w:footnoteReference w:id="13"/>
      </w:r>
      <w:r w:rsidR="00740863" w:rsidRPr="00B76A73">
        <w:t xml:space="preserve"> </w:t>
      </w:r>
      <w:r w:rsidR="005E1BD2" w:rsidRPr="00B76A73">
        <w:t>hike</w:t>
      </w:r>
      <w:r w:rsidR="00635C43" w:rsidRPr="00B76A73">
        <w:t>s</w:t>
      </w:r>
      <w:r w:rsidR="005E1BD2" w:rsidRPr="00B76A73">
        <w:t xml:space="preserve"> </w:t>
      </w:r>
      <w:r w:rsidR="00981FF8" w:rsidRPr="00B76A73">
        <w:t xml:space="preserve">with </w:t>
      </w:r>
      <w:r w:rsidR="00632532">
        <w:t>two</w:t>
      </w:r>
      <w:r w:rsidR="00981FF8" w:rsidRPr="00B76A73">
        <w:t xml:space="preserve"> increases totaling </w:t>
      </w:r>
      <w:r w:rsidR="00BB286D">
        <w:t>50</w:t>
      </w:r>
      <w:r w:rsidR="00981FF8" w:rsidRPr="00B76A73">
        <w:t xml:space="preserve"> basis points, ending the quarter at a</w:t>
      </w:r>
      <w:r w:rsidR="00365998">
        <w:t xml:space="preserve"> nearly 17</w:t>
      </w:r>
      <w:r w:rsidR="00EF1379">
        <w:t>-year high: a</w:t>
      </w:r>
      <w:r w:rsidR="00981FF8" w:rsidRPr="00B76A73">
        <w:t xml:space="preserve"> range of </w:t>
      </w:r>
      <w:r w:rsidR="00622D23">
        <w:t>4.</w:t>
      </w:r>
      <w:r w:rsidR="00BB286D">
        <w:t>75</w:t>
      </w:r>
      <w:r w:rsidR="00981FF8" w:rsidRPr="00B76A73">
        <w:t xml:space="preserve">% to </w:t>
      </w:r>
      <w:r w:rsidR="00BB286D">
        <w:t>5.00</w:t>
      </w:r>
      <w:r w:rsidR="00981FF8" w:rsidRPr="00B76A73">
        <w:t>%</w:t>
      </w:r>
      <w:r w:rsidR="00455D78" w:rsidRPr="00B76A73">
        <w:t>.</w:t>
      </w:r>
      <w:r w:rsidR="000B0583" w:rsidRPr="00B76A73">
        <w:t xml:space="preserve"> </w:t>
      </w:r>
      <w:r w:rsidR="00C5430F" w:rsidRPr="00B76A73">
        <w:t xml:space="preserve">The committee </w:t>
      </w:r>
      <w:r w:rsidR="0028240F">
        <w:t xml:space="preserve">dialed back on </w:t>
      </w:r>
      <w:r w:rsidR="005A6F5B">
        <w:t xml:space="preserve">its </w:t>
      </w:r>
      <w:r w:rsidR="0028240F">
        <w:t xml:space="preserve">hawkish rhetoric in the wake of March’s two bank failures, </w:t>
      </w:r>
      <w:r w:rsidR="00175A46" w:rsidRPr="00B76A73">
        <w:t>indicat</w:t>
      </w:r>
      <w:r w:rsidR="0028240F">
        <w:t xml:space="preserve">ing that while some additional tightening would likely be necessary, </w:t>
      </w:r>
      <w:r w:rsidR="00365998">
        <w:t xml:space="preserve">future rate hikes would depend on economic </w:t>
      </w:r>
      <w:r w:rsidR="0028240F">
        <w:t>conditions</w:t>
      </w:r>
      <w:r w:rsidR="00B90547">
        <w:t>. Member</w:t>
      </w:r>
      <w:r w:rsidR="00365998">
        <w:t>s</w:t>
      </w:r>
      <w:r w:rsidR="00B90547">
        <w:t xml:space="preserve"> expect target </w:t>
      </w:r>
      <w:r w:rsidR="00EF1379">
        <w:t xml:space="preserve">rates </w:t>
      </w:r>
      <w:r w:rsidR="00B90547">
        <w:t>will</w:t>
      </w:r>
      <w:r w:rsidR="00EF1379">
        <w:t xml:space="preserve"> likely remain elevated throughout 2023 with an expected apex </w:t>
      </w:r>
      <w:r w:rsidR="00B90547">
        <w:t>range of 5.0</w:t>
      </w:r>
      <w:r w:rsidR="002A496C">
        <w:t>0</w:t>
      </w:r>
      <w:r w:rsidR="00B90547">
        <w:t>% to 5.25</w:t>
      </w:r>
      <w:r w:rsidR="00EF1379">
        <w:t>%</w:t>
      </w:r>
      <w:r w:rsidR="00C5430F" w:rsidRPr="00B76A73">
        <w:t>.</w:t>
      </w:r>
    </w:p>
    <w:p w14:paraId="515AD2F7" w14:textId="6F1C70DF" w:rsidR="004D1C9D" w:rsidRPr="00B76A73" w:rsidRDefault="008F6F3B" w:rsidP="00166C08">
      <w:pPr>
        <w:jc w:val="center"/>
      </w:pPr>
      <w:r>
        <w:rPr>
          <w:noProof/>
        </w:rPr>
        <w:lastRenderedPageBreak/>
        <w:drawing>
          <wp:inline distT="0" distB="0" distL="0" distR="0" wp14:anchorId="5F9BC455" wp14:editId="4944CA94">
            <wp:extent cx="3493135" cy="2651760"/>
            <wp:effectExtent l="0" t="0" r="0" b="0"/>
            <wp:docPr id="10328382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113481" w14:textId="77777777" w:rsidR="00B7512F" w:rsidRPr="00B76A73" w:rsidRDefault="00B7512F" w:rsidP="00166C08">
      <w:pPr>
        <w:jc w:val="center"/>
      </w:pPr>
    </w:p>
    <w:p w14:paraId="7D026DBE" w14:textId="244F99AA" w:rsidR="004D1C9D" w:rsidRPr="00B76A73" w:rsidRDefault="005117CA" w:rsidP="005261C1">
      <w:r w:rsidRPr="00B76A73">
        <w:t>T</w:t>
      </w:r>
      <w:r w:rsidR="002978F9" w:rsidRPr="00B76A73">
        <w:t xml:space="preserve">he yield on the </w:t>
      </w:r>
      <w:r w:rsidR="0039196F" w:rsidRPr="00B76A73">
        <w:t xml:space="preserve">benchmark </w:t>
      </w:r>
      <w:r w:rsidR="002978F9" w:rsidRPr="00B76A73">
        <w:t>10-year U.S. treasury</w:t>
      </w:r>
      <w:r w:rsidR="004759DB" w:rsidRPr="00B76A73">
        <w:rPr>
          <w:rStyle w:val="FootnoteReference"/>
        </w:rPr>
        <w:footnoteReference w:id="14"/>
      </w:r>
      <w:r w:rsidR="002978F9" w:rsidRPr="00B76A73">
        <w:t xml:space="preserve"> </w:t>
      </w:r>
      <w:r w:rsidR="00455D78" w:rsidRPr="00B76A73">
        <w:t xml:space="preserve">ended the </w:t>
      </w:r>
      <w:r w:rsidR="0028240F">
        <w:t>1</w:t>
      </w:r>
      <w:r w:rsidR="0028240F" w:rsidRPr="0028240F">
        <w:rPr>
          <w:vertAlign w:val="superscript"/>
        </w:rPr>
        <w:t>st</w:t>
      </w:r>
      <w:r w:rsidR="0028240F">
        <w:t xml:space="preserve"> </w:t>
      </w:r>
      <w:r w:rsidRPr="00B76A73">
        <w:t>quarter</w:t>
      </w:r>
      <w:r w:rsidR="00A73A66" w:rsidRPr="00B76A73">
        <w:t xml:space="preserve"> </w:t>
      </w:r>
      <w:r w:rsidR="00455D78" w:rsidRPr="00B76A73">
        <w:t>at</w:t>
      </w:r>
      <w:r w:rsidR="00A73A66" w:rsidRPr="00B76A73">
        <w:t xml:space="preserve"> </w:t>
      </w:r>
      <w:r w:rsidR="00B7512F" w:rsidRPr="00B76A73">
        <w:t>3.</w:t>
      </w:r>
      <w:r w:rsidR="0028240F">
        <w:t>4</w:t>
      </w:r>
      <w:r w:rsidR="00B90547">
        <w:t>8</w:t>
      </w:r>
      <w:r w:rsidR="00A73A66" w:rsidRPr="00B76A73">
        <w:t xml:space="preserve">%, </w:t>
      </w:r>
      <w:r w:rsidR="0028240F">
        <w:t>down 0.40</w:t>
      </w:r>
      <w:r w:rsidR="00C5430F" w:rsidRPr="00B76A73">
        <w:t xml:space="preserve"> percentage points</w:t>
      </w:r>
      <w:r w:rsidR="00455D78" w:rsidRPr="00B76A73">
        <w:t xml:space="preserve"> from the previous quarter</w:t>
      </w:r>
      <w:r w:rsidR="0028240F">
        <w:t xml:space="preserve"> and </w:t>
      </w:r>
      <w:r w:rsidR="00071875" w:rsidRPr="00B76A73">
        <w:t xml:space="preserve">below the average yield of </w:t>
      </w:r>
      <w:r w:rsidR="003A4C56" w:rsidRPr="00B76A73">
        <w:t>3.</w:t>
      </w:r>
      <w:r w:rsidR="0028240F">
        <w:t>88</w:t>
      </w:r>
      <w:r w:rsidR="004965CE" w:rsidRPr="00B76A73">
        <w:t>% over the last 30 years</w:t>
      </w:r>
      <w:r w:rsidR="00CB629F" w:rsidRPr="00B76A73">
        <w:t>.</w:t>
      </w:r>
      <w:r w:rsidR="00A73A66" w:rsidRPr="00B76A73">
        <w:t xml:space="preserve"> </w:t>
      </w:r>
    </w:p>
    <w:p w14:paraId="67433862" w14:textId="7E8D282F" w:rsidR="004D1C9D" w:rsidRPr="00B76A73" w:rsidRDefault="008F6F3B" w:rsidP="005117CA">
      <w:pPr>
        <w:jc w:val="center"/>
      </w:pPr>
      <w:r>
        <w:rPr>
          <w:noProof/>
        </w:rPr>
        <w:drawing>
          <wp:inline distT="0" distB="0" distL="0" distR="0" wp14:anchorId="42EAA72B" wp14:editId="06301B1F">
            <wp:extent cx="3499485" cy="2651760"/>
            <wp:effectExtent l="0" t="0" r="5715" b="0"/>
            <wp:docPr id="4674811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A11124" w14:textId="5C20A53C" w:rsidR="001945EC" w:rsidRPr="00B76A73" w:rsidRDefault="00F02B3A" w:rsidP="00460436">
      <w:r w:rsidRPr="00B76A73">
        <w:t>Moody’s Baa Corpor</w:t>
      </w:r>
      <w:r w:rsidR="00102080" w:rsidRPr="00B76A73">
        <w:t xml:space="preserve">ate Bond Yield </w:t>
      </w:r>
      <w:r w:rsidR="004E3393" w:rsidRPr="00B76A73">
        <w:t>Index</w:t>
      </w:r>
      <w:r w:rsidR="004E5EC0" w:rsidRPr="00B76A73">
        <w:rPr>
          <w:rStyle w:val="FootnoteReference"/>
        </w:rPr>
        <w:footnoteReference w:id="15"/>
      </w:r>
      <w:r w:rsidR="004E3393" w:rsidRPr="00B76A73">
        <w:t xml:space="preserve"> </w:t>
      </w:r>
      <w:r w:rsidR="009D42AA" w:rsidRPr="00B76A73">
        <w:t xml:space="preserve">ended the </w:t>
      </w:r>
      <w:r w:rsidR="0028240F">
        <w:t>1</w:t>
      </w:r>
      <w:r w:rsidR="0028240F" w:rsidRPr="0028240F">
        <w:rPr>
          <w:vertAlign w:val="superscript"/>
        </w:rPr>
        <w:t>st</w:t>
      </w:r>
      <w:r w:rsidR="0028240F">
        <w:t xml:space="preserve"> </w:t>
      </w:r>
      <w:r w:rsidR="009D42AA" w:rsidRPr="00B76A73">
        <w:t xml:space="preserve">quarter </w:t>
      </w:r>
      <w:r w:rsidR="00551CFE" w:rsidRPr="00B76A73">
        <w:t>of 202</w:t>
      </w:r>
      <w:r w:rsidR="0028240F">
        <w:t>3</w:t>
      </w:r>
      <w:r w:rsidR="00551CFE" w:rsidRPr="00B76A73">
        <w:t xml:space="preserve"> </w:t>
      </w:r>
      <w:r w:rsidR="009D42AA" w:rsidRPr="00B76A73">
        <w:t xml:space="preserve">at </w:t>
      </w:r>
      <w:r w:rsidR="00E75EC5">
        <w:t>5.</w:t>
      </w:r>
      <w:r w:rsidR="0028240F">
        <w:t>59</w:t>
      </w:r>
      <w:r w:rsidR="009D42AA" w:rsidRPr="00B76A73">
        <w:t>%</w:t>
      </w:r>
      <w:r w:rsidR="00F72263" w:rsidRPr="00B76A73">
        <w:t>,</w:t>
      </w:r>
      <w:r w:rsidR="009D42AA" w:rsidRPr="00B76A73">
        <w:t xml:space="preserve"> </w:t>
      </w:r>
      <w:r w:rsidR="0099010B">
        <w:t>down</w:t>
      </w:r>
      <w:r w:rsidR="00412C1A" w:rsidRPr="00B76A73">
        <w:t xml:space="preserve"> </w:t>
      </w:r>
      <w:r w:rsidR="00D61DD3" w:rsidRPr="00B76A73">
        <w:t>0.</w:t>
      </w:r>
      <w:r w:rsidR="00E75EC5">
        <w:t>2</w:t>
      </w:r>
      <w:r w:rsidR="00F7477C">
        <w:t>8</w:t>
      </w:r>
      <w:r w:rsidR="00D61DD3" w:rsidRPr="00B76A73">
        <w:t xml:space="preserve"> percentage points</w:t>
      </w:r>
      <w:r w:rsidR="00412C1A" w:rsidRPr="00B76A73">
        <w:t xml:space="preserve"> since the previous </w:t>
      </w:r>
      <w:r w:rsidR="009D42AA" w:rsidRPr="00B76A73">
        <w:t>quarter</w:t>
      </w:r>
      <w:r w:rsidR="00823E2B" w:rsidRPr="00B76A73">
        <w:t xml:space="preserve">. </w:t>
      </w:r>
      <w:r w:rsidR="00261A6E" w:rsidRPr="00B76A73">
        <w:t xml:space="preserve">Moody’s </w:t>
      </w:r>
      <w:r w:rsidR="00536AD4" w:rsidRPr="00B76A73">
        <w:t xml:space="preserve">less-risky </w:t>
      </w:r>
      <w:proofErr w:type="spellStart"/>
      <w:r w:rsidR="00261A6E" w:rsidRPr="00B76A73">
        <w:t>Aaa</w:t>
      </w:r>
      <w:proofErr w:type="spellEnd"/>
      <w:r w:rsidR="009D42AA" w:rsidRPr="00B76A73">
        <w:rPr>
          <w:rStyle w:val="FootnoteReference"/>
        </w:rPr>
        <w:footnoteReference w:id="16"/>
      </w:r>
      <w:r w:rsidR="00261A6E" w:rsidRPr="00B76A73">
        <w:t xml:space="preserve"> Index </w:t>
      </w:r>
      <w:r w:rsidR="00E75EC5">
        <w:t>slid 0.</w:t>
      </w:r>
      <w:r w:rsidR="00F7477C">
        <w:t>32</w:t>
      </w:r>
      <w:r w:rsidR="00D61DD3" w:rsidRPr="00B76A73">
        <w:t xml:space="preserve"> percentage points</w:t>
      </w:r>
      <w:r w:rsidR="00551CFE" w:rsidRPr="00B76A73">
        <w:t xml:space="preserve"> during the quarter to a level of </w:t>
      </w:r>
      <w:r w:rsidR="007D42CD" w:rsidRPr="00B76A73">
        <w:t>4.</w:t>
      </w:r>
      <w:r w:rsidR="000C62E8">
        <w:t>3</w:t>
      </w:r>
      <w:r w:rsidR="0028240F">
        <w:t>8</w:t>
      </w:r>
      <w:r w:rsidR="00261A6E" w:rsidRPr="00B76A73">
        <w:t>%.</w:t>
      </w:r>
    </w:p>
    <w:p w14:paraId="62B8B6AA" w14:textId="169CBB62" w:rsidR="00A96A6A" w:rsidRPr="00B76A73" w:rsidRDefault="00D61DD3" w:rsidP="00460436">
      <w:r w:rsidRPr="00B76A73">
        <w:lastRenderedPageBreak/>
        <w:t xml:space="preserve">The </w:t>
      </w:r>
      <w:r w:rsidR="001E7D9C">
        <w:t>banking crisis resulting from dual bank failures in Mid-March caused treasury bond yields</w:t>
      </w:r>
      <w:r w:rsidR="007765F6">
        <w:t>, which move opposite to prices,</w:t>
      </w:r>
      <w:r w:rsidR="001E7D9C">
        <w:t xml:space="preserve"> to </w:t>
      </w:r>
      <w:r w:rsidR="007765F6">
        <w:t xml:space="preserve">briefly </w:t>
      </w:r>
      <w:r w:rsidR="001E7D9C">
        <w:t xml:space="preserve">spike </w:t>
      </w:r>
      <w:r w:rsidR="005E747C">
        <w:t xml:space="preserve">and then plunge </w:t>
      </w:r>
      <w:r w:rsidR="007765F6">
        <w:t>before settling into a relatively flat pattern to end the 1</w:t>
      </w:r>
      <w:r w:rsidR="007765F6" w:rsidRPr="007765F6">
        <w:rPr>
          <w:vertAlign w:val="superscript"/>
        </w:rPr>
        <w:t>st</w:t>
      </w:r>
      <w:r w:rsidR="007765F6">
        <w:t xml:space="preserve"> quarter</w:t>
      </w:r>
      <w:r w:rsidRPr="00B76A73">
        <w:t>.</w:t>
      </w:r>
    </w:p>
    <w:p w14:paraId="7CE57D35" w14:textId="0E2C5B29" w:rsidR="005117CA" w:rsidRPr="00B76A73" w:rsidRDefault="008F6F3B" w:rsidP="005117CA">
      <w:pPr>
        <w:jc w:val="center"/>
      </w:pPr>
      <w:r>
        <w:rPr>
          <w:noProof/>
        </w:rPr>
        <w:drawing>
          <wp:inline distT="0" distB="0" distL="0" distR="0" wp14:anchorId="468B8B82" wp14:editId="71EF8E20">
            <wp:extent cx="3499485" cy="2932430"/>
            <wp:effectExtent l="0" t="0" r="5715" b="1270"/>
            <wp:docPr id="1425861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2F" w14:textId="479C442E" w:rsidR="00005111" w:rsidRPr="00B76A73" w:rsidRDefault="00005111" w:rsidP="005261C1">
      <w:pPr>
        <w:pStyle w:val="Heading1"/>
      </w:pPr>
      <w:r w:rsidRPr="00B76A73">
        <w:t>Employment</w:t>
      </w:r>
    </w:p>
    <w:p w14:paraId="6A12E6BF" w14:textId="4B128582" w:rsidR="003412DA" w:rsidRPr="00B76A73" w:rsidRDefault="003412DA" w:rsidP="003412DA">
      <w:r w:rsidRPr="00B76A73">
        <w:t>The official unemployment rate</w:t>
      </w:r>
      <w:r w:rsidR="009D7CB0" w:rsidRPr="00B76A73">
        <w:rPr>
          <w:rStyle w:val="FootnoteReference"/>
        </w:rPr>
        <w:footnoteReference w:id="17"/>
      </w:r>
      <w:r w:rsidRPr="00B76A73">
        <w:t xml:space="preserve"> </w:t>
      </w:r>
      <w:r w:rsidR="001B4D24">
        <w:t xml:space="preserve">ended the </w:t>
      </w:r>
      <w:r w:rsidR="006816F7">
        <w:t>1</w:t>
      </w:r>
      <w:r w:rsidR="006816F7" w:rsidRPr="006816F7">
        <w:rPr>
          <w:vertAlign w:val="superscript"/>
        </w:rPr>
        <w:t>st</w:t>
      </w:r>
      <w:r w:rsidR="006816F7">
        <w:t xml:space="preserve"> </w:t>
      </w:r>
      <w:r w:rsidR="001B4D24">
        <w:t>quarter at</w:t>
      </w:r>
      <w:r w:rsidR="00CE5A3E" w:rsidRPr="00B76A73">
        <w:t xml:space="preserve"> 3.5%, </w:t>
      </w:r>
      <w:r w:rsidR="001B4D24">
        <w:t xml:space="preserve">unchanged from the prior quarter. The rate </w:t>
      </w:r>
      <w:r w:rsidR="00CE5A3E" w:rsidRPr="00B76A73">
        <w:t>equal</w:t>
      </w:r>
      <w:r w:rsidR="001B4D24">
        <w:t>ed</w:t>
      </w:r>
      <w:r w:rsidR="00CE5A3E" w:rsidRPr="00B76A73">
        <w:t xml:space="preserve"> its pre-pandemic </w:t>
      </w:r>
      <w:r w:rsidR="009E6751">
        <w:t xml:space="preserve">(February 2020) </w:t>
      </w:r>
      <w:r w:rsidR="00CE5A3E" w:rsidRPr="00B76A73">
        <w:t xml:space="preserve">level </w:t>
      </w:r>
      <w:r w:rsidR="00F8588F" w:rsidRPr="00B76A73">
        <w:t xml:space="preserve">and </w:t>
      </w:r>
      <w:r w:rsidR="001B4D24">
        <w:t xml:space="preserve">stood </w:t>
      </w:r>
      <w:r w:rsidR="00CE5A3E" w:rsidRPr="00B76A73">
        <w:t>well below the 30-year historical average of 5.</w:t>
      </w:r>
      <w:r w:rsidR="006816F7">
        <w:t>7</w:t>
      </w:r>
      <w:r w:rsidR="00CE5A3E" w:rsidRPr="00B76A73">
        <w:t>%. T</w:t>
      </w:r>
      <w:r w:rsidR="0004341A" w:rsidRPr="00B76A73">
        <w:t>he labor force</w:t>
      </w:r>
      <w:r w:rsidR="007B4191" w:rsidRPr="00B76A73">
        <w:rPr>
          <w:rStyle w:val="FootnoteReference"/>
        </w:rPr>
        <w:footnoteReference w:id="18"/>
      </w:r>
      <w:r w:rsidR="0004341A" w:rsidRPr="00B76A73">
        <w:t xml:space="preserve"> </w:t>
      </w:r>
      <w:r w:rsidR="00CE5A3E" w:rsidRPr="00B76A73">
        <w:t xml:space="preserve">expanded by </w:t>
      </w:r>
      <w:r w:rsidR="006816F7">
        <w:t>1.8</w:t>
      </w:r>
      <w:r w:rsidR="00CE5A3E" w:rsidRPr="00B76A73">
        <w:t xml:space="preserve"> million workers during the quarter. T</w:t>
      </w:r>
      <w:r w:rsidR="004D3A04" w:rsidRPr="00B76A73">
        <w:t xml:space="preserve">he </w:t>
      </w:r>
      <w:r w:rsidR="006859BA" w:rsidRPr="00B76A73">
        <w:t>labor force participation rate</w:t>
      </w:r>
      <w:r w:rsidR="006859BA" w:rsidRPr="00B76A73">
        <w:rPr>
          <w:rStyle w:val="FootnoteReference"/>
        </w:rPr>
        <w:footnoteReference w:id="19"/>
      </w:r>
      <w:r w:rsidR="006859BA" w:rsidRPr="00B76A73">
        <w:t xml:space="preserve"> </w:t>
      </w:r>
      <w:r w:rsidR="001B4D24">
        <w:t>was</w:t>
      </w:r>
      <w:r w:rsidR="00CE5A3E" w:rsidRPr="00B76A73">
        <w:t xml:space="preserve"> 62.</w:t>
      </w:r>
      <w:r w:rsidR="006816F7">
        <w:t>6</w:t>
      </w:r>
      <w:r w:rsidR="00CE5A3E" w:rsidRPr="00B76A73">
        <w:t>%</w:t>
      </w:r>
      <w:r w:rsidR="001B4D24">
        <w:t xml:space="preserve"> in </w:t>
      </w:r>
      <w:r w:rsidR="006816F7">
        <w:t>March 2023</w:t>
      </w:r>
      <w:r w:rsidR="001B4D24">
        <w:t>,</w:t>
      </w:r>
      <w:r w:rsidR="006816F7">
        <w:t xml:space="preserve"> 0.7</w:t>
      </w:r>
      <w:r w:rsidR="00CE5A3E" w:rsidRPr="00B76A73">
        <w:t xml:space="preserve"> percentage point</w:t>
      </w:r>
      <w:r w:rsidR="00C17572">
        <w:t>s</w:t>
      </w:r>
      <w:r w:rsidR="00CE5A3E" w:rsidRPr="00B76A73">
        <w:t xml:space="preserve"> below its pre-pandemic level. </w:t>
      </w:r>
      <w:r w:rsidR="00D62169" w:rsidRPr="00B76A73">
        <w:t>E</w:t>
      </w:r>
      <w:r w:rsidRPr="00B76A73">
        <w:t xml:space="preserve">conomists </w:t>
      </w:r>
      <w:r w:rsidR="006859BA" w:rsidRPr="00B76A73">
        <w:t>polled by</w:t>
      </w:r>
      <w:r w:rsidR="00D62169" w:rsidRPr="00B76A73">
        <w:t xml:space="preserve"> </w:t>
      </w:r>
      <w:r w:rsidRPr="00B76A73">
        <w:t xml:space="preserve">the Livingston Survey </w:t>
      </w:r>
      <w:r w:rsidR="004D3A04" w:rsidRPr="00B76A73">
        <w:t xml:space="preserve">in </w:t>
      </w:r>
      <w:r w:rsidR="001B4D24">
        <w:t>December</w:t>
      </w:r>
      <w:r w:rsidR="004D3A04" w:rsidRPr="00B76A73">
        <w:t xml:space="preserve"> </w:t>
      </w:r>
      <w:r w:rsidR="00B3045C">
        <w:t xml:space="preserve">2022 had </w:t>
      </w:r>
      <w:r w:rsidR="004D3A04" w:rsidRPr="00B76A73">
        <w:t xml:space="preserve">projected an unemployment rate of </w:t>
      </w:r>
      <w:r w:rsidR="00B3045C">
        <w:t>4.2</w:t>
      </w:r>
      <w:r w:rsidR="004D3A04" w:rsidRPr="00B76A73">
        <w:t xml:space="preserve">% in </w:t>
      </w:r>
      <w:r w:rsidR="00B3045C">
        <w:t>June 2023</w:t>
      </w:r>
      <w:r w:rsidR="004D3A04" w:rsidRPr="00B76A73">
        <w:t xml:space="preserve">, </w:t>
      </w:r>
      <w:r w:rsidR="00DB5054">
        <w:t>rising</w:t>
      </w:r>
      <w:r w:rsidR="004D3A04" w:rsidRPr="00B76A73">
        <w:t xml:space="preserve"> to </w:t>
      </w:r>
      <w:r w:rsidR="00DB5054">
        <w:t>4.9</w:t>
      </w:r>
      <w:r w:rsidR="004D3A04" w:rsidRPr="00B76A73">
        <w:t xml:space="preserve">% in </w:t>
      </w:r>
      <w:r w:rsidR="00DB5054">
        <w:t>December</w:t>
      </w:r>
      <w:r w:rsidR="004D3A04" w:rsidRPr="00B76A73">
        <w:t xml:space="preserve"> of 2023</w:t>
      </w:r>
      <w:r w:rsidRPr="00B76A73">
        <w:t xml:space="preserve">. </w:t>
      </w:r>
    </w:p>
    <w:p w14:paraId="4B4FCC94" w14:textId="143A03F8" w:rsidR="00D029B3" w:rsidRPr="00B76A73" w:rsidRDefault="009E7A0A" w:rsidP="003412DA">
      <w:r w:rsidRPr="00B76A73">
        <w:t xml:space="preserve">In </w:t>
      </w:r>
      <w:r w:rsidR="004564C6">
        <w:t>March 2023</w:t>
      </w:r>
      <w:r w:rsidRPr="00B76A73">
        <w:t>, n</w:t>
      </w:r>
      <w:r w:rsidR="00D029B3" w:rsidRPr="00B76A73">
        <w:t>onfarm worker quits</w:t>
      </w:r>
      <w:r w:rsidR="00D029B3" w:rsidRPr="00B76A73">
        <w:rPr>
          <w:rStyle w:val="FootnoteReference"/>
        </w:rPr>
        <w:footnoteReference w:id="20"/>
      </w:r>
      <w:r w:rsidR="00D029B3" w:rsidRPr="00B76A73">
        <w:t xml:space="preserve"> </w:t>
      </w:r>
      <w:r w:rsidR="005505E0" w:rsidRPr="00B76A73">
        <w:t xml:space="preserve">stood at </w:t>
      </w:r>
      <w:r w:rsidR="0077416E">
        <w:t>3.9</w:t>
      </w:r>
      <w:r w:rsidR="00CE5A3E" w:rsidRPr="00B76A73">
        <w:t xml:space="preserve"> million, </w:t>
      </w:r>
      <w:r w:rsidR="00DB5054">
        <w:t xml:space="preserve">down </w:t>
      </w:r>
      <w:r w:rsidR="0077416E">
        <w:t>14.4</w:t>
      </w:r>
      <w:r w:rsidR="00CE5A3E" w:rsidRPr="00B76A73">
        <w:t xml:space="preserve">% </w:t>
      </w:r>
      <w:r w:rsidR="00DB5054">
        <w:t>from their record high in</w:t>
      </w:r>
      <w:r w:rsidR="00CE5A3E" w:rsidRPr="00B76A73">
        <w:t xml:space="preserve"> </w:t>
      </w:r>
      <w:r w:rsidR="00DB5054">
        <w:t>November</w:t>
      </w:r>
      <w:r w:rsidR="00CE5A3E" w:rsidRPr="00B76A73">
        <w:t xml:space="preserve"> 2021</w:t>
      </w:r>
      <w:r w:rsidR="00B008FE">
        <w:t xml:space="preserve"> </w:t>
      </w:r>
      <w:r w:rsidR="004564C6">
        <w:t>yet still</w:t>
      </w:r>
      <w:r w:rsidR="00B008FE">
        <w:t xml:space="preserve"> </w:t>
      </w:r>
      <w:r w:rsidR="0077416E">
        <w:t>10.3</w:t>
      </w:r>
      <w:r w:rsidR="00B008FE">
        <w:t>%</w:t>
      </w:r>
      <w:r w:rsidR="00CE5A3E" w:rsidRPr="00B76A73">
        <w:t xml:space="preserve"> higher than </w:t>
      </w:r>
      <w:r w:rsidR="00B008FE">
        <w:t>their</w:t>
      </w:r>
      <w:r w:rsidR="00CE5A3E" w:rsidRPr="00B76A73">
        <w:t xml:space="preserve"> pre-pandemic level. </w:t>
      </w:r>
      <w:r w:rsidR="00757148">
        <w:t>The</w:t>
      </w:r>
      <w:r w:rsidR="00CE5A3E" w:rsidRPr="00B76A73">
        <w:t xml:space="preserve"> elevated level of quits</w:t>
      </w:r>
      <w:r w:rsidR="00757148">
        <w:t xml:space="preserve"> (</w:t>
      </w:r>
      <w:r w:rsidR="00CE5A3E" w:rsidRPr="00B76A73">
        <w:t>sometimes referred to as The Great Resignation</w:t>
      </w:r>
      <w:r w:rsidR="00757148">
        <w:t>)</w:t>
      </w:r>
      <w:r w:rsidR="00CE5A3E" w:rsidRPr="00B76A73">
        <w:t>,</w:t>
      </w:r>
      <w:r w:rsidR="002803D6">
        <w:t xml:space="preserve"> </w:t>
      </w:r>
      <w:r w:rsidR="00757148">
        <w:t>which has primarily affected</w:t>
      </w:r>
      <w:r w:rsidR="00A70971">
        <w:t xml:space="preserve"> the leisure and hospitality industry</w:t>
      </w:r>
      <w:r w:rsidR="00757148">
        <w:t>, appears to be waning</w:t>
      </w:r>
      <w:r w:rsidR="00CE5A3E" w:rsidRPr="00B76A73">
        <w:t xml:space="preserve">. </w:t>
      </w:r>
      <w:r w:rsidR="00757148">
        <w:t xml:space="preserve">The quit rate in the leisure and hospitality industry fell 1.1 percentage points during the year ended March 2023. </w:t>
      </w:r>
      <w:r w:rsidR="007A4A4B" w:rsidRPr="00B76A73">
        <w:t>Job openings</w:t>
      </w:r>
      <w:r w:rsidR="007A4A4B" w:rsidRPr="00B76A73">
        <w:rPr>
          <w:rStyle w:val="FootnoteReference"/>
        </w:rPr>
        <w:footnoteReference w:id="21"/>
      </w:r>
      <w:r w:rsidR="007A4A4B" w:rsidRPr="00B76A73">
        <w:t xml:space="preserve"> totaled </w:t>
      </w:r>
      <w:r w:rsidR="00757148">
        <w:lastRenderedPageBreak/>
        <w:t>9.6</w:t>
      </w:r>
      <w:r w:rsidR="00CE5A3E" w:rsidRPr="00B76A73">
        <w:t xml:space="preserve"> million in </w:t>
      </w:r>
      <w:r w:rsidR="00757148">
        <w:t>March 2023</w:t>
      </w:r>
      <w:r w:rsidR="00CE5A3E" w:rsidRPr="00B76A73">
        <w:t xml:space="preserve">, </w:t>
      </w:r>
      <w:r w:rsidR="00757148">
        <w:t>2</w:t>
      </w:r>
      <w:r w:rsidR="00CE5A3E" w:rsidRPr="00B76A73">
        <w:t>.</w:t>
      </w:r>
      <w:r w:rsidR="001C2553">
        <w:t>4</w:t>
      </w:r>
      <w:r w:rsidR="00CE5A3E" w:rsidRPr="00B76A73">
        <w:t xml:space="preserve"> million below their record high in March 2022 and 2.</w:t>
      </w:r>
      <w:r w:rsidR="001C2553">
        <w:t>5</w:t>
      </w:r>
      <w:r w:rsidR="00CE5A3E" w:rsidRPr="00B76A73">
        <w:t xml:space="preserve"> times the number of resignations</w:t>
      </w:r>
      <w:r w:rsidR="007A4A4B" w:rsidRPr="00B76A73">
        <w:t>.</w:t>
      </w:r>
      <w:r w:rsidR="007A4A4B" w:rsidRPr="00B76A73">
        <w:rPr>
          <w:rStyle w:val="CommentReference"/>
        </w:rPr>
        <w:t xml:space="preserve"> </w:t>
      </w:r>
    </w:p>
    <w:p w14:paraId="799A9D83" w14:textId="10D6414F" w:rsidR="009526E8" w:rsidRPr="00B76A73" w:rsidRDefault="00FA5B2B" w:rsidP="009526E8">
      <w:pPr>
        <w:jc w:val="center"/>
      </w:pPr>
      <w:r>
        <w:rPr>
          <w:noProof/>
        </w:rPr>
        <w:drawing>
          <wp:inline distT="0" distB="0" distL="0" distR="0" wp14:anchorId="5C5A3361" wp14:editId="1CC01AF1">
            <wp:extent cx="3493135" cy="2651760"/>
            <wp:effectExtent l="0" t="0" r="0" b="0"/>
            <wp:docPr id="97625731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205F54" w14:textId="03A3C17E" w:rsidR="007A4896" w:rsidRPr="00B76A73" w:rsidRDefault="007A4896" w:rsidP="007A4896">
      <w:r w:rsidRPr="00B76A73">
        <w:t xml:space="preserve">The U-6 </w:t>
      </w:r>
      <w:r w:rsidR="00895002" w:rsidRPr="00B76A73">
        <w:t xml:space="preserve">unemployment </w:t>
      </w:r>
      <w:r w:rsidRPr="00B76A73">
        <w:t>rate</w:t>
      </w:r>
      <w:r w:rsidR="009D7CB0" w:rsidRPr="00B76A73">
        <w:rPr>
          <w:rStyle w:val="FootnoteReference"/>
        </w:rPr>
        <w:footnoteReference w:id="22"/>
      </w:r>
      <w:r w:rsidRPr="00B76A73">
        <w:t xml:space="preserve"> is an alternative measure of unemployment with a broader definition, </w:t>
      </w:r>
      <w:r w:rsidR="001F297B" w:rsidRPr="00B76A73">
        <w:t>including such groups</w:t>
      </w:r>
      <w:r w:rsidRPr="00B76A73">
        <w:t xml:space="preserve"> as discouraged workers who are not actively searching for jobs but want full-time work and part-time workers who want full-time work. The U</w:t>
      </w:r>
      <w:r w:rsidRPr="00B76A73">
        <w:noBreakHyphen/>
        <w:t xml:space="preserve">6 </w:t>
      </w:r>
      <w:r w:rsidR="00895002" w:rsidRPr="00B76A73">
        <w:t xml:space="preserve">unemployment </w:t>
      </w:r>
      <w:r w:rsidRPr="00B76A73">
        <w:t xml:space="preserve">rate </w:t>
      </w:r>
      <w:r w:rsidR="00CE5A3E" w:rsidRPr="00B76A73">
        <w:t xml:space="preserve">has generally followed the same pattern as the official </w:t>
      </w:r>
      <w:r w:rsidR="004564C6" w:rsidRPr="00B76A73">
        <w:t>rate and</w:t>
      </w:r>
      <w:r w:rsidR="00CE5A3E" w:rsidRPr="00B76A73">
        <w:t xml:space="preserve"> stood</w:t>
      </w:r>
      <w:r w:rsidR="00985656" w:rsidRPr="00B76A73">
        <w:t xml:space="preserve"> at</w:t>
      </w:r>
      <w:r w:rsidR="00CE5A3E" w:rsidRPr="00B76A73">
        <w:t xml:space="preserve"> 6.</w:t>
      </w:r>
      <w:r w:rsidR="00F86BB9">
        <w:t>7</w:t>
      </w:r>
      <w:r w:rsidR="00CE5A3E" w:rsidRPr="00B76A73">
        <w:t xml:space="preserve">% in </w:t>
      </w:r>
      <w:r w:rsidR="00F86BB9">
        <w:t>March 2023</w:t>
      </w:r>
      <w:r w:rsidRPr="00B76A73">
        <w:t>.</w:t>
      </w:r>
    </w:p>
    <w:p w14:paraId="6B09010C" w14:textId="088C6BD2" w:rsidR="007A4896" w:rsidRPr="00B76A73" w:rsidRDefault="00FA5B2B" w:rsidP="004846E4">
      <w:pPr>
        <w:jc w:val="center"/>
      </w:pPr>
      <w:r>
        <w:rPr>
          <w:noProof/>
        </w:rPr>
        <w:drawing>
          <wp:inline distT="0" distB="0" distL="0" distR="0" wp14:anchorId="1414CA83" wp14:editId="4ACF2A09">
            <wp:extent cx="3493135" cy="2651760"/>
            <wp:effectExtent l="0" t="0" r="0" b="0"/>
            <wp:docPr id="54184887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58EAA" w14:textId="79487FE5" w:rsidR="003412DA" w:rsidRPr="00B76A73" w:rsidRDefault="009D7CB0" w:rsidP="00E45DC1">
      <w:r w:rsidRPr="00B76A73">
        <w:lastRenderedPageBreak/>
        <w:t>Nonfarm p</w:t>
      </w:r>
      <w:r w:rsidR="003412DA" w:rsidRPr="00B76A73">
        <w:t>ayrolls</w:t>
      </w:r>
      <w:r w:rsidRPr="00B76A73">
        <w:rPr>
          <w:rStyle w:val="FootnoteReference"/>
        </w:rPr>
        <w:footnoteReference w:id="23"/>
      </w:r>
      <w:r w:rsidR="003412DA" w:rsidRPr="00B76A73">
        <w:t xml:space="preserve"> grew by </w:t>
      </w:r>
      <w:r w:rsidR="00A25362">
        <w:t>0.</w:t>
      </w:r>
      <w:r w:rsidR="00E45DC1">
        <w:t>9</w:t>
      </w:r>
      <w:r w:rsidR="003412DA" w:rsidRPr="00B76A73">
        <w:t xml:space="preserve"> million jobs in </w:t>
      </w:r>
      <w:r w:rsidR="008A7107" w:rsidRPr="00B76A73">
        <w:t xml:space="preserve">the </w:t>
      </w:r>
      <w:r w:rsidR="00E45DC1">
        <w:t>1</w:t>
      </w:r>
      <w:r w:rsidR="00E45DC1" w:rsidRPr="00E45DC1">
        <w:rPr>
          <w:vertAlign w:val="superscript"/>
        </w:rPr>
        <w:t>st</w:t>
      </w:r>
      <w:r w:rsidR="00E45DC1">
        <w:t xml:space="preserve"> </w:t>
      </w:r>
      <w:r w:rsidR="008A7107" w:rsidRPr="00B76A73">
        <w:t xml:space="preserve">quarter. </w:t>
      </w:r>
      <w:r w:rsidR="00BD4FA3" w:rsidRPr="00B76A73">
        <w:t>U.S.</w:t>
      </w:r>
      <w:r w:rsidR="008A7107" w:rsidRPr="00B76A73">
        <w:t xml:space="preserve"> nonfarm payrolls </w:t>
      </w:r>
      <w:r w:rsidR="00F72263" w:rsidRPr="00B76A73">
        <w:t xml:space="preserve">in </w:t>
      </w:r>
      <w:r w:rsidR="00F86BB9">
        <w:t>March 2023</w:t>
      </w:r>
      <w:r w:rsidR="00F72263" w:rsidRPr="00B76A73">
        <w:t xml:space="preserve"> totaled</w:t>
      </w:r>
      <w:r w:rsidR="008A7107" w:rsidRPr="00B76A73">
        <w:t xml:space="preserve"> </w:t>
      </w:r>
      <w:r w:rsidR="0022416D" w:rsidRPr="00B76A73">
        <w:t>15</w:t>
      </w:r>
      <w:r w:rsidR="00F86BB9">
        <w:t>5</w:t>
      </w:r>
      <w:r w:rsidR="00746558" w:rsidRPr="00B76A73">
        <w:t>.</w:t>
      </w:r>
      <w:r w:rsidR="004564C6">
        <w:t>4</w:t>
      </w:r>
      <w:r w:rsidR="00204969" w:rsidRPr="00B76A73">
        <w:t xml:space="preserve"> million</w:t>
      </w:r>
      <w:r w:rsidR="00175A46" w:rsidRPr="00B76A73">
        <w:t xml:space="preserve"> jobs</w:t>
      </w:r>
      <w:r w:rsidR="008A7107" w:rsidRPr="00B76A73">
        <w:t>, up</w:t>
      </w:r>
      <w:r w:rsidR="00A14C86" w:rsidRPr="00B76A73">
        <w:t xml:space="preserve"> </w:t>
      </w:r>
      <w:r w:rsidR="00567138">
        <w:t>4.</w:t>
      </w:r>
      <w:r w:rsidR="00E45DC1">
        <w:t>0</w:t>
      </w:r>
      <w:r w:rsidR="00A14C86" w:rsidRPr="00B76A73">
        <w:t xml:space="preserve"> million </w:t>
      </w:r>
      <w:r w:rsidR="00567138">
        <w:t xml:space="preserve">from the prior </w:t>
      </w:r>
      <w:r w:rsidR="00E45DC1">
        <w:t>March</w:t>
      </w:r>
      <w:r w:rsidR="00204969" w:rsidRPr="00B76A73">
        <w:t xml:space="preserve"> and </w:t>
      </w:r>
      <w:r w:rsidR="00E45DC1">
        <w:t>3.</w:t>
      </w:r>
      <w:r w:rsidR="004564C6">
        <w:t>3</w:t>
      </w:r>
      <w:r w:rsidR="00567138">
        <w:t xml:space="preserve"> million above</w:t>
      </w:r>
      <w:r w:rsidR="00204969" w:rsidRPr="00B76A73">
        <w:t xml:space="preserve"> </w:t>
      </w:r>
      <w:r w:rsidR="008A7107" w:rsidRPr="00B76A73">
        <w:t>their pre-pandemic (</w:t>
      </w:r>
      <w:r w:rsidR="00F72263" w:rsidRPr="00B76A73">
        <w:t>Feb</w:t>
      </w:r>
      <w:r w:rsidR="008A7107" w:rsidRPr="00B76A73">
        <w:t>r</w:t>
      </w:r>
      <w:r w:rsidR="00F72263" w:rsidRPr="00B76A73">
        <w:t>uary</w:t>
      </w:r>
      <w:r w:rsidR="008A7107" w:rsidRPr="00B76A73">
        <w:t xml:space="preserve"> 2020) levels</w:t>
      </w:r>
      <w:r w:rsidR="00B542EC" w:rsidRPr="00B76A73">
        <w:t xml:space="preserve">. </w:t>
      </w:r>
      <w:r w:rsidR="00E45DC1">
        <w:t xml:space="preserve">Although in line with expectations, </w:t>
      </w:r>
      <w:r w:rsidR="004564C6">
        <w:t>March’s</w:t>
      </w:r>
      <w:r w:rsidR="00E16DF8" w:rsidRPr="00B76A73">
        <w:t xml:space="preserve"> </w:t>
      </w:r>
      <w:r w:rsidR="00E45DC1">
        <w:t xml:space="preserve">modest </w:t>
      </w:r>
      <w:r w:rsidR="009E6751">
        <w:t xml:space="preserve">job market growth was </w:t>
      </w:r>
      <w:r w:rsidR="00E45DC1">
        <w:t xml:space="preserve">the smallest since December 2020; it was led by </w:t>
      </w:r>
      <w:r w:rsidR="00E16DF8" w:rsidRPr="00B76A73">
        <w:t>the</w:t>
      </w:r>
      <w:r w:rsidR="00746558" w:rsidRPr="00B76A73">
        <w:t xml:space="preserve"> </w:t>
      </w:r>
      <w:r w:rsidR="00E45DC1">
        <w:t>leisure and hospitality, government, professional and business services, and health care</w:t>
      </w:r>
      <w:r w:rsidR="00E16DF8" w:rsidRPr="00B76A73">
        <w:t xml:space="preserve"> industr</w:t>
      </w:r>
      <w:r w:rsidR="00F051F3" w:rsidRPr="00B76A73">
        <w:t>ies</w:t>
      </w:r>
      <w:r w:rsidR="00E16DF8" w:rsidRPr="00B76A73">
        <w:t>.</w:t>
      </w:r>
    </w:p>
    <w:p w14:paraId="1926EEEC" w14:textId="165A7B3F" w:rsidR="0017576B" w:rsidRPr="00B76A73" w:rsidRDefault="00FA5B2B" w:rsidP="009526E8">
      <w:pPr>
        <w:jc w:val="center"/>
      </w:pPr>
      <w:r>
        <w:rPr>
          <w:noProof/>
        </w:rPr>
        <w:drawing>
          <wp:inline distT="0" distB="0" distL="0" distR="0" wp14:anchorId="79868C00" wp14:editId="67B142BF">
            <wp:extent cx="3877310" cy="2651760"/>
            <wp:effectExtent l="0" t="0" r="8890" b="0"/>
            <wp:docPr id="7867889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38" w14:textId="77777777" w:rsidR="00005111" w:rsidRPr="00B76A73" w:rsidRDefault="00005111" w:rsidP="001475FF">
      <w:pPr>
        <w:pStyle w:val="Heading1"/>
      </w:pPr>
      <w:r w:rsidRPr="00B76A73">
        <w:t>Inflation</w:t>
      </w:r>
    </w:p>
    <w:p w14:paraId="042F9DA5" w14:textId="77777777" w:rsidR="00FB70B1" w:rsidRDefault="001E1516" w:rsidP="00005111">
      <w:r>
        <w:t>I</w:t>
      </w:r>
      <w:r w:rsidR="00F151F3" w:rsidRPr="00E37D74">
        <w:t xml:space="preserve">nflation </w:t>
      </w:r>
      <w:r>
        <w:t>continued to cool</w:t>
      </w:r>
      <w:r w:rsidR="00E37D74" w:rsidRPr="00E37D74">
        <w:t xml:space="preserve"> in the </w:t>
      </w:r>
      <w:r>
        <w:t>1</w:t>
      </w:r>
      <w:r w:rsidRPr="001E1516">
        <w:rPr>
          <w:vertAlign w:val="superscript"/>
        </w:rPr>
        <w:t>st</w:t>
      </w:r>
      <w:r>
        <w:t xml:space="preserve"> quarter of 2023</w:t>
      </w:r>
      <w:r w:rsidR="00E37D74" w:rsidRPr="00E37D74">
        <w:t>, largely reflecting lower energy costs</w:t>
      </w:r>
      <w:r w:rsidR="000D4AF1" w:rsidRPr="00B76A73">
        <w:t xml:space="preserve">. </w:t>
      </w:r>
      <w:r w:rsidR="00C867ED">
        <w:t xml:space="preserve">Inflation also cooled during the quarter for </w:t>
      </w:r>
      <w:r>
        <w:t>used cars and trucks, medical care services, and some food groups</w:t>
      </w:r>
      <w:r w:rsidR="00C867ED">
        <w:t xml:space="preserve">. </w:t>
      </w:r>
      <w:r w:rsidR="00661AA7" w:rsidRPr="00B76A73">
        <w:t>The Consumer Price Index</w:t>
      </w:r>
      <w:r w:rsidR="009B52AF" w:rsidRPr="00B76A73">
        <w:rPr>
          <w:rStyle w:val="FootnoteReference"/>
        </w:rPr>
        <w:footnoteReference w:id="24"/>
      </w:r>
      <w:r w:rsidR="00661AA7" w:rsidRPr="00B76A73">
        <w:t xml:space="preserve"> </w:t>
      </w:r>
      <w:r w:rsidR="007A46C7">
        <w:t xml:space="preserve">for all items </w:t>
      </w:r>
      <w:r w:rsidR="004E1574" w:rsidRPr="00B76A73">
        <w:t>rose</w:t>
      </w:r>
      <w:r w:rsidR="000D4AF1" w:rsidRPr="00B76A73">
        <w:t xml:space="preserve"> </w:t>
      </w:r>
      <w:r>
        <w:t>5.0</w:t>
      </w:r>
      <w:r w:rsidR="000D4AF1" w:rsidRPr="00B76A73">
        <w:t xml:space="preserve">% year-over-year in </w:t>
      </w:r>
      <w:r>
        <w:t>March</w:t>
      </w:r>
      <w:r w:rsidR="00E66555">
        <w:t xml:space="preserve"> 2023</w:t>
      </w:r>
      <w:r w:rsidR="00B36811" w:rsidRPr="00B76A73">
        <w:t xml:space="preserve">, </w:t>
      </w:r>
      <w:r w:rsidR="000F02FB" w:rsidRPr="00B76A73">
        <w:t xml:space="preserve">down from its </w:t>
      </w:r>
      <w:r>
        <w:t>more-than-</w:t>
      </w:r>
      <w:r w:rsidR="000F02FB" w:rsidRPr="00B76A73">
        <w:t xml:space="preserve">40-year high of </w:t>
      </w:r>
      <w:r>
        <w:t>8.9</w:t>
      </w:r>
      <w:r w:rsidR="000F02FB" w:rsidRPr="00B76A73">
        <w:t>% in June</w:t>
      </w:r>
      <w:r w:rsidR="00E66555">
        <w:t xml:space="preserve"> 2022</w:t>
      </w:r>
      <w:r w:rsidR="002E0F29" w:rsidRPr="00B76A73">
        <w:t>. Excluding volatile energy prices</w:t>
      </w:r>
      <w:r w:rsidR="00EF1F20" w:rsidRPr="00B76A73">
        <w:rPr>
          <w:rStyle w:val="FootnoteReference"/>
        </w:rPr>
        <w:footnoteReference w:id="25"/>
      </w:r>
      <w:r w:rsidR="002E0F29" w:rsidRPr="00B76A73">
        <w:t xml:space="preserve">, the </w:t>
      </w:r>
      <w:r w:rsidR="000F02FB" w:rsidRPr="00B76A73">
        <w:t>annual increase was</w:t>
      </w:r>
      <w:r w:rsidR="003A2900" w:rsidRPr="00B76A73">
        <w:t xml:space="preserve"> </w:t>
      </w:r>
      <w:r w:rsidR="00FF3D19">
        <w:t>6.</w:t>
      </w:r>
      <w:r w:rsidR="007C25F4">
        <w:t>0</w:t>
      </w:r>
      <w:r w:rsidR="00FF3D19">
        <w:t>%</w:t>
      </w:r>
      <w:r w:rsidR="000D4AF1" w:rsidRPr="00B76A73">
        <w:t xml:space="preserve">. </w:t>
      </w:r>
      <w:r w:rsidR="000F02FB" w:rsidRPr="00B76A73">
        <w:t>The average</w:t>
      </w:r>
      <w:r w:rsidR="000D4AF1" w:rsidRPr="00B76A73">
        <w:t xml:space="preserve"> price</w:t>
      </w:r>
      <w:r w:rsidR="005C22CA" w:rsidRPr="00B76A73">
        <w:t xml:space="preserve"> of a gallon of gas</w:t>
      </w:r>
      <w:r w:rsidR="003A2900" w:rsidRPr="00B76A73">
        <w:rPr>
          <w:rStyle w:val="FootnoteReference"/>
        </w:rPr>
        <w:footnoteReference w:id="26"/>
      </w:r>
      <w:r w:rsidR="005C22CA" w:rsidRPr="00B76A73">
        <w:t xml:space="preserve"> </w:t>
      </w:r>
      <w:r w:rsidR="000F02FB" w:rsidRPr="00B76A73">
        <w:t xml:space="preserve">in the U.S. </w:t>
      </w:r>
      <w:r w:rsidR="003B3369">
        <w:t>was $3.</w:t>
      </w:r>
      <w:r w:rsidR="007C25F4">
        <w:t>55</w:t>
      </w:r>
      <w:r w:rsidR="003B3369">
        <w:t xml:space="preserve"> in </w:t>
      </w:r>
      <w:r w:rsidR="007C25F4">
        <w:t>March 2023</w:t>
      </w:r>
      <w:r w:rsidR="003B3369">
        <w:t xml:space="preserve">, </w:t>
      </w:r>
      <w:r w:rsidR="007C25F4">
        <w:t>17.6</w:t>
      </w:r>
      <w:r w:rsidR="003B3369">
        <w:t xml:space="preserve">% lower than the prior </w:t>
      </w:r>
      <w:r w:rsidR="007C25F4">
        <w:t>March</w:t>
      </w:r>
      <w:r w:rsidR="003B3369">
        <w:t xml:space="preserve">, </w:t>
      </w:r>
      <w:r w:rsidR="000A06BD">
        <w:t>having fallen from its</w:t>
      </w:r>
      <w:r w:rsidR="003B3369">
        <w:t xml:space="preserve"> record-high $5.06 in June</w:t>
      </w:r>
      <w:r w:rsidR="007C25F4">
        <w:t xml:space="preserve"> 2022</w:t>
      </w:r>
      <w:r w:rsidR="008B3356" w:rsidRPr="00B76A73">
        <w:t>.</w:t>
      </w:r>
    </w:p>
    <w:p w14:paraId="52A0C1E8" w14:textId="2E080189" w:rsidR="00176F91" w:rsidRPr="00B76A73" w:rsidRDefault="000F02FB" w:rsidP="00005111">
      <w:r w:rsidRPr="00B76A73">
        <w:t xml:space="preserve">In the month of </w:t>
      </w:r>
      <w:r w:rsidR="007C25F4">
        <w:t>March 2023</w:t>
      </w:r>
      <w:r w:rsidRPr="00B76A73">
        <w:t xml:space="preserve">, </w:t>
      </w:r>
      <w:r w:rsidR="007C25F4">
        <w:t>higher prices</w:t>
      </w:r>
      <w:r w:rsidR="004335C3">
        <w:t xml:space="preserve"> for shelter</w:t>
      </w:r>
      <w:r w:rsidR="00D072A9">
        <w:t xml:space="preserve"> </w:t>
      </w:r>
      <w:r w:rsidR="007C25F4">
        <w:t>led the consumer price index to a modest increase despite across-the-board declines in energy prices</w:t>
      </w:r>
      <w:r w:rsidR="00156E24" w:rsidRPr="00B76A73">
        <w:t xml:space="preserve">. </w:t>
      </w:r>
      <w:r w:rsidR="000D4AF1" w:rsidRPr="00B76A73">
        <w:t>The Federal Reserve</w:t>
      </w:r>
      <w:r w:rsidR="00350673" w:rsidRPr="00B76A73">
        <w:t xml:space="preserve"> has </w:t>
      </w:r>
      <w:r w:rsidRPr="00B76A73">
        <w:t>been</w:t>
      </w:r>
      <w:r w:rsidR="00350673" w:rsidRPr="00B76A73">
        <w:t xml:space="preserve"> taking </w:t>
      </w:r>
      <w:r w:rsidR="007C25F4">
        <w:t xml:space="preserve">aggressive </w:t>
      </w:r>
      <w:r w:rsidR="00350673" w:rsidRPr="00B76A73">
        <w:t>action to curb inflatio</w:t>
      </w:r>
      <w:r w:rsidR="00F151F3" w:rsidRPr="00B76A73">
        <w:t xml:space="preserve">n </w:t>
      </w:r>
      <w:r w:rsidRPr="00B76A73">
        <w:t xml:space="preserve">with a series of target interest rate hikes totaling </w:t>
      </w:r>
      <w:r w:rsidR="00D072A9">
        <w:t>4.</w:t>
      </w:r>
      <w:r w:rsidR="007C25F4">
        <w:t>75</w:t>
      </w:r>
      <w:r w:rsidR="00091209" w:rsidRPr="00B76A73">
        <w:t xml:space="preserve"> percentage points</w:t>
      </w:r>
      <w:r w:rsidRPr="00B76A73">
        <w:t xml:space="preserve"> since March 2022</w:t>
      </w:r>
      <w:r w:rsidR="007C25F4">
        <w:t>. The Fed recently softened its stance on future rate hike</w:t>
      </w:r>
      <w:r w:rsidR="00AC0986">
        <w:t>s, indicating that the increases may be finally nearing an end</w:t>
      </w:r>
      <w:r w:rsidR="007C25F4">
        <w:t>.</w:t>
      </w:r>
    </w:p>
    <w:p w14:paraId="3ED812A9" w14:textId="5F8DC808" w:rsidR="00176F91" w:rsidRPr="00B76A73" w:rsidRDefault="00FA5B2B" w:rsidP="009526E8">
      <w:pPr>
        <w:jc w:val="center"/>
      </w:pPr>
      <w:r>
        <w:rPr>
          <w:noProof/>
        </w:rPr>
        <w:lastRenderedPageBreak/>
        <w:drawing>
          <wp:inline distT="0" distB="0" distL="0" distR="0" wp14:anchorId="01AA516F" wp14:editId="68E62106">
            <wp:extent cx="3499485" cy="2651760"/>
            <wp:effectExtent l="0" t="0" r="5715" b="0"/>
            <wp:docPr id="19893739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3E" w14:textId="29A7DABB" w:rsidR="00A11CAC" w:rsidRPr="00B76A73" w:rsidRDefault="00A17C3A" w:rsidP="006F7FB2">
      <w:r w:rsidRPr="00B76A73">
        <w:t>The Producer Price Index</w:t>
      </w:r>
      <w:r w:rsidR="009B52AF" w:rsidRPr="00B76A73">
        <w:rPr>
          <w:rStyle w:val="FootnoteReference"/>
        </w:rPr>
        <w:footnoteReference w:id="27"/>
      </w:r>
      <w:r w:rsidRPr="00B76A73">
        <w:t xml:space="preserve"> </w:t>
      </w:r>
      <w:r w:rsidR="00E37D74">
        <w:t xml:space="preserve">fell </w:t>
      </w:r>
      <w:r w:rsidR="00B5639B">
        <w:t>0.</w:t>
      </w:r>
      <w:r w:rsidR="009C2041">
        <w:t>3</w:t>
      </w:r>
      <w:r w:rsidR="00A94F52" w:rsidRPr="00B76A73">
        <w:t xml:space="preserve">% in </w:t>
      </w:r>
      <w:r w:rsidR="009C2041">
        <w:t>the quarter</w:t>
      </w:r>
      <w:r w:rsidR="004940F1" w:rsidRPr="00B76A73">
        <w:t xml:space="preserve"> </w:t>
      </w:r>
      <w:r w:rsidR="00B5639B">
        <w:t>and 1.2</w:t>
      </w:r>
      <w:r w:rsidR="00235B28" w:rsidRPr="00B76A73">
        <w:t xml:space="preserve">% </w:t>
      </w:r>
      <w:r w:rsidR="00B5639B">
        <w:t>since</w:t>
      </w:r>
      <w:r w:rsidR="00235B28" w:rsidRPr="00B76A73">
        <w:t xml:space="preserve"> </w:t>
      </w:r>
      <w:r w:rsidR="00B5639B">
        <w:t>March 2022. T</w:t>
      </w:r>
      <w:r w:rsidR="00235B28" w:rsidRPr="00B76A73">
        <w:t>he average annual increase over the last 30 years</w:t>
      </w:r>
      <w:r w:rsidR="00B5639B">
        <w:t xml:space="preserve"> was </w:t>
      </w:r>
      <w:r w:rsidR="00B9425C">
        <w:t>2.9%</w:t>
      </w:r>
      <w:r w:rsidR="00235B28" w:rsidRPr="00B76A73">
        <w:t>.</w:t>
      </w:r>
    </w:p>
    <w:p w14:paraId="149D5F40" w14:textId="29A5B549" w:rsidR="00B94E68" w:rsidRPr="00B76A73" w:rsidRDefault="00FA5B2B" w:rsidP="00166C08">
      <w:pPr>
        <w:jc w:val="center"/>
      </w:pPr>
      <w:r>
        <w:rPr>
          <w:noProof/>
        </w:rPr>
        <w:drawing>
          <wp:inline distT="0" distB="0" distL="0" distR="0" wp14:anchorId="5B8EE281" wp14:editId="72BF22C4">
            <wp:extent cx="3493135" cy="2651760"/>
            <wp:effectExtent l="0" t="0" r="0" b="0"/>
            <wp:docPr id="3446093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137979" w14:textId="1E141112" w:rsidR="00661AA7" w:rsidRPr="00B76A73" w:rsidRDefault="00661AA7" w:rsidP="00661AA7">
      <w:pPr>
        <w:rPr>
          <w:color w:val="000000" w:themeColor="text1"/>
        </w:rPr>
      </w:pPr>
      <w:r w:rsidRPr="00B76A73">
        <w:rPr>
          <w:color w:val="000000" w:themeColor="text1"/>
        </w:rPr>
        <w:t xml:space="preserve">The 5-year </w:t>
      </w:r>
      <w:r w:rsidR="00031DA4" w:rsidRPr="00B76A73">
        <w:rPr>
          <w:color w:val="000000" w:themeColor="text1"/>
        </w:rPr>
        <w:t>breakeven</w:t>
      </w:r>
      <w:r w:rsidRPr="00B76A73">
        <w:rPr>
          <w:color w:val="000000" w:themeColor="text1"/>
        </w:rPr>
        <w:t xml:space="preserve"> inflation rate</w:t>
      </w:r>
      <w:r w:rsidRPr="00B76A73">
        <w:rPr>
          <w:rStyle w:val="FootnoteReference"/>
          <w:color w:val="000000" w:themeColor="text1"/>
        </w:rPr>
        <w:footnoteReference w:id="28"/>
      </w:r>
      <w:r w:rsidRPr="00B76A73">
        <w:rPr>
          <w:color w:val="000000" w:themeColor="text1"/>
        </w:rPr>
        <w:t xml:space="preserve">, an indicator for the market’s inflation expectations for the period, </w:t>
      </w:r>
      <w:r w:rsidR="00502627">
        <w:rPr>
          <w:color w:val="000000" w:themeColor="text1"/>
        </w:rPr>
        <w:t>rose</w:t>
      </w:r>
      <w:r w:rsidR="00B92E54" w:rsidRPr="00B76A73">
        <w:rPr>
          <w:color w:val="000000" w:themeColor="text1"/>
        </w:rPr>
        <w:t xml:space="preserve"> </w:t>
      </w:r>
      <w:r w:rsidR="00502627">
        <w:rPr>
          <w:color w:val="000000" w:themeColor="text1"/>
        </w:rPr>
        <w:t>to</w:t>
      </w:r>
      <w:r w:rsidR="00502627" w:rsidRPr="00B76A73">
        <w:rPr>
          <w:color w:val="000000" w:themeColor="text1"/>
        </w:rPr>
        <w:t xml:space="preserve"> 2.</w:t>
      </w:r>
      <w:r w:rsidR="00AD19F0">
        <w:rPr>
          <w:color w:val="000000" w:themeColor="text1"/>
        </w:rPr>
        <w:t>40</w:t>
      </w:r>
      <w:r w:rsidR="00502627" w:rsidRPr="00B76A73">
        <w:rPr>
          <w:color w:val="000000" w:themeColor="text1"/>
        </w:rPr>
        <w:t xml:space="preserve">% </w:t>
      </w:r>
      <w:r w:rsidR="00502627">
        <w:rPr>
          <w:color w:val="000000" w:themeColor="text1"/>
        </w:rPr>
        <w:t>at the end of the</w:t>
      </w:r>
      <w:r w:rsidR="00502627" w:rsidRPr="00B76A73">
        <w:rPr>
          <w:color w:val="000000" w:themeColor="text1"/>
        </w:rPr>
        <w:t xml:space="preserve"> </w:t>
      </w:r>
      <w:r w:rsidR="00AD19F0">
        <w:rPr>
          <w:color w:val="000000" w:themeColor="text1"/>
        </w:rPr>
        <w:t>1</w:t>
      </w:r>
      <w:r w:rsidR="00AD19F0" w:rsidRPr="00AD19F0">
        <w:rPr>
          <w:color w:val="000000" w:themeColor="text1"/>
          <w:vertAlign w:val="superscript"/>
        </w:rPr>
        <w:t>st</w:t>
      </w:r>
      <w:r w:rsidR="00AD19F0">
        <w:rPr>
          <w:color w:val="000000" w:themeColor="text1"/>
        </w:rPr>
        <w:t xml:space="preserve"> </w:t>
      </w:r>
      <w:r w:rsidR="00502627" w:rsidRPr="00B76A73">
        <w:rPr>
          <w:color w:val="000000" w:themeColor="text1"/>
        </w:rPr>
        <w:t xml:space="preserve">quarter </w:t>
      </w:r>
      <w:r w:rsidR="00AD19F0">
        <w:rPr>
          <w:color w:val="000000" w:themeColor="text1"/>
        </w:rPr>
        <w:t xml:space="preserve">2023 </w:t>
      </w:r>
      <w:r w:rsidR="00D8327E" w:rsidRPr="00B76A73">
        <w:rPr>
          <w:color w:val="000000" w:themeColor="text1"/>
        </w:rPr>
        <w:t xml:space="preserve">from </w:t>
      </w:r>
      <w:r w:rsidR="00AD19F0">
        <w:rPr>
          <w:color w:val="000000" w:themeColor="text1"/>
        </w:rPr>
        <w:t>2.33</w:t>
      </w:r>
      <w:r w:rsidR="00D44E28" w:rsidRPr="00B76A73">
        <w:rPr>
          <w:color w:val="000000" w:themeColor="text1"/>
        </w:rPr>
        <w:t xml:space="preserve">% </w:t>
      </w:r>
      <w:r w:rsidR="00502627">
        <w:rPr>
          <w:color w:val="000000" w:themeColor="text1"/>
        </w:rPr>
        <w:t xml:space="preserve">at the end of the </w:t>
      </w:r>
      <w:r w:rsidR="00AD19F0">
        <w:rPr>
          <w:color w:val="000000" w:themeColor="text1"/>
        </w:rPr>
        <w:t>4</w:t>
      </w:r>
      <w:r w:rsidR="00AD19F0" w:rsidRPr="00AD19F0">
        <w:rPr>
          <w:color w:val="000000" w:themeColor="text1"/>
          <w:vertAlign w:val="superscript"/>
        </w:rPr>
        <w:t>th</w:t>
      </w:r>
      <w:r w:rsidR="00AD19F0">
        <w:rPr>
          <w:color w:val="000000" w:themeColor="text1"/>
        </w:rPr>
        <w:t xml:space="preserve"> </w:t>
      </w:r>
      <w:r w:rsidR="002A496C">
        <w:rPr>
          <w:color w:val="000000" w:themeColor="text1"/>
        </w:rPr>
        <w:t>quarter</w:t>
      </w:r>
      <w:r w:rsidR="00AD19F0">
        <w:rPr>
          <w:color w:val="000000" w:themeColor="text1"/>
        </w:rPr>
        <w:t xml:space="preserve"> 2022</w:t>
      </w:r>
      <w:r w:rsidR="002A496C">
        <w:rPr>
          <w:color w:val="000000" w:themeColor="text1"/>
        </w:rPr>
        <w:t>.</w:t>
      </w:r>
    </w:p>
    <w:p w14:paraId="2FA7F119" w14:textId="39D9BBB5" w:rsidR="00A83597" w:rsidRPr="00B76A73" w:rsidRDefault="00FA5B2B" w:rsidP="00A83597">
      <w:pPr>
        <w:jc w:val="center"/>
      </w:pPr>
      <w:r>
        <w:rPr>
          <w:noProof/>
        </w:rPr>
        <w:lastRenderedPageBreak/>
        <w:drawing>
          <wp:inline distT="0" distB="0" distL="0" distR="0" wp14:anchorId="1A95DF7B" wp14:editId="5E24839B">
            <wp:extent cx="3493135" cy="2651760"/>
            <wp:effectExtent l="0" t="0" r="0" b="0"/>
            <wp:docPr id="144317193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1A6E5E" w14:textId="2466FE46" w:rsidR="00F03302" w:rsidRPr="00B76A73" w:rsidRDefault="0074137C" w:rsidP="00A83597">
      <w:r w:rsidRPr="00B76A73">
        <w:t>U.S. crude oil</w:t>
      </w:r>
      <w:r w:rsidRPr="00B76A73">
        <w:rPr>
          <w:rStyle w:val="FootnoteReference"/>
        </w:rPr>
        <w:footnoteReference w:id="29"/>
      </w:r>
      <w:r w:rsidRPr="00B76A73">
        <w:t xml:space="preserve"> </w:t>
      </w:r>
      <w:r w:rsidR="00660C7A" w:rsidRPr="00B76A73">
        <w:t xml:space="preserve">prices </w:t>
      </w:r>
      <w:r w:rsidR="00AD19F0">
        <w:t xml:space="preserve">dropped to a 15-month low </w:t>
      </w:r>
      <w:r w:rsidR="00EF5461">
        <w:t>after</w:t>
      </w:r>
      <w:r w:rsidR="00AD19F0">
        <w:t xml:space="preserve"> the failure of </w:t>
      </w:r>
      <w:r w:rsidR="00EF5461">
        <w:t>U.S.-based banks Signature Bank and Silicon Valley Bank were followed by a scare for the international Credit-Suisse bank</w:t>
      </w:r>
      <w:r w:rsidR="00B335AB">
        <w:t>, sparking fears of financial crisis</w:t>
      </w:r>
      <w:r w:rsidR="00B6639B" w:rsidRPr="00B76A73">
        <w:t xml:space="preserve">. </w:t>
      </w:r>
      <w:r w:rsidR="00B335AB">
        <w:t xml:space="preserve">Prices largely recovered by the end of the month as </w:t>
      </w:r>
      <w:r w:rsidR="007875DE">
        <w:t xml:space="preserve">the </w:t>
      </w:r>
      <w:r w:rsidR="00374F21">
        <w:t xml:space="preserve">FDIC provided relief for failed banks while Iraqi oil exports were curbed by a governmental dispute. </w:t>
      </w:r>
      <w:r w:rsidR="00B6639B" w:rsidRPr="00B76A73">
        <w:t xml:space="preserve">Crude prices ended the </w:t>
      </w:r>
      <w:r w:rsidR="00AD19F0">
        <w:t>1</w:t>
      </w:r>
      <w:r w:rsidR="00AD19F0" w:rsidRPr="00AD19F0">
        <w:rPr>
          <w:vertAlign w:val="superscript"/>
        </w:rPr>
        <w:t>st</w:t>
      </w:r>
      <w:r w:rsidR="00AD19F0">
        <w:t xml:space="preserve"> </w:t>
      </w:r>
      <w:r w:rsidR="00A43008" w:rsidRPr="00B76A73">
        <w:t>quarter</w:t>
      </w:r>
      <w:r w:rsidR="00F03302" w:rsidRPr="00B76A73">
        <w:t xml:space="preserve"> at </w:t>
      </w:r>
      <w:r w:rsidRPr="00B76A73">
        <w:t>$</w:t>
      </w:r>
      <w:r w:rsidR="00AD19F0">
        <w:t>75.68</w:t>
      </w:r>
      <w:r w:rsidRPr="00B76A73">
        <w:t xml:space="preserve"> </w:t>
      </w:r>
      <w:r w:rsidR="00F03302" w:rsidRPr="00B76A73">
        <w:t>per barrel</w:t>
      </w:r>
      <w:r w:rsidR="00B6639B" w:rsidRPr="00B76A73">
        <w:t xml:space="preserve">, </w:t>
      </w:r>
      <w:r w:rsidR="00AD19F0">
        <w:t>down 5.6</w:t>
      </w:r>
      <w:r w:rsidR="00B6639B" w:rsidRPr="00B76A73">
        <w:t xml:space="preserve">% </w:t>
      </w:r>
      <w:r w:rsidR="00AD19F0">
        <w:t>from</w:t>
      </w:r>
      <w:r w:rsidR="00B6639B" w:rsidRPr="00B76A73">
        <w:t xml:space="preserve"> </w:t>
      </w:r>
      <w:r w:rsidR="00AD19F0">
        <w:t>the prior quarter and 24.7% over one year</w:t>
      </w:r>
      <w:r w:rsidR="002E3E26" w:rsidRPr="00B76A73">
        <w:t xml:space="preserve">. </w:t>
      </w:r>
    </w:p>
    <w:p w14:paraId="51050840" w14:textId="0434631D" w:rsidR="00F03302" w:rsidRPr="00B76A73" w:rsidRDefault="00FA5B2B" w:rsidP="00166C08">
      <w:pPr>
        <w:jc w:val="center"/>
      </w:pPr>
      <w:r>
        <w:rPr>
          <w:noProof/>
        </w:rPr>
        <w:drawing>
          <wp:inline distT="0" distB="0" distL="0" distR="0" wp14:anchorId="3656804E" wp14:editId="5B0FB234">
            <wp:extent cx="3609340" cy="2651760"/>
            <wp:effectExtent l="0" t="0" r="0" b="0"/>
            <wp:docPr id="6600396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41" w14:textId="77777777" w:rsidR="00005111" w:rsidRPr="00B76A73" w:rsidRDefault="00005111" w:rsidP="001475FF">
      <w:pPr>
        <w:pStyle w:val="Heading1"/>
      </w:pPr>
      <w:r w:rsidRPr="00B76A73">
        <w:t>Housing</w:t>
      </w:r>
    </w:p>
    <w:p w14:paraId="7135DBE1" w14:textId="7F9EB00A" w:rsidR="00A96A6A" w:rsidRPr="00B76A73" w:rsidRDefault="00D70994">
      <w:r w:rsidRPr="00D70994">
        <w:t>High interest rates have slowed</w:t>
      </w:r>
      <w:r w:rsidR="006C5DCC" w:rsidRPr="00D70994">
        <w:t xml:space="preserve"> the</w:t>
      </w:r>
      <w:r w:rsidR="00E82192" w:rsidRPr="00D70994">
        <w:t xml:space="preserve"> </w:t>
      </w:r>
      <w:r w:rsidR="00E82192" w:rsidRPr="00370D64">
        <w:t>real estate market</w:t>
      </w:r>
      <w:r w:rsidRPr="00370D64">
        <w:t xml:space="preserve"> in recent months</w:t>
      </w:r>
      <w:r w:rsidR="00E82192" w:rsidRPr="00370D64">
        <w:t xml:space="preserve">, </w:t>
      </w:r>
      <w:r w:rsidRPr="00370D64">
        <w:t>dampening the</w:t>
      </w:r>
      <w:r w:rsidR="00E82192" w:rsidRPr="00370D64">
        <w:t xml:space="preserve"> powerful demand</w:t>
      </w:r>
      <w:r w:rsidRPr="00370D64">
        <w:t xml:space="preserve"> the market had been enjoying</w:t>
      </w:r>
      <w:r w:rsidR="00E82192" w:rsidRPr="00370D64">
        <w:t xml:space="preserve">. </w:t>
      </w:r>
      <w:r w:rsidR="0009284F" w:rsidRPr="00370D64">
        <w:t>Price</w:t>
      </w:r>
      <w:r w:rsidR="00A45AD4">
        <w:t xml:space="preserve"> growth</w:t>
      </w:r>
      <w:r w:rsidR="0009284F" w:rsidRPr="00370D64">
        <w:t xml:space="preserve"> in </w:t>
      </w:r>
      <w:r w:rsidRPr="00370D64">
        <w:t>ma</w:t>
      </w:r>
      <w:r w:rsidR="0009284F" w:rsidRPr="00370D64">
        <w:t xml:space="preserve">jor cities </w:t>
      </w:r>
      <w:r w:rsidR="00A45AD4">
        <w:t>has slowed</w:t>
      </w:r>
      <w:r w:rsidR="0009284F" w:rsidRPr="00370D64">
        <w:t xml:space="preserve">, </w:t>
      </w:r>
      <w:r w:rsidRPr="00370D64">
        <w:t xml:space="preserve">with a </w:t>
      </w:r>
      <w:r w:rsidRPr="00370D64">
        <w:lastRenderedPageBreak/>
        <w:t>growing number of cities experiencing annual price declines</w:t>
      </w:r>
      <w:r w:rsidR="00E82192" w:rsidRPr="00370D64">
        <w:t xml:space="preserve">. </w:t>
      </w:r>
      <w:r w:rsidR="00370D64" w:rsidRPr="00370D64">
        <w:t>Supply remained tight, mitigating downward price pressures. Home sales continued to slide as mortgage rates remained near 15-year high</w:t>
      </w:r>
      <w:r w:rsidR="00370D64">
        <w:t>s</w:t>
      </w:r>
      <w:r w:rsidR="00D413F8" w:rsidRPr="00370D64">
        <w:t>.</w:t>
      </w:r>
      <w:r w:rsidR="00D413F8">
        <w:t xml:space="preserve"> </w:t>
      </w:r>
      <w:r w:rsidR="003F007D" w:rsidRPr="00B76A73">
        <w:t>New</w:t>
      </w:r>
      <w:r w:rsidR="00B0395F" w:rsidRPr="00B76A73">
        <w:t xml:space="preserve"> home starts</w:t>
      </w:r>
      <w:r w:rsidR="00C828B0" w:rsidRPr="00B76A73">
        <w:rPr>
          <w:rStyle w:val="FootnoteReference"/>
        </w:rPr>
        <w:footnoteReference w:id="30"/>
      </w:r>
      <w:r w:rsidR="00B0395F" w:rsidRPr="00B76A73">
        <w:t xml:space="preserve"> </w:t>
      </w:r>
      <w:r w:rsidR="00306EFA">
        <w:t>rose 5.3% during the first quarter</w:t>
      </w:r>
      <w:r w:rsidR="00F13C1C" w:rsidRPr="00B76A73">
        <w:t xml:space="preserve"> to</w:t>
      </w:r>
      <w:r w:rsidR="00BC04D5" w:rsidRPr="00B76A73">
        <w:t xml:space="preserve"> </w:t>
      </w:r>
      <w:r w:rsidR="00306EFA">
        <w:t xml:space="preserve">a level of </w:t>
      </w:r>
      <w:r w:rsidR="00BC04D5" w:rsidRPr="00B76A73">
        <w:t>1.</w:t>
      </w:r>
      <w:r w:rsidR="002A496C">
        <w:t>4</w:t>
      </w:r>
      <w:r w:rsidR="00306EFA">
        <w:t>2</w:t>
      </w:r>
      <w:r w:rsidR="003F007D" w:rsidRPr="00B76A73">
        <w:t xml:space="preserve"> </w:t>
      </w:r>
      <w:r w:rsidR="00B0395F" w:rsidRPr="00B76A73">
        <w:t>million</w:t>
      </w:r>
      <w:r w:rsidR="00675122" w:rsidRPr="00B76A73">
        <w:t xml:space="preserve"> in </w:t>
      </w:r>
      <w:r w:rsidR="00306EFA">
        <w:t>March</w:t>
      </w:r>
      <w:r w:rsidR="00CC1275" w:rsidRPr="00B76A73">
        <w:t xml:space="preserve">; </w:t>
      </w:r>
      <w:r w:rsidR="008B088E" w:rsidRPr="00B76A73">
        <w:t xml:space="preserve">starts for </w:t>
      </w:r>
      <w:r w:rsidR="00CC1275" w:rsidRPr="00B76A73">
        <w:t>single-family home</w:t>
      </w:r>
      <w:r w:rsidR="008B088E" w:rsidRPr="00B76A73">
        <w:t xml:space="preserve">s </w:t>
      </w:r>
      <w:r w:rsidR="0042797E">
        <w:t xml:space="preserve">rose while </w:t>
      </w:r>
      <w:r w:rsidR="00660739">
        <w:t>starts for</w:t>
      </w:r>
      <w:r w:rsidR="00CC1275" w:rsidRPr="00B76A73">
        <w:t xml:space="preserve"> </w:t>
      </w:r>
      <w:r w:rsidR="008B088E" w:rsidRPr="00B76A73">
        <w:t xml:space="preserve">multifamily buildings with 5 or more units </w:t>
      </w:r>
      <w:r w:rsidR="00BC3ABE">
        <w:t>fell</w:t>
      </w:r>
      <w:r w:rsidR="00660739">
        <w:t xml:space="preserve"> </w:t>
      </w:r>
      <w:r w:rsidR="00CC1275" w:rsidRPr="00B76A73">
        <w:t>over the quarter</w:t>
      </w:r>
      <w:r w:rsidR="00341282" w:rsidRPr="00B76A73">
        <w:t xml:space="preserve">. </w:t>
      </w:r>
      <w:r w:rsidR="00894434" w:rsidRPr="00B76A73">
        <w:t xml:space="preserve">Total new home starts were </w:t>
      </w:r>
      <w:r w:rsidR="00306EFA">
        <w:t>down 17.2</w:t>
      </w:r>
      <w:r w:rsidR="005D3FB8" w:rsidRPr="00B76A73">
        <w:t xml:space="preserve">% </w:t>
      </w:r>
      <w:r w:rsidR="009C2041">
        <w:t>year-</w:t>
      </w:r>
      <w:proofErr w:type="spellStart"/>
      <w:r w:rsidR="009C2041">
        <w:t>over</w:t>
      </w:r>
      <w:r w:rsidR="005D3FB8" w:rsidRPr="00B76A73">
        <w:t>year</w:t>
      </w:r>
      <w:proofErr w:type="spellEnd"/>
      <w:r w:rsidR="00306EFA">
        <w:t xml:space="preserve"> but</w:t>
      </w:r>
      <w:r w:rsidR="00835D9E" w:rsidRPr="00B76A73">
        <w:t xml:space="preserve"> </w:t>
      </w:r>
      <w:r w:rsidR="00306EFA">
        <w:t xml:space="preserve">remained </w:t>
      </w:r>
      <w:r w:rsidR="005D3FB8" w:rsidRPr="00B76A73">
        <w:t>above their 30-year average of 1.3</w:t>
      </w:r>
      <w:r w:rsidR="00306EFA">
        <w:t>4</w:t>
      </w:r>
      <w:r w:rsidR="005D3FB8" w:rsidRPr="00B76A73">
        <w:t xml:space="preserve"> million.</w:t>
      </w:r>
      <w:r w:rsidR="00D413F8">
        <w:t xml:space="preserve"> </w:t>
      </w:r>
    </w:p>
    <w:p w14:paraId="149D5F44" w14:textId="787F07E2" w:rsidR="00B5315D" w:rsidRPr="00B76A73" w:rsidRDefault="00FA5B2B" w:rsidP="001B4B76">
      <w:pPr>
        <w:jc w:val="center"/>
      </w:pPr>
      <w:r>
        <w:rPr>
          <w:noProof/>
        </w:rPr>
        <w:drawing>
          <wp:inline distT="0" distB="0" distL="0" distR="0" wp14:anchorId="71EB1467" wp14:editId="6922D62A">
            <wp:extent cx="3816350" cy="2651760"/>
            <wp:effectExtent l="0" t="0" r="0" b="0"/>
            <wp:docPr id="209570927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46" w14:textId="7631CCE4" w:rsidR="00A96795" w:rsidRPr="00B76A73" w:rsidRDefault="00A223EC" w:rsidP="000A1224">
      <w:r w:rsidRPr="00B76A73">
        <w:t xml:space="preserve">The cost </w:t>
      </w:r>
      <w:r w:rsidR="00BC00A7" w:rsidRPr="00B76A73">
        <w:t xml:space="preserve">of financing </w:t>
      </w:r>
      <w:r w:rsidRPr="00B76A73">
        <w:t xml:space="preserve">for </w:t>
      </w:r>
      <w:r w:rsidR="001B4B76" w:rsidRPr="00B76A73">
        <w:t xml:space="preserve">would-be homebuyers </w:t>
      </w:r>
      <w:r w:rsidR="00BC3ABE">
        <w:t>inched down</w:t>
      </w:r>
      <w:r w:rsidR="00720495">
        <w:t xml:space="preserve"> during the </w:t>
      </w:r>
      <w:r w:rsidR="00BC3ABE">
        <w:t>1</w:t>
      </w:r>
      <w:r w:rsidR="00BC3ABE" w:rsidRPr="00BC3ABE">
        <w:rPr>
          <w:vertAlign w:val="superscript"/>
        </w:rPr>
        <w:t>st</w:t>
      </w:r>
      <w:r w:rsidR="00BC3ABE">
        <w:t xml:space="preserve"> </w:t>
      </w:r>
      <w:r w:rsidR="00CC1275" w:rsidRPr="00B76A73">
        <w:t>quarter</w:t>
      </w:r>
      <w:r w:rsidR="00B403A1" w:rsidRPr="00B76A73">
        <w:t xml:space="preserve">, with </w:t>
      </w:r>
      <w:r w:rsidR="001B4B76" w:rsidRPr="00B76A73">
        <w:t>the 30-year fixed-rate mortgage</w:t>
      </w:r>
      <w:r w:rsidR="00250313" w:rsidRPr="00B76A73">
        <w:rPr>
          <w:rStyle w:val="FootnoteReference"/>
        </w:rPr>
        <w:footnoteReference w:id="31"/>
      </w:r>
      <w:r w:rsidR="0081792D" w:rsidRPr="00B76A73">
        <w:t xml:space="preserve"> </w:t>
      </w:r>
      <w:r w:rsidR="00B403A1" w:rsidRPr="00B76A73">
        <w:t xml:space="preserve">ending </w:t>
      </w:r>
      <w:r w:rsidR="00BC3ABE">
        <w:t>March 2023</w:t>
      </w:r>
      <w:r w:rsidR="00B403A1" w:rsidRPr="00B76A73">
        <w:t xml:space="preserve"> at</w:t>
      </w:r>
      <w:r w:rsidR="0055033B" w:rsidRPr="00B76A73">
        <w:t xml:space="preserve"> </w:t>
      </w:r>
      <w:r w:rsidR="00720495">
        <w:t xml:space="preserve">an average of </w:t>
      </w:r>
      <w:r w:rsidR="009550AF" w:rsidRPr="00B76A73">
        <w:t>6</w:t>
      </w:r>
      <w:r w:rsidR="00234C71" w:rsidRPr="00B76A73">
        <w:t>.</w:t>
      </w:r>
      <w:r w:rsidR="00BC3ABE">
        <w:t>3</w:t>
      </w:r>
      <w:r w:rsidR="00720495">
        <w:t>2</w:t>
      </w:r>
      <w:r w:rsidR="0055033B" w:rsidRPr="00B76A73">
        <w:t>%</w:t>
      </w:r>
      <w:r w:rsidR="00720495">
        <w:t xml:space="preserve"> after peaking in late October</w:t>
      </w:r>
      <w:r w:rsidR="00BC3ABE">
        <w:t xml:space="preserve"> 2022</w:t>
      </w:r>
      <w:r w:rsidR="00720495">
        <w:t xml:space="preserve"> at a 20-year high of 7.08%</w:t>
      </w:r>
      <w:r w:rsidR="001B4B76" w:rsidRPr="00B76A73">
        <w:t>.</w:t>
      </w:r>
      <w:r w:rsidR="00A730DC" w:rsidRPr="00B76A73">
        <w:t xml:space="preserve"> </w:t>
      </w:r>
    </w:p>
    <w:p w14:paraId="0D0A69F6" w14:textId="74967F45" w:rsidR="00A96A6A" w:rsidRPr="00B76A73" w:rsidRDefault="00FA5B2B" w:rsidP="00453708">
      <w:pPr>
        <w:jc w:val="center"/>
      </w:pPr>
      <w:r>
        <w:rPr>
          <w:noProof/>
        </w:rPr>
        <w:drawing>
          <wp:inline distT="0" distB="0" distL="0" distR="0" wp14:anchorId="7F0EE684" wp14:editId="0466BE13">
            <wp:extent cx="3816350" cy="2651760"/>
            <wp:effectExtent l="0" t="0" r="0" b="0"/>
            <wp:docPr id="103661092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2DE37C" w14:textId="7466A12D" w:rsidR="00A96A6A" w:rsidRPr="00B76A73" w:rsidRDefault="00B767AE" w:rsidP="00773B5B">
      <w:r w:rsidRPr="00BC7261">
        <w:lastRenderedPageBreak/>
        <w:t>The S&amp;</w:t>
      </w:r>
      <w:r w:rsidR="00BD1AF4" w:rsidRPr="00BC7261">
        <w:t>P Case-Shiller Home Price Index (20-city)</w:t>
      </w:r>
      <w:r w:rsidR="00B2585A" w:rsidRPr="00BC7261">
        <w:rPr>
          <w:rStyle w:val="FootnoteReference"/>
        </w:rPr>
        <w:footnoteReference w:id="32"/>
      </w:r>
      <w:r w:rsidR="00BD1AF4" w:rsidRPr="00BC7261">
        <w:t xml:space="preserve"> </w:t>
      </w:r>
      <w:r w:rsidR="00BC3ABE">
        <w:t xml:space="preserve">was </w:t>
      </w:r>
      <w:r w:rsidR="00A45AD4">
        <w:t xml:space="preserve">0.1% higher from January to February and </w:t>
      </w:r>
      <w:r w:rsidR="00BC3ABE">
        <w:t>0.4</w:t>
      </w:r>
      <w:r w:rsidR="0057468C" w:rsidRPr="00BC7261">
        <w:t xml:space="preserve">% higher since </w:t>
      </w:r>
      <w:r w:rsidR="00A45AD4">
        <w:t xml:space="preserve">February </w:t>
      </w:r>
      <w:r w:rsidR="0057468C" w:rsidRPr="00BC7261">
        <w:t>202</w:t>
      </w:r>
      <w:r w:rsidR="00BC3ABE">
        <w:t>2</w:t>
      </w:r>
      <w:r w:rsidR="00877F82" w:rsidRPr="00BC7261">
        <w:t>.</w:t>
      </w:r>
      <w:r w:rsidR="009550AF" w:rsidRPr="00BC7261">
        <w:t xml:space="preserve"> </w:t>
      </w:r>
      <w:r w:rsidR="00984B61">
        <w:t>Once a</w:t>
      </w:r>
      <w:r w:rsidR="00BC3ABE">
        <w:t>gain l</w:t>
      </w:r>
      <w:r w:rsidR="00877F82" w:rsidRPr="00BC7261">
        <w:t xml:space="preserve">ed by Miami, Tampa, and Atlanta, </w:t>
      </w:r>
      <w:r w:rsidR="006C5DCC">
        <w:t>1</w:t>
      </w:r>
      <w:r w:rsidR="00BC3ABE">
        <w:t>2</w:t>
      </w:r>
      <w:r w:rsidR="006C5DCC">
        <w:t xml:space="preserve"> of the 20</w:t>
      </w:r>
      <w:r w:rsidR="009550AF" w:rsidRPr="00BC7261">
        <w:t xml:space="preserve"> cities continued to report </w:t>
      </w:r>
      <w:r w:rsidR="00877F82" w:rsidRPr="00BC7261">
        <w:t xml:space="preserve">one-year </w:t>
      </w:r>
      <w:r w:rsidR="009550AF" w:rsidRPr="00BC7261">
        <w:t>price increases</w:t>
      </w:r>
      <w:r w:rsidR="004C7928">
        <w:t xml:space="preserve">; the Southeast continues to outpace other regions, while 7 of the 8 cities with over-the-year price declines </w:t>
      </w:r>
      <w:r w:rsidR="00E261F7">
        <w:t>were in</w:t>
      </w:r>
      <w:r w:rsidR="004C7928">
        <w:t xml:space="preserve"> the West</w:t>
      </w:r>
      <w:r w:rsidR="004306FA">
        <w:t xml:space="preserve"> region</w:t>
      </w:r>
      <w:r w:rsidR="00B432FD" w:rsidRPr="00BC7261">
        <w:t>.</w:t>
      </w:r>
      <w:r w:rsidR="006A656A" w:rsidRPr="00B76A73">
        <w:t xml:space="preserve"> </w:t>
      </w:r>
    </w:p>
    <w:p w14:paraId="149D5F4C" w14:textId="065B71C6" w:rsidR="0064538F" w:rsidRPr="00B76A73" w:rsidRDefault="00FA5B2B" w:rsidP="002775DB">
      <w:pPr>
        <w:jc w:val="center"/>
      </w:pPr>
      <w:r>
        <w:rPr>
          <w:noProof/>
        </w:rPr>
        <w:drawing>
          <wp:inline distT="0" distB="0" distL="0" distR="0" wp14:anchorId="286BDBA9" wp14:editId="14E0925B">
            <wp:extent cx="3493135" cy="2651760"/>
            <wp:effectExtent l="0" t="0" r="0" b="0"/>
            <wp:docPr id="50836644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4D" w14:textId="52E84594" w:rsidR="00005111" w:rsidRPr="00B76A73" w:rsidRDefault="0079609A" w:rsidP="001475FF">
      <w:pPr>
        <w:pStyle w:val="Heading1"/>
      </w:pPr>
      <w:r w:rsidRPr="00B76A73">
        <w:t>Consumer Spending</w:t>
      </w:r>
    </w:p>
    <w:p w14:paraId="149D5F51" w14:textId="692DB59F" w:rsidR="0079609A" w:rsidRPr="00B76A73" w:rsidRDefault="0079609A" w:rsidP="00A04AD3">
      <w:r w:rsidRPr="00B76A73">
        <w:t>Personal Consumption Expenditures (PCE)</w:t>
      </w:r>
      <w:r w:rsidR="00421F60" w:rsidRPr="00B76A73">
        <w:rPr>
          <w:rStyle w:val="FootnoteReference"/>
        </w:rPr>
        <w:footnoteReference w:id="33"/>
      </w:r>
      <w:r w:rsidRPr="00B76A73">
        <w:t xml:space="preserve"> </w:t>
      </w:r>
      <w:r w:rsidR="00282C6E" w:rsidRPr="00B76A73">
        <w:t xml:space="preserve">rose </w:t>
      </w:r>
      <w:r w:rsidR="00370D64">
        <w:t>2.1</w:t>
      </w:r>
      <w:r w:rsidR="00282C6E" w:rsidRPr="00B76A73">
        <w:t xml:space="preserve">% in the </w:t>
      </w:r>
      <w:r w:rsidR="00370D64">
        <w:t>1</w:t>
      </w:r>
      <w:r w:rsidR="00370D64" w:rsidRPr="00370D64">
        <w:rPr>
          <w:vertAlign w:val="superscript"/>
        </w:rPr>
        <w:t>st</w:t>
      </w:r>
      <w:r w:rsidR="00370D64">
        <w:t xml:space="preserve"> </w:t>
      </w:r>
      <w:r w:rsidR="00282C6E" w:rsidRPr="00B76A73">
        <w:t>quarter to</w:t>
      </w:r>
      <w:r w:rsidR="00381A81" w:rsidRPr="00B76A73">
        <w:t xml:space="preserve"> </w:t>
      </w:r>
      <w:r w:rsidR="00AA74C1" w:rsidRPr="00B76A73">
        <w:t>$1</w:t>
      </w:r>
      <w:r w:rsidR="00370D64">
        <w:t>8.1</w:t>
      </w:r>
      <w:r w:rsidR="00AA74C1" w:rsidRPr="00B76A73">
        <w:t xml:space="preserve"> trillion</w:t>
      </w:r>
      <w:r w:rsidR="00E37950" w:rsidRPr="00B76A73">
        <w:t xml:space="preserve">. PCE </w:t>
      </w:r>
      <w:r w:rsidR="006A656A" w:rsidRPr="00B76A73">
        <w:t xml:space="preserve">were up </w:t>
      </w:r>
      <w:r w:rsidR="00370D64">
        <w:t>6.2</w:t>
      </w:r>
      <w:r w:rsidR="0081792D" w:rsidRPr="00B76A73">
        <w:t xml:space="preserve">% </w:t>
      </w:r>
      <w:r w:rsidR="00282C6E" w:rsidRPr="00B76A73">
        <w:t xml:space="preserve">since the </w:t>
      </w:r>
      <w:r w:rsidR="00370D64">
        <w:t>1</w:t>
      </w:r>
      <w:r w:rsidR="00370D64" w:rsidRPr="00370D64">
        <w:rPr>
          <w:vertAlign w:val="superscript"/>
        </w:rPr>
        <w:t>st</w:t>
      </w:r>
      <w:r w:rsidR="00370D64">
        <w:t xml:space="preserve"> </w:t>
      </w:r>
      <w:r w:rsidR="006A656A" w:rsidRPr="00B76A73">
        <w:t>quarter</w:t>
      </w:r>
      <w:r w:rsidR="0081792D" w:rsidRPr="00B76A73">
        <w:t xml:space="preserve"> </w:t>
      </w:r>
      <w:r w:rsidR="00AA74C1" w:rsidRPr="00B76A73">
        <w:t>last yea</w:t>
      </w:r>
      <w:r w:rsidR="0081792D" w:rsidRPr="00B76A73">
        <w:t>r</w:t>
      </w:r>
      <w:r w:rsidR="002A0B80" w:rsidRPr="00B76A73">
        <w:t>.</w:t>
      </w:r>
      <w:r w:rsidR="00F04BC9" w:rsidRPr="00B76A73">
        <w:t xml:space="preserve"> </w:t>
      </w:r>
      <w:r w:rsidR="00D477E7">
        <w:t>S</w:t>
      </w:r>
      <w:r w:rsidR="00282C6E" w:rsidRPr="00B76A73">
        <w:t xml:space="preserve">pending </w:t>
      </w:r>
      <w:r w:rsidR="00D477E7">
        <w:t xml:space="preserve">decreased in </w:t>
      </w:r>
      <w:r w:rsidR="00370D64">
        <w:t>March</w:t>
      </w:r>
      <w:r w:rsidR="00D477E7">
        <w:t xml:space="preserve"> for motor vehicles and </w:t>
      </w:r>
      <w:r w:rsidR="00C906E1">
        <w:t>parts but</w:t>
      </w:r>
      <w:r w:rsidR="00D477E7">
        <w:t xml:space="preserve"> increased for </w:t>
      </w:r>
      <w:r w:rsidR="007679B8">
        <w:t xml:space="preserve">gasoline and other energy goods as well as </w:t>
      </w:r>
      <w:r w:rsidR="00D477E7">
        <w:t xml:space="preserve">services </w:t>
      </w:r>
      <w:r w:rsidR="00E52311" w:rsidRPr="00B76A73">
        <w:t>includ</w:t>
      </w:r>
      <w:r w:rsidR="00D477E7">
        <w:t>ing</w:t>
      </w:r>
      <w:r w:rsidR="00E52311" w:rsidRPr="00B76A73">
        <w:t xml:space="preserve"> </w:t>
      </w:r>
      <w:r w:rsidR="008C10DA" w:rsidRPr="00B76A73">
        <w:t>housin</w:t>
      </w:r>
      <w:r w:rsidR="007679B8">
        <w:t>g and utilities</w:t>
      </w:r>
      <w:r w:rsidR="00282C6E" w:rsidRPr="00B76A73">
        <w:t>.</w:t>
      </w:r>
    </w:p>
    <w:p w14:paraId="419D69CE" w14:textId="6909AAEE" w:rsidR="00A96A6A" w:rsidRPr="00B76A73" w:rsidRDefault="00FA5B2B" w:rsidP="00CF06AE">
      <w:pPr>
        <w:jc w:val="center"/>
      </w:pPr>
      <w:r>
        <w:rPr>
          <w:noProof/>
        </w:rPr>
        <w:lastRenderedPageBreak/>
        <w:drawing>
          <wp:inline distT="0" distB="0" distL="0" distR="0" wp14:anchorId="4CDC34FD" wp14:editId="4FED98BF">
            <wp:extent cx="3493135" cy="2651760"/>
            <wp:effectExtent l="0" t="0" r="0" b="0"/>
            <wp:docPr id="141100096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53" w14:textId="54D21A2D" w:rsidR="0079609A" w:rsidRPr="00B76A73" w:rsidRDefault="00D148FE" w:rsidP="00F92FD1">
      <w:r w:rsidRPr="00B76A73">
        <w:t xml:space="preserve">Auto manufacturers </w:t>
      </w:r>
      <w:r w:rsidR="00695980" w:rsidRPr="00B76A73">
        <w:t xml:space="preserve">reported </w:t>
      </w:r>
      <w:r w:rsidR="00210DB1" w:rsidRPr="00B76A73">
        <w:t>1</w:t>
      </w:r>
      <w:r w:rsidR="007679B8">
        <w:t>4</w:t>
      </w:r>
      <w:r w:rsidR="00976B7D" w:rsidRPr="00B76A73">
        <w:t>.</w:t>
      </w:r>
      <w:r w:rsidR="007679B8">
        <w:t>8</w:t>
      </w:r>
      <w:r w:rsidR="00210DB1" w:rsidRPr="00B76A73">
        <w:t xml:space="preserve"> </w:t>
      </w:r>
      <w:r w:rsidR="0079609A" w:rsidRPr="00B76A73">
        <w:t>million autos and light trucks sold</w:t>
      </w:r>
      <w:r w:rsidR="00933E80" w:rsidRPr="00B76A73">
        <w:rPr>
          <w:rStyle w:val="FootnoteReference"/>
        </w:rPr>
        <w:footnoteReference w:id="34"/>
      </w:r>
      <w:r w:rsidR="0079609A" w:rsidRPr="00B76A73">
        <w:t xml:space="preserve"> in </w:t>
      </w:r>
      <w:r w:rsidR="007679B8">
        <w:t>March 2023</w:t>
      </w:r>
      <w:r w:rsidR="008B3E4E" w:rsidRPr="00B76A73">
        <w:t>,</w:t>
      </w:r>
      <w:r w:rsidR="005B40E5" w:rsidRPr="00B76A73">
        <w:t xml:space="preserve"> </w:t>
      </w:r>
      <w:r w:rsidR="007679B8">
        <w:t>up 11.0% from December</w:t>
      </w:r>
      <w:r w:rsidR="00140B44" w:rsidRPr="00B76A73">
        <w:t xml:space="preserve">. </w:t>
      </w:r>
      <w:r w:rsidR="00B0457A" w:rsidRPr="00B76A73">
        <w:t>N</w:t>
      </w:r>
      <w:r w:rsidR="00D822BB" w:rsidRPr="00B76A73">
        <w:t>ew vehicle prices</w:t>
      </w:r>
      <w:r w:rsidR="00D822BB" w:rsidRPr="00B76A73">
        <w:rPr>
          <w:rStyle w:val="FootnoteReference"/>
        </w:rPr>
        <w:footnoteReference w:id="35"/>
      </w:r>
      <w:r w:rsidR="00D822BB" w:rsidRPr="00B76A73">
        <w:t xml:space="preserve"> </w:t>
      </w:r>
      <w:r w:rsidR="00B0457A" w:rsidRPr="00B76A73">
        <w:t>built on their</w:t>
      </w:r>
      <w:r w:rsidR="00D822BB" w:rsidRPr="00B76A73">
        <w:t xml:space="preserve"> </w:t>
      </w:r>
      <w:r w:rsidR="00CF63FE" w:rsidRPr="00B76A73">
        <w:t>record</w:t>
      </w:r>
      <w:r w:rsidR="00D822BB" w:rsidRPr="00B76A73">
        <w:t xml:space="preserve"> high </w:t>
      </w:r>
      <w:r w:rsidR="00CF63FE" w:rsidRPr="00B76A73">
        <w:t xml:space="preserve">by a further </w:t>
      </w:r>
      <w:r w:rsidR="007679B8">
        <w:t>1.1</w:t>
      </w:r>
      <w:r w:rsidR="00CF63FE" w:rsidRPr="00B76A73">
        <w:t xml:space="preserve">% during the </w:t>
      </w:r>
      <w:r w:rsidR="007679B8">
        <w:t>1</w:t>
      </w:r>
      <w:r w:rsidR="007679B8" w:rsidRPr="007679B8">
        <w:rPr>
          <w:vertAlign w:val="superscript"/>
        </w:rPr>
        <w:t>st</w:t>
      </w:r>
      <w:r w:rsidR="007679B8">
        <w:t xml:space="preserve"> </w:t>
      </w:r>
      <w:r w:rsidR="00CF63FE" w:rsidRPr="00B76A73">
        <w:t>quarter</w:t>
      </w:r>
      <w:r w:rsidR="00E82D66">
        <w:t>, while u</w:t>
      </w:r>
      <w:r w:rsidR="002530D7" w:rsidRPr="00B76A73">
        <w:t>sed car</w:t>
      </w:r>
      <w:r w:rsidR="00340262" w:rsidRPr="00B76A73">
        <w:t xml:space="preserve"> prices</w:t>
      </w:r>
      <w:r w:rsidR="002530D7" w:rsidRPr="00B76A73">
        <w:rPr>
          <w:rStyle w:val="FootnoteReference"/>
        </w:rPr>
        <w:footnoteReference w:id="36"/>
      </w:r>
      <w:r w:rsidR="008C2435" w:rsidRPr="00B76A73">
        <w:t xml:space="preserve"> fell </w:t>
      </w:r>
      <w:r w:rsidR="007679B8">
        <w:t>5.5</w:t>
      </w:r>
      <w:r w:rsidR="00CF63FE" w:rsidRPr="00B76A73">
        <w:t xml:space="preserve">% </w:t>
      </w:r>
      <w:r w:rsidR="00E82D66">
        <w:t>over</w:t>
      </w:r>
      <w:r w:rsidR="00B0457A" w:rsidRPr="00B76A73">
        <w:t xml:space="preserve"> the quarter</w:t>
      </w:r>
      <w:r w:rsidR="002530D7" w:rsidRPr="00B76A73">
        <w:t xml:space="preserve">. </w:t>
      </w:r>
    </w:p>
    <w:p w14:paraId="571A905C" w14:textId="7070A20A" w:rsidR="002E3647" w:rsidRPr="00B76A73" w:rsidRDefault="00FA5B2B" w:rsidP="003A679B">
      <w:pPr>
        <w:jc w:val="center"/>
      </w:pPr>
      <w:r>
        <w:rPr>
          <w:noProof/>
        </w:rPr>
        <w:drawing>
          <wp:inline distT="0" distB="0" distL="0" distR="0" wp14:anchorId="2B96B0B4" wp14:editId="5F34320A">
            <wp:extent cx="4090670" cy="2651760"/>
            <wp:effectExtent l="0" t="0" r="5080" b="0"/>
            <wp:docPr id="183787187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B475FF" w14:textId="02E30F48" w:rsidR="002E3647" w:rsidRPr="00B76A73" w:rsidRDefault="008A581A" w:rsidP="00354195">
      <w:r w:rsidRPr="00B76A73">
        <w:t xml:space="preserve">The </w:t>
      </w:r>
      <w:r w:rsidR="00661AA7" w:rsidRPr="00B76A73">
        <w:t xml:space="preserve">University of Michigan’s </w:t>
      </w:r>
      <w:r w:rsidRPr="00B76A73">
        <w:t>c</w:t>
      </w:r>
      <w:r w:rsidR="008C5503" w:rsidRPr="00B76A73">
        <w:t>onsumer sentiment</w:t>
      </w:r>
      <w:r w:rsidR="00661AA7" w:rsidRPr="00B76A73">
        <w:t xml:space="preserve"> index</w:t>
      </w:r>
      <w:r w:rsidR="00291FFB" w:rsidRPr="00B76A73">
        <w:rPr>
          <w:rStyle w:val="FootnoteReference"/>
        </w:rPr>
        <w:footnoteReference w:id="37"/>
      </w:r>
      <w:r w:rsidR="00B745AA">
        <w:t xml:space="preserve"> continu</w:t>
      </w:r>
      <w:r w:rsidR="007679B8">
        <w:t>ed</w:t>
      </w:r>
      <w:r w:rsidR="00B745AA">
        <w:t xml:space="preserve"> its rebound from </w:t>
      </w:r>
      <w:r w:rsidR="005233AB">
        <w:t>its</w:t>
      </w:r>
      <w:r w:rsidR="00B745AA">
        <w:t xml:space="preserve"> all</w:t>
      </w:r>
      <w:r w:rsidR="005233AB">
        <w:t>-</w:t>
      </w:r>
      <w:r w:rsidR="00B745AA">
        <w:t>time low of 50.0</w:t>
      </w:r>
      <w:r w:rsidR="005233AB">
        <w:t xml:space="preserve"> in June</w:t>
      </w:r>
      <w:r w:rsidR="007679B8">
        <w:t xml:space="preserve">, peaking at 67.0 in February before waning to 62.0 in March. The index </w:t>
      </w:r>
      <w:r w:rsidR="007679B8">
        <w:lastRenderedPageBreak/>
        <w:t>was up 4.4% in the year ended March 2023</w:t>
      </w:r>
      <w:r w:rsidR="005233AB">
        <w:t xml:space="preserve"> yet </w:t>
      </w:r>
      <w:r w:rsidR="000022F6">
        <w:t>still</w:t>
      </w:r>
      <w:r w:rsidR="005233AB">
        <w:t xml:space="preserve"> </w:t>
      </w:r>
      <w:r w:rsidR="005233AB" w:rsidRPr="00B76A73">
        <w:t>well below its 30-year average of 8</w:t>
      </w:r>
      <w:r w:rsidR="00EF0010">
        <w:t>6.</w:t>
      </w:r>
      <w:r w:rsidR="007679B8">
        <w:t>8</w:t>
      </w:r>
      <w:r w:rsidR="002F6613" w:rsidRPr="00B76A73">
        <w:t>.</w:t>
      </w:r>
      <w:r w:rsidR="00B1397B" w:rsidRPr="00B76A73">
        <w:t xml:space="preserve"> </w:t>
      </w:r>
      <w:r w:rsidR="000022F6">
        <w:t>March’s decline came despite inflation expectations continuing to subside. The decline was concentrated among lower-income, less-educated, and younger consumers, as well as consumers with large stock holdings</w:t>
      </w:r>
      <w:r w:rsidR="00D467A8">
        <w:t>.</w:t>
      </w:r>
    </w:p>
    <w:p w14:paraId="182CF22B" w14:textId="6FC362D5" w:rsidR="000D5719" w:rsidRPr="00B76A73" w:rsidRDefault="00FA5B2B" w:rsidP="002E3647">
      <w:pPr>
        <w:jc w:val="center"/>
      </w:pPr>
      <w:r>
        <w:rPr>
          <w:noProof/>
        </w:rPr>
        <w:drawing>
          <wp:inline distT="0" distB="0" distL="0" distR="0" wp14:anchorId="3976E76F" wp14:editId="5C9F8BCF">
            <wp:extent cx="4090670" cy="2651760"/>
            <wp:effectExtent l="0" t="0" r="5080" b="0"/>
            <wp:docPr id="89226915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56" w14:textId="77777777" w:rsidR="0091664E" w:rsidRPr="00B76A73" w:rsidRDefault="0091664E" w:rsidP="0091664E">
      <w:pPr>
        <w:pStyle w:val="Heading1"/>
      </w:pPr>
      <w:r w:rsidRPr="00B76A73">
        <w:t>Capital Markets</w:t>
      </w:r>
    </w:p>
    <w:p w14:paraId="0E0EEED4" w14:textId="5DF64831" w:rsidR="008A3D99" w:rsidRDefault="003D1D39" w:rsidP="00B875CA">
      <w:pPr>
        <w:rPr>
          <w:noProof/>
        </w:rPr>
      </w:pPr>
      <w:r w:rsidRPr="000E1968">
        <w:rPr>
          <w:noProof/>
        </w:rPr>
        <w:t xml:space="preserve">The table below shows the </w:t>
      </w:r>
      <w:r w:rsidR="00C427E3" w:rsidRPr="000E1968">
        <w:rPr>
          <w:noProof/>
        </w:rPr>
        <w:t>quarterly, year-to-date,</w:t>
      </w:r>
      <w:r w:rsidRPr="000E1968">
        <w:rPr>
          <w:noProof/>
        </w:rPr>
        <w:t xml:space="preserve"> and 12-month performance of major </w:t>
      </w:r>
      <w:r w:rsidR="00BD4FA3" w:rsidRPr="000E1968">
        <w:rPr>
          <w:noProof/>
        </w:rPr>
        <w:t>U.S.</w:t>
      </w:r>
      <w:r w:rsidRPr="000E1968">
        <w:rPr>
          <w:noProof/>
        </w:rPr>
        <w:t xml:space="preserve"> equity indices. </w:t>
      </w:r>
      <w:r w:rsidR="007929C4" w:rsidRPr="000E1968">
        <w:rPr>
          <w:noProof/>
        </w:rPr>
        <w:t>Capital markets</w:t>
      </w:r>
      <w:r w:rsidR="00A41749">
        <w:rPr>
          <w:noProof/>
        </w:rPr>
        <w:t xml:space="preserve"> suffered setbacks in 2022 such as the war on Ukraine and aggressive policy moves to combat raging inflation</w:t>
      </w:r>
      <w:r w:rsidR="007929C4" w:rsidRPr="007B132C">
        <w:rPr>
          <w:noProof/>
        </w:rPr>
        <w:t>.</w:t>
      </w:r>
      <w:r w:rsidRPr="007B132C">
        <w:rPr>
          <w:noProof/>
        </w:rPr>
        <w:t xml:space="preserve"> </w:t>
      </w:r>
      <w:r w:rsidR="00A41749">
        <w:rPr>
          <w:noProof/>
        </w:rPr>
        <w:t>M</w:t>
      </w:r>
      <w:r w:rsidR="007B132C" w:rsidRPr="007B132C">
        <w:rPr>
          <w:noProof/>
        </w:rPr>
        <w:t xml:space="preserve">arket conditions </w:t>
      </w:r>
      <w:r w:rsidR="00A41749">
        <w:rPr>
          <w:noProof/>
        </w:rPr>
        <w:t>began to improve in the 4</w:t>
      </w:r>
      <w:r w:rsidR="00A41749" w:rsidRPr="00A41749">
        <w:rPr>
          <w:noProof/>
          <w:vertAlign w:val="superscript"/>
        </w:rPr>
        <w:t>th</w:t>
      </w:r>
      <w:r w:rsidR="00A41749">
        <w:rPr>
          <w:noProof/>
        </w:rPr>
        <w:t xml:space="preserve"> quarter of 2022 and continued into the 1</w:t>
      </w:r>
      <w:r w:rsidR="00A41749" w:rsidRPr="00A41749">
        <w:rPr>
          <w:noProof/>
          <w:vertAlign w:val="superscript"/>
        </w:rPr>
        <w:t>st</w:t>
      </w:r>
      <w:r w:rsidR="00A41749">
        <w:rPr>
          <w:noProof/>
        </w:rPr>
        <w:t xml:space="preserve"> quarter of 2023 as inflation began </w:t>
      </w:r>
      <w:r w:rsidR="008143E8">
        <w:rPr>
          <w:noProof/>
        </w:rPr>
        <w:t>to subside</w:t>
      </w:r>
      <w:r w:rsidR="00A41749">
        <w:rPr>
          <w:noProof/>
        </w:rPr>
        <w:t xml:space="preserve"> while the job market stayed strong. </w:t>
      </w:r>
      <w:r w:rsidR="00923BA7">
        <w:rPr>
          <w:noProof/>
        </w:rPr>
        <w:t>Major market indexes took a hit when multiple banks suddenly failed in mid-March, but rallied to close out the quarter on a better-than expected reading of</w:t>
      </w:r>
      <w:r w:rsidR="00923BA7" w:rsidRPr="00923BA7">
        <w:rPr>
          <w:noProof/>
        </w:rPr>
        <w:t xml:space="preserve"> </w:t>
      </w:r>
      <w:r w:rsidR="00923BA7">
        <w:rPr>
          <w:noProof/>
        </w:rPr>
        <w:t>core PCE inflation, the Fed’s favored inflation marker.</w:t>
      </w:r>
      <w:r w:rsidR="007D3E70">
        <w:rPr>
          <w:noProof/>
        </w:rPr>
        <w:t xml:space="preserve"> </w:t>
      </w:r>
      <w:r w:rsidR="00923BA7">
        <w:rPr>
          <w:noProof/>
        </w:rPr>
        <w:t>Tech stocks, seen as a safe haven from the banking crisis, performed strongly; the NASDAQ composite rose 16.8% during the 1</w:t>
      </w:r>
      <w:r w:rsidR="00923BA7" w:rsidRPr="00923BA7">
        <w:rPr>
          <w:noProof/>
          <w:vertAlign w:val="superscript"/>
        </w:rPr>
        <w:t>st</w:t>
      </w:r>
      <w:r w:rsidR="00923BA7">
        <w:rPr>
          <w:noProof/>
        </w:rPr>
        <w:t xml:space="preserve"> quarter. T</w:t>
      </w:r>
      <w:r w:rsidR="007D3E70">
        <w:rPr>
          <w:noProof/>
        </w:rPr>
        <w:t xml:space="preserve">he </w:t>
      </w:r>
      <w:r w:rsidR="007D3E70" w:rsidRPr="000E1968">
        <w:rPr>
          <w:noProof/>
        </w:rPr>
        <w:t xml:space="preserve">Dow Jones </w:t>
      </w:r>
      <w:r w:rsidR="00923BA7">
        <w:rPr>
          <w:noProof/>
        </w:rPr>
        <w:t>Transportation</w:t>
      </w:r>
      <w:r w:rsidR="007D3E70" w:rsidRPr="000E1968">
        <w:rPr>
          <w:noProof/>
        </w:rPr>
        <w:t xml:space="preserve"> Average </w:t>
      </w:r>
      <w:r w:rsidR="007D3E70">
        <w:rPr>
          <w:noProof/>
        </w:rPr>
        <w:t>climbed</w:t>
      </w:r>
      <w:r w:rsidR="007D3E70" w:rsidRPr="000E1968">
        <w:rPr>
          <w:noProof/>
        </w:rPr>
        <w:t xml:space="preserve"> </w:t>
      </w:r>
      <w:r w:rsidR="00923BA7">
        <w:rPr>
          <w:noProof/>
        </w:rPr>
        <w:t>7.8</w:t>
      </w:r>
      <w:r w:rsidR="007D3E70" w:rsidRPr="000E1968">
        <w:rPr>
          <w:noProof/>
        </w:rPr>
        <w:t xml:space="preserve">%, </w:t>
      </w:r>
      <w:r w:rsidR="00923BA7">
        <w:rPr>
          <w:noProof/>
        </w:rPr>
        <w:t>t</w:t>
      </w:r>
      <w:r w:rsidR="007D3E70" w:rsidRPr="000E1968">
        <w:rPr>
          <w:noProof/>
        </w:rPr>
        <w:t>he S&amp;P 500 was up 7.</w:t>
      </w:r>
      <w:r w:rsidR="00923BA7">
        <w:rPr>
          <w:noProof/>
        </w:rPr>
        <w:t>0</w:t>
      </w:r>
      <w:r w:rsidR="007D3E70" w:rsidRPr="000E1968">
        <w:rPr>
          <w:noProof/>
        </w:rPr>
        <w:t>%</w:t>
      </w:r>
      <w:r w:rsidR="00923BA7">
        <w:rPr>
          <w:noProof/>
        </w:rPr>
        <w:t>, and the Wilshire 5000 was up 6.8%</w:t>
      </w:r>
      <w:r w:rsidR="007D3E70">
        <w:rPr>
          <w:noProof/>
        </w:rPr>
        <w:t xml:space="preserve"> </w:t>
      </w:r>
      <w:r w:rsidR="00EF0010">
        <w:rPr>
          <w:noProof/>
        </w:rPr>
        <w:t>for the quarter</w:t>
      </w:r>
      <w:r w:rsidR="007D3E70" w:rsidRPr="000E1968">
        <w:rPr>
          <w:noProof/>
        </w:rPr>
        <w:t>.</w:t>
      </w:r>
      <w:r w:rsidR="007D3E70">
        <w:rPr>
          <w:noProof/>
        </w:rPr>
        <w:t xml:space="preserve"> </w:t>
      </w:r>
      <w:r w:rsidR="00923BA7">
        <w:rPr>
          <w:noProof/>
        </w:rPr>
        <w:t>T</w:t>
      </w:r>
      <w:r w:rsidR="008A3D99">
        <w:rPr>
          <w:noProof/>
        </w:rPr>
        <w:t>he Dow Jones Industrial Average,</w:t>
      </w:r>
      <w:r w:rsidR="00923BA7">
        <w:rPr>
          <w:noProof/>
        </w:rPr>
        <w:t xml:space="preserve"> which dipped less steeply in 2022, was up just 0.4%</w:t>
      </w:r>
      <w:r w:rsidR="006148A4" w:rsidRPr="000E1968">
        <w:rPr>
          <w:noProof/>
        </w:rPr>
        <w:t>.</w:t>
      </w:r>
    </w:p>
    <w:p w14:paraId="79C54A89" w14:textId="5F9BC18C" w:rsidR="002E3647" w:rsidRPr="00B76A73" w:rsidRDefault="00FA5B2B" w:rsidP="00855C4E">
      <w:pPr>
        <w:jc w:val="center"/>
        <w:rPr>
          <w:noProof/>
        </w:rPr>
      </w:pPr>
      <w:r w:rsidRPr="00FA5B2B">
        <w:drawing>
          <wp:inline distT="0" distB="0" distL="0" distR="0" wp14:anchorId="563513B9" wp14:editId="1FDF9675">
            <wp:extent cx="5593080" cy="1478280"/>
            <wp:effectExtent l="0" t="0" r="7620" b="7620"/>
            <wp:docPr id="44212954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D39" w:rsidRPr="00B76A73">
        <w:br/>
      </w:r>
    </w:p>
    <w:p w14:paraId="3743084E" w14:textId="1809A857" w:rsidR="00857079" w:rsidRPr="00B76A73" w:rsidRDefault="00FA5B2B" w:rsidP="00BB3B04">
      <w:pPr>
        <w:jc w:val="center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38A5D9A0" wp14:editId="45A64DF6">
            <wp:extent cx="4097020" cy="2658110"/>
            <wp:effectExtent l="0" t="0" r="0" b="8890"/>
            <wp:docPr id="195947327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20E509" w14:textId="2AC2BEE6" w:rsidR="00100DF8" w:rsidRPr="00B76A73" w:rsidRDefault="00100DF8" w:rsidP="003D1D39">
      <w:pPr>
        <w:rPr>
          <w:noProof/>
        </w:rPr>
      </w:pPr>
      <w:r w:rsidRPr="00B76A73">
        <w:t>Stock market v</w:t>
      </w:r>
      <w:r w:rsidR="0007515A" w:rsidRPr="00B76A73">
        <w:t>olatility</w:t>
      </w:r>
      <w:r w:rsidR="00A1419D" w:rsidRPr="00B76A73">
        <w:t>, as measured by the VIX</w:t>
      </w:r>
      <w:r w:rsidR="00A1419D" w:rsidRPr="00B76A73">
        <w:rPr>
          <w:rStyle w:val="FootnoteReference"/>
        </w:rPr>
        <w:t xml:space="preserve"> </w:t>
      </w:r>
      <w:r w:rsidR="0007515A" w:rsidRPr="00B76A73">
        <w:rPr>
          <w:rStyle w:val="FootnoteReference"/>
        </w:rPr>
        <w:footnoteReference w:id="38"/>
      </w:r>
      <w:r w:rsidR="005573A8" w:rsidRPr="00B76A73">
        <w:t>,</w:t>
      </w:r>
      <w:r w:rsidRPr="00B76A73">
        <w:t xml:space="preserve"> </w:t>
      </w:r>
      <w:r w:rsidR="00595D8A" w:rsidRPr="00B76A73">
        <w:t xml:space="preserve">ended the </w:t>
      </w:r>
      <w:r w:rsidR="005F5E70">
        <w:t>1</w:t>
      </w:r>
      <w:r w:rsidR="005F5E70" w:rsidRPr="005F5E70">
        <w:rPr>
          <w:vertAlign w:val="superscript"/>
        </w:rPr>
        <w:t>st</w:t>
      </w:r>
      <w:r w:rsidR="005F5E70">
        <w:t xml:space="preserve"> </w:t>
      </w:r>
      <w:r w:rsidR="00595D8A" w:rsidRPr="00B76A73">
        <w:t xml:space="preserve">quarter </w:t>
      </w:r>
      <w:r w:rsidR="005F5E70">
        <w:t xml:space="preserve">of 2023 </w:t>
      </w:r>
      <w:r w:rsidR="00595D8A" w:rsidRPr="00B76A73">
        <w:t xml:space="preserve">at </w:t>
      </w:r>
      <w:r w:rsidR="005F5E70">
        <w:t>18.7</w:t>
      </w:r>
      <w:r w:rsidR="00595D8A" w:rsidRPr="00B76A73">
        <w:t xml:space="preserve">, </w:t>
      </w:r>
      <w:r w:rsidR="007B70CF">
        <w:t xml:space="preserve">down </w:t>
      </w:r>
      <w:r w:rsidR="005F5E70">
        <w:t>13</w:t>
      </w:r>
      <w:r w:rsidR="007B70CF">
        <w:t>.</w:t>
      </w:r>
      <w:r w:rsidR="005F5E70">
        <w:t>7</w:t>
      </w:r>
      <w:r w:rsidR="00595D8A" w:rsidRPr="00B76A73">
        <w:t xml:space="preserve">% since the prior quarter </w:t>
      </w:r>
      <w:r w:rsidR="005F5E70">
        <w:t>and 9.0</w:t>
      </w:r>
      <w:r w:rsidR="00595D8A" w:rsidRPr="00B76A73">
        <w:t xml:space="preserve">% since the </w:t>
      </w:r>
      <w:r w:rsidR="005F5E70">
        <w:t>1</w:t>
      </w:r>
      <w:r w:rsidR="005F5E70" w:rsidRPr="005F5E70">
        <w:rPr>
          <w:vertAlign w:val="superscript"/>
        </w:rPr>
        <w:t>st</w:t>
      </w:r>
      <w:r w:rsidR="005F5E70">
        <w:t xml:space="preserve"> quarter of 2022</w:t>
      </w:r>
      <w:r w:rsidR="003D1D39" w:rsidRPr="00B76A73">
        <w:t>.</w:t>
      </w:r>
      <w:r w:rsidR="00B45117" w:rsidRPr="00B76A73">
        <w:t xml:space="preserve"> </w:t>
      </w:r>
      <w:r w:rsidR="005F5E70">
        <w:t>The VIX remained relatively steady throughout most</w:t>
      </w:r>
      <w:r w:rsidR="00354FA1">
        <w:t xml:space="preserve"> </w:t>
      </w:r>
      <w:r w:rsidR="009E56AD">
        <w:t>of</w:t>
      </w:r>
      <w:r w:rsidR="005F5E70">
        <w:t xml:space="preserve"> the 1</w:t>
      </w:r>
      <w:r w:rsidR="005F5E70" w:rsidRPr="005F5E70">
        <w:rPr>
          <w:vertAlign w:val="superscript"/>
        </w:rPr>
        <w:t>st</w:t>
      </w:r>
      <w:r w:rsidR="005F5E70">
        <w:t xml:space="preserve"> quarter, with a spike around the time of the mid-March banking crisis and a subsequent recovery</w:t>
      </w:r>
      <w:r w:rsidR="002106AF">
        <w:t>.</w:t>
      </w:r>
    </w:p>
    <w:p w14:paraId="29D9D20D" w14:textId="2D805B35" w:rsidR="00661AA7" w:rsidRPr="00B76A73" w:rsidRDefault="00FA5B2B" w:rsidP="00404E89">
      <w:pPr>
        <w:jc w:val="center"/>
      </w:pPr>
      <w:r>
        <w:rPr>
          <w:noProof/>
        </w:rPr>
        <w:drawing>
          <wp:inline distT="0" distB="0" distL="0" distR="0" wp14:anchorId="3D692F58" wp14:editId="5A37E606">
            <wp:extent cx="4097020" cy="2658110"/>
            <wp:effectExtent l="0" t="0" r="0" b="8890"/>
            <wp:docPr id="200282551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9D5F93" w14:textId="77777777" w:rsidR="00E44639" w:rsidRPr="00B76A73" w:rsidRDefault="00E44639" w:rsidP="00E44639">
      <w:pPr>
        <w:pStyle w:val="Heading1"/>
      </w:pPr>
      <w:r w:rsidRPr="00B76A73">
        <w:t>Outlook</w:t>
      </w:r>
    </w:p>
    <w:p w14:paraId="71C9C508" w14:textId="76CFAA99" w:rsidR="005573A8" w:rsidRPr="00B76A73" w:rsidRDefault="003071CD" w:rsidP="00E44639">
      <w:r w:rsidRPr="00B76A73">
        <w:t xml:space="preserve">In </w:t>
      </w:r>
      <w:r w:rsidR="005F5E70">
        <w:t>March 2023</w:t>
      </w:r>
      <w:r w:rsidRPr="00B76A73">
        <w:t xml:space="preserve">, the FOMC </w:t>
      </w:r>
      <w:r w:rsidR="005573A8" w:rsidRPr="00B76A73">
        <w:t xml:space="preserve">revised their </w:t>
      </w:r>
      <w:r w:rsidR="000755E2" w:rsidRPr="00B76A73">
        <w:t xml:space="preserve">near-term </w:t>
      </w:r>
      <w:r w:rsidR="005573A8" w:rsidRPr="00B76A73">
        <w:t xml:space="preserve">inflation projections </w:t>
      </w:r>
      <w:r w:rsidR="00260D17" w:rsidRPr="00B76A73">
        <w:t xml:space="preserve">slightly </w:t>
      </w:r>
      <w:r w:rsidR="005573A8" w:rsidRPr="00B76A73">
        <w:t xml:space="preserve">upward </w:t>
      </w:r>
      <w:r w:rsidR="000755E2" w:rsidRPr="00B76A73">
        <w:t xml:space="preserve">and </w:t>
      </w:r>
      <w:r w:rsidR="00C22FCD">
        <w:t>unemployment rate</w:t>
      </w:r>
      <w:r w:rsidR="005125AE" w:rsidRPr="00B76A73">
        <w:t xml:space="preserve"> </w:t>
      </w:r>
      <w:r w:rsidR="005F5E70">
        <w:t xml:space="preserve">and </w:t>
      </w:r>
      <w:r w:rsidR="005F5E70" w:rsidRPr="00B76A73">
        <w:t xml:space="preserve">real GDP </w:t>
      </w:r>
      <w:r w:rsidR="000755E2" w:rsidRPr="00B76A73">
        <w:t xml:space="preserve">projections </w:t>
      </w:r>
      <w:r w:rsidR="00C22FCD">
        <w:t>slightly</w:t>
      </w:r>
      <w:r w:rsidR="00260D17" w:rsidRPr="00B76A73">
        <w:t xml:space="preserve"> </w:t>
      </w:r>
      <w:r w:rsidR="000755E2" w:rsidRPr="00B76A73">
        <w:t>downward</w:t>
      </w:r>
      <w:r w:rsidR="0007242E" w:rsidRPr="00B76A73">
        <w:t xml:space="preserve">. </w:t>
      </w:r>
      <w:r w:rsidR="00C22FCD">
        <w:t>Little to no adjustments were made</w:t>
      </w:r>
      <w:r w:rsidR="00260D17" w:rsidRPr="00B76A73">
        <w:t xml:space="preserve"> to l</w:t>
      </w:r>
      <w:r w:rsidR="005573A8" w:rsidRPr="00B76A73">
        <w:t>onger</w:t>
      </w:r>
      <w:r w:rsidR="00452720" w:rsidRPr="00B76A73">
        <w:t>-</w:t>
      </w:r>
      <w:r w:rsidR="005573A8" w:rsidRPr="00B76A73">
        <w:t xml:space="preserve">run projections for </w:t>
      </w:r>
      <w:r w:rsidR="00C22FCD">
        <w:t>the</w:t>
      </w:r>
      <w:r w:rsidR="005573A8" w:rsidRPr="00B76A73">
        <w:t xml:space="preserve"> three indicators. </w:t>
      </w:r>
    </w:p>
    <w:p w14:paraId="1779A15E" w14:textId="657579A9" w:rsidR="00855C4E" w:rsidRPr="00B76A73" w:rsidRDefault="005573A8" w:rsidP="00855C4E">
      <w:r w:rsidRPr="00B76A73">
        <w:lastRenderedPageBreak/>
        <w:t>The FOMC revised their projection</w:t>
      </w:r>
      <w:r w:rsidR="00F60736" w:rsidRPr="00B76A73">
        <w:t xml:space="preserve"> </w:t>
      </w:r>
      <w:r w:rsidRPr="00B76A73">
        <w:t xml:space="preserve">for </w:t>
      </w:r>
      <w:r w:rsidR="00F60736" w:rsidRPr="00B76A73">
        <w:t>real GDP</w:t>
      </w:r>
      <w:r w:rsidR="00BF5CE2" w:rsidRPr="00B76A73">
        <w:rPr>
          <w:rStyle w:val="FootnoteReference"/>
        </w:rPr>
        <w:footnoteReference w:id="39"/>
      </w:r>
      <w:r w:rsidR="00F60736" w:rsidRPr="00B76A73">
        <w:t xml:space="preserve"> </w:t>
      </w:r>
      <w:r w:rsidR="0039421C" w:rsidRPr="00B76A73">
        <w:t xml:space="preserve">to </w:t>
      </w:r>
      <w:r w:rsidR="00AE492E" w:rsidRPr="00B76A73">
        <w:t>0.</w:t>
      </w:r>
      <w:r w:rsidR="00536317">
        <w:t>4</w:t>
      </w:r>
      <w:r w:rsidR="00495F77">
        <w:t>0</w:t>
      </w:r>
      <w:r w:rsidR="00F60736" w:rsidRPr="00B76A73">
        <w:t>%</w:t>
      </w:r>
      <w:r w:rsidR="0049182B" w:rsidRPr="00B76A73">
        <w:t xml:space="preserve"> growth in</w:t>
      </w:r>
      <w:r w:rsidR="00F60736" w:rsidRPr="00B76A73">
        <w:t xml:space="preserve"> 20</w:t>
      </w:r>
      <w:r w:rsidR="00090DA6" w:rsidRPr="00B76A73">
        <w:t>2</w:t>
      </w:r>
      <w:r w:rsidR="00495F77">
        <w:t>3</w:t>
      </w:r>
      <w:r w:rsidR="0049182B" w:rsidRPr="00B76A73">
        <w:t xml:space="preserve">, </w:t>
      </w:r>
      <w:r w:rsidR="00AE492E" w:rsidRPr="00B76A73">
        <w:t>rising</w:t>
      </w:r>
      <w:r w:rsidR="0049182B" w:rsidRPr="00B76A73">
        <w:t xml:space="preserve"> to </w:t>
      </w:r>
      <w:r w:rsidR="00495F77">
        <w:t>1</w:t>
      </w:r>
      <w:r w:rsidR="00922197" w:rsidRPr="00B76A73">
        <w:t>.</w:t>
      </w:r>
      <w:r w:rsidR="00495F77">
        <w:t>25</w:t>
      </w:r>
      <w:r w:rsidR="0049182B" w:rsidRPr="00B76A73">
        <w:t xml:space="preserve">% </w:t>
      </w:r>
      <w:r w:rsidR="00F66850" w:rsidRPr="00B76A73">
        <w:t>in 202</w:t>
      </w:r>
      <w:r w:rsidR="00495F77">
        <w:t>4</w:t>
      </w:r>
      <w:r w:rsidR="00F66850" w:rsidRPr="00B76A73">
        <w:t>, then to 1.</w:t>
      </w:r>
      <w:r w:rsidR="00495F77">
        <w:t>90</w:t>
      </w:r>
      <w:r w:rsidR="00F66850" w:rsidRPr="00B76A73">
        <w:t xml:space="preserve">% </w:t>
      </w:r>
      <w:r w:rsidR="004F307A" w:rsidRPr="00B76A73">
        <w:t>by</w:t>
      </w:r>
      <w:r w:rsidR="000D646D" w:rsidRPr="00B76A73">
        <w:t xml:space="preserve"> 202</w:t>
      </w:r>
      <w:r w:rsidR="00495F77">
        <w:t>5</w:t>
      </w:r>
      <w:r w:rsidR="00F60736" w:rsidRPr="00B76A73">
        <w:t>. They expect</w:t>
      </w:r>
      <w:r w:rsidRPr="00B76A73">
        <w:t>ed</w:t>
      </w:r>
      <w:r w:rsidR="00F60736" w:rsidRPr="00B76A73">
        <w:t xml:space="preserve"> Personal Consumption Expendit</w:t>
      </w:r>
      <w:r w:rsidR="00090DA6" w:rsidRPr="00B76A73">
        <w:t>ures (PCE)</w:t>
      </w:r>
      <w:r w:rsidR="00F66850" w:rsidRPr="00B76A73">
        <w:t xml:space="preserve"> inflation</w:t>
      </w:r>
      <w:r w:rsidR="005D3CEF" w:rsidRPr="00B76A73">
        <w:rPr>
          <w:rStyle w:val="FootnoteReference"/>
        </w:rPr>
        <w:footnoteReference w:id="40"/>
      </w:r>
      <w:r w:rsidR="00090DA6" w:rsidRPr="00B76A73">
        <w:t xml:space="preserve"> to </w:t>
      </w:r>
      <w:r w:rsidR="00495F77">
        <w:t>cool</w:t>
      </w:r>
      <w:r w:rsidRPr="00B76A73">
        <w:t xml:space="preserve"> </w:t>
      </w:r>
      <w:r w:rsidR="00155E5F" w:rsidRPr="00B76A73">
        <w:t xml:space="preserve">to </w:t>
      </w:r>
      <w:r w:rsidR="00495F77">
        <w:t>3.40</w:t>
      </w:r>
      <w:r w:rsidR="000F3008" w:rsidRPr="00B76A73">
        <w:t>%</w:t>
      </w:r>
      <w:r w:rsidR="000755E2" w:rsidRPr="00B76A73">
        <w:t xml:space="preserve"> </w:t>
      </w:r>
      <w:r w:rsidR="00D31480" w:rsidRPr="00B76A73">
        <w:t>in</w:t>
      </w:r>
      <w:r w:rsidR="000755E2" w:rsidRPr="00B76A73">
        <w:t xml:space="preserve"> 202</w:t>
      </w:r>
      <w:r w:rsidR="00495F77">
        <w:t xml:space="preserve">3, further </w:t>
      </w:r>
      <w:r w:rsidR="00AE492E" w:rsidRPr="00B76A73">
        <w:t>moderat</w:t>
      </w:r>
      <w:r w:rsidR="00495F77">
        <w:t>ing</w:t>
      </w:r>
      <w:r w:rsidR="00D31480" w:rsidRPr="00B76A73">
        <w:t xml:space="preserve"> to</w:t>
      </w:r>
      <w:r w:rsidR="000755E2" w:rsidRPr="00B76A73">
        <w:t xml:space="preserve"> </w:t>
      </w:r>
      <w:r w:rsidR="00495F77">
        <w:t>2.5</w:t>
      </w:r>
      <w:r w:rsidR="00536317">
        <w:t>0</w:t>
      </w:r>
      <w:r w:rsidR="00AE492E" w:rsidRPr="00B76A73">
        <w:t>% by 202</w:t>
      </w:r>
      <w:r w:rsidR="00495F77">
        <w:t>4</w:t>
      </w:r>
      <w:r w:rsidR="00AE492E" w:rsidRPr="00B76A73">
        <w:t xml:space="preserve"> and 2.</w:t>
      </w:r>
      <w:r w:rsidR="00495F77">
        <w:t>1</w:t>
      </w:r>
      <w:r w:rsidR="00536317">
        <w:t>0</w:t>
      </w:r>
      <w:r w:rsidR="000F3008" w:rsidRPr="00B76A73">
        <w:t>%</w:t>
      </w:r>
      <w:r w:rsidR="000755E2" w:rsidRPr="00B76A73">
        <w:t xml:space="preserve"> </w:t>
      </w:r>
      <w:r w:rsidR="00AE492E" w:rsidRPr="00B76A73">
        <w:t>by</w:t>
      </w:r>
      <w:r w:rsidR="000755E2" w:rsidRPr="00B76A73">
        <w:t xml:space="preserve"> 202</w:t>
      </w:r>
      <w:r w:rsidR="00495F77">
        <w:t>5</w:t>
      </w:r>
      <w:r w:rsidRPr="00B76A73">
        <w:t xml:space="preserve">. </w:t>
      </w:r>
      <w:r w:rsidR="00F60736" w:rsidRPr="00B76A73">
        <w:t>The</w:t>
      </w:r>
      <w:r w:rsidR="004907DA" w:rsidRPr="00B76A73">
        <w:t>y</w:t>
      </w:r>
      <w:r w:rsidR="00F60736" w:rsidRPr="00B76A73">
        <w:t xml:space="preserve"> forecast th</w:t>
      </w:r>
      <w:r w:rsidR="004907DA" w:rsidRPr="00B76A73">
        <w:t>at th</w:t>
      </w:r>
      <w:r w:rsidR="00F60736" w:rsidRPr="00B76A73">
        <w:t>e unemployment rate</w:t>
      </w:r>
      <w:r w:rsidR="00E72196" w:rsidRPr="00B76A73">
        <w:rPr>
          <w:rStyle w:val="FootnoteReference"/>
        </w:rPr>
        <w:footnoteReference w:id="41"/>
      </w:r>
      <w:r w:rsidR="00F60736" w:rsidRPr="00B76A73">
        <w:t xml:space="preserve"> </w:t>
      </w:r>
      <w:r w:rsidR="000755E2" w:rsidRPr="00B76A73">
        <w:t>would</w:t>
      </w:r>
      <w:r w:rsidR="00F60736" w:rsidRPr="00B76A73">
        <w:t xml:space="preserve"> </w:t>
      </w:r>
      <w:r w:rsidR="000755E2" w:rsidRPr="00B76A73">
        <w:t>be</w:t>
      </w:r>
      <w:r w:rsidRPr="00B76A73">
        <w:t xml:space="preserve"> </w:t>
      </w:r>
      <w:r w:rsidR="00495F77">
        <w:t>4.35</w:t>
      </w:r>
      <w:r w:rsidR="00F60736" w:rsidRPr="00B76A73">
        <w:t>%</w:t>
      </w:r>
      <w:r w:rsidR="0039421C" w:rsidRPr="00B76A73">
        <w:t xml:space="preserve"> in 202</w:t>
      </w:r>
      <w:r w:rsidR="00495F77">
        <w:t>3</w:t>
      </w:r>
      <w:r w:rsidR="00F66850" w:rsidRPr="00B76A73">
        <w:t>, rising to 4.</w:t>
      </w:r>
      <w:r w:rsidR="00495F77">
        <w:t>60</w:t>
      </w:r>
      <w:r w:rsidR="0049182B" w:rsidRPr="00B76A73">
        <w:t xml:space="preserve">% </w:t>
      </w:r>
      <w:r w:rsidR="00AE492E" w:rsidRPr="00B76A73">
        <w:t>in</w:t>
      </w:r>
      <w:r w:rsidR="00F60736" w:rsidRPr="00B76A73">
        <w:t xml:space="preserve"> 20</w:t>
      </w:r>
      <w:r w:rsidR="00090DA6" w:rsidRPr="00B76A73">
        <w:t>2</w:t>
      </w:r>
      <w:r w:rsidR="00495F77">
        <w:t>4</w:t>
      </w:r>
      <w:r w:rsidR="00AE492E" w:rsidRPr="00B76A73">
        <w:t xml:space="preserve"> and </w:t>
      </w:r>
      <w:r w:rsidR="00495F77">
        <w:t xml:space="preserve">4.55% in </w:t>
      </w:r>
      <w:r w:rsidR="00AE492E" w:rsidRPr="00B76A73">
        <w:t>202</w:t>
      </w:r>
      <w:r w:rsidR="00495F77">
        <w:t>5</w:t>
      </w:r>
      <w:r w:rsidR="003071CD" w:rsidRPr="00B76A73">
        <w:t>.</w:t>
      </w:r>
      <w:r w:rsidR="005C22CA" w:rsidRPr="00B76A73">
        <w:t xml:space="preserve"> </w:t>
      </w:r>
      <w:r w:rsidR="00155E5F" w:rsidRPr="00B76A73">
        <w:t>T</w:t>
      </w:r>
      <w:r w:rsidR="005C22CA" w:rsidRPr="00B76A73">
        <w:t xml:space="preserve">he board </w:t>
      </w:r>
      <w:r w:rsidR="00495F77">
        <w:t>made little change to</w:t>
      </w:r>
      <w:r w:rsidR="00091282" w:rsidRPr="00B76A73">
        <w:t xml:space="preserve"> projections of future target rates</w:t>
      </w:r>
      <w:r w:rsidR="00495F77">
        <w:t>, revising only the 2024 projection slightly upward,</w:t>
      </w:r>
      <w:r w:rsidR="00091282" w:rsidRPr="00B76A73">
        <w:t xml:space="preserve"> and </w:t>
      </w:r>
      <w:r w:rsidR="00495F77">
        <w:t xml:space="preserve">softened their hawkish stance with signals that </w:t>
      </w:r>
      <w:r w:rsidR="00771CA2">
        <w:t xml:space="preserve">near-term </w:t>
      </w:r>
      <w:r w:rsidR="00495F77">
        <w:t>monetary policy would be responsive to incoming economic data</w:t>
      </w:r>
      <w:r w:rsidR="00A54ACF" w:rsidRPr="00B76A73">
        <w:t>.</w:t>
      </w:r>
    </w:p>
    <w:p w14:paraId="4D630423" w14:textId="1BAD1852" w:rsidR="00FD0160" w:rsidRPr="00B76A73" w:rsidRDefault="00FA5B2B" w:rsidP="00855C4E">
      <w:pPr>
        <w:jc w:val="center"/>
      </w:pPr>
      <w:r w:rsidRPr="00FA5B2B">
        <w:drawing>
          <wp:inline distT="0" distB="0" distL="0" distR="0" wp14:anchorId="29973AF8" wp14:editId="10A4C1D7">
            <wp:extent cx="3909060" cy="1112520"/>
            <wp:effectExtent l="0" t="0" r="0" b="0"/>
            <wp:docPr id="87127255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5A3C9" w14:textId="4CF9E1B8" w:rsidR="002301AB" w:rsidRPr="00B76A73" w:rsidRDefault="002308A9">
      <w:r w:rsidRPr="00B76A73">
        <w:br w:type="page"/>
      </w:r>
    </w:p>
    <w:p w14:paraId="71E59CEA" w14:textId="6D7E62F8" w:rsidR="002308A9" w:rsidRPr="00B76A73" w:rsidRDefault="002301AB">
      <w:pPr>
        <w:rPr>
          <w:rFonts w:asciiTheme="majorHAnsi" w:eastAsiaTheme="majorEastAsia" w:hAnsiTheme="majorHAnsi" w:cstheme="majorBidi"/>
          <w:color w:val="008FD5"/>
          <w:sz w:val="36"/>
          <w:szCs w:val="32"/>
        </w:rPr>
      </w:pPr>
      <w:r w:rsidRPr="00B76A73">
        <w:rPr>
          <w:rFonts w:asciiTheme="majorHAnsi" w:eastAsiaTheme="majorEastAsia" w:hAnsiTheme="majorHAnsi" w:cstheme="majorBidi"/>
          <w:color w:val="008FD5"/>
          <w:sz w:val="36"/>
          <w:szCs w:val="32"/>
        </w:rPr>
        <w:lastRenderedPageBreak/>
        <w:t>Appendix – Selected Interest Rates</w:t>
      </w:r>
    </w:p>
    <w:p w14:paraId="6F34C406" w14:textId="7B1E0F68" w:rsidR="002301AB" w:rsidRPr="00B76A73" w:rsidRDefault="008F6F3B">
      <w:r w:rsidRPr="008F6F3B">
        <w:drawing>
          <wp:inline distT="0" distB="0" distL="0" distR="0" wp14:anchorId="16714E32" wp14:editId="64A01D5C">
            <wp:extent cx="5365458" cy="7536180"/>
            <wp:effectExtent l="0" t="0" r="6985" b="7620"/>
            <wp:docPr id="148519676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01" cy="754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D5FB3" w14:textId="386CB697" w:rsidR="00005111" w:rsidRPr="00B76A73" w:rsidRDefault="00005111" w:rsidP="001475FF">
      <w:pPr>
        <w:pStyle w:val="Heading1"/>
      </w:pPr>
      <w:r w:rsidRPr="00B76A73">
        <w:lastRenderedPageBreak/>
        <w:t>About This Report</w:t>
      </w:r>
    </w:p>
    <w:p w14:paraId="149D5FB4" w14:textId="5800CD46" w:rsidR="002F3682" w:rsidRPr="00B76A73" w:rsidRDefault="00BB34CA" w:rsidP="00005111">
      <w:r w:rsidRPr="00B76A73">
        <w:t xml:space="preserve">The </w:t>
      </w:r>
      <w:r w:rsidRPr="00B76A73">
        <w:rPr>
          <w:i/>
        </w:rPr>
        <w:t>Quarterly Economic Update</w:t>
      </w:r>
      <w:r w:rsidRPr="00B76A73">
        <w:t xml:space="preserve"> is a free publication sponsored by </w:t>
      </w:r>
      <w:proofErr w:type="spellStart"/>
      <w:r w:rsidRPr="00B76A73">
        <w:t>TagniFi</w:t>
      </w:r>
      <w:proofErr w:type="spellEnd"/>
      <w:r w:rsidRPr="00B76A73">
        <w:t>. You are free to share this report and include its contents in the economic outlook section of your valuation reports</w:t>
      </w:r>
      <w:r w:rsidR="00DF67C7" w:rsidRPr="00B76A73">
        <w:t xml:space="preserve"> as required by </w:t>
      </w:r>
      <w:r w:rsidR="00DF67C7" w:rsidRPr="00B76A73">
        <w:rPr>
          <w:i/>
        </w:rPr>
        <w:t>Revenue Ruling 59-60</w:t>
      </w:r>
      <w:r w:rsidRPr="00B76A73">
        <w:t xml:space="preserve">. Please forward this </w:t>
      </w:r>
      <w:r w:rsidR="00DF67C7" w:rsidRPr="00B76A73">
        <w:t xml:space="preserve">free </w:t>
      </w:r>
      <w:r w:rsidRPr="00B76A73">
        <w:t>report to a c</w:t>
      </w:r>
      <w:r w:rsidR="00DF67C7" w:rsidRPr="00B76A73">
        <w:t xml:space="preserve">olleague to help us spread the word about </w:t>
      </w:r>
      <w:proofErr w:type="spellStart"/>
      <w:r w:rsidR="00DF67C7" w:rsidRPr="00B76A73">
        <w:t>TagniFi</w:t>
      </w:r>
      <w:proofErr w:type="spellEnd"/>
      <w:r w:rsidRPr="00B76A73">
        <w:t>.</w:t>
      </w:r>
    </w:p>
    <w:p w14:paraId="5E6B4C93" w14:textId="2938085A" w:rsidR="00964DD4" w:rsidRPr="00B76A73" w:rsidRDefault="00964DD4" w:rsidP="00230D29">
      <w:pPr>
        <w:rPr>
          <w:rFonts w:ascii="Calibri Light" w:hAnsi="Calibri Light" w:cs="Calibri Light"/>
          <w:color w:val="008FD5"/>
          <w:sz w:val="36"/>
          <w:szCs w:val="36"/>
        </w:rPr>
      </w:pPr>
      <w:r w:rsidRPr="00B76A73">
        <w:rPr>
          <w:rFonts w:ascii="Calibri Light" w:hAnsi="Calibri Light" w:cs="Calibri Light"/>
          <w:color w:val="008FD5"/>
          <w:sz w:val="36"/>
          <w:szCs w:val="36"/>
        </w:rPr>
        <w:t xml:space="preserve">How </w:t>
      </w:r>
      <w:proofErr w:type="spellStart"/>
      <w:r w:rsidRPr="00B76A73">
        <w:rPr>
          <w:rFonts w:ascii="Calibri Light" w:hAnsi="Calibri Light" w:cs="Calibri Light"/>
          <w:color w:val="008FD5"/>
          <w:sz w:val="36"/>
          <w:szCs w:val="36"/>
        </w:rPr>
        <w:t>TagniFi</w:t>
      </w:r>
      <w:proofErr w:type="spellEnd"/>
      <w:r w:rsidR="005F5744" w:rsidRPr="00B76A73">
        <w:rPr>
          <w:rFonts w:ascii="Calibri Light" w:hAnsi="Calibri Light" w:cs="Calibri Light"/>
          <w:color w:val="008FD5"/>
          <w:sz w:val="36"/>
          <w:szCs w:val="36"/>
        </w:rPr>
        <w:t xml:space="preserve"> Helps </w:t>
      </w:r>
      <w:r w:rsidRPr="00B76A73">
        <w:rPr>
          <w:rFonts w:ascii="Calibri Light" w:hAnsi="Calibri Light" w:cs="Calibri Light"/>
          <w:color w:val="008FD5"/>
          <w:sz w:val="36"/>
          <w:szCs w:val="36"/>
        </w:rPr>
        <w:t>Business Valuation</w:t>
      </w:r>
      <w:r w:rsidR="005F5744" w:rsidRPr="00B76A73">
        <w:rPr>
          <w:rFonts w:ascii="Calibri Light" w:hAnsi="Calibri Light" w:cs="Calibri Light"/>
          <w:color w:val="008FD5"/>
          <w:sz w:val="36"/>
          <w:szCs w:val="36"/>
        </w:rPr>
        <w:t xml:space="preserve"> Teams</w:t>
      </w:r>
    </w:p>
    <w:p w14:paraId="1FE39938" w14:textId="7315018D" w:rsidR="00964DD4" w:rsidRPr="00B76A73" w:rsidRDefault="00964DD4" w:rsidP="00230D29">
      <w:proofErr w:type="spellStart"/>
      <w:r w:rsidRPr="00B76A73">
        <w:t>TagniFi’s</w:t>
      </w:r>
      <w:proofErr w:type="spellEnd"/>
      <w:r w:rsidRPr="00B76A73">
        <w:t xml:space="preserve"> financial data platform empowers business valuation </w:t>
      </w:r>
      <w:r w:rsidR="00617DFF" w:rsidRPr="00B76A73">
        <w:t>teams</w:t>
      </w:r>
      <w:r w:rsidRPr="00B76A73">
        <w:t xml:space="preserve"> to quickly and easily build highly accurate financial models with full transparency—and within seconds.</w:t>
      </w:r>
    </w:p>
    <w:p w14:paraId="5282F11A" w14:textId="77777777" w:rsidR="003D3C51" w:rsidRPr="00B76A73" w:rsidRDefault="003D3C51" w:rsidP="00230D29"/>
    <w:p w14:paraId="736F547D" w14:textId="34D03572" w:rsidR="004C20AB" w:rsidRPr="00B76A73" w:rsidRDefault="00617DFF" w:rsidP="00230D29">
      <w:r w:rsidRPr="00B76A73">
        <w:rPr>
          <w:b/>
          <w:bCs/>
        </w:rPr>
        <w:t xml:space="preserve">Better </w:t>
      </w:r>
      <w:r w:rsidR="004C20AB" w:rsidRPr="00B76A73">
        <w:rPr>
          <w:b/>
          <w:bCs/>
        </w:rPr>
        <w:t>Public Comps</w:t>
      </w:r>
      <w:r w:rsidR="004C20AB" w:rsidRPr="00B76A73">
        <w:br/>
      </w:r>
      <w:r w:rsidR="004C20AB" w:rsidRPr="00B76A73">
        <w:rPr>
          <w:noProof/>
        </w:rPr>
        <w:drawing>
          <wp:anchor distT="0" distB="0" distL="114300" distR="114300" simplePos="0" relativeHeight="251659776" behindDoc="0" locked="0" layoutInCell="1" allowOverlap="1" wp14:anchorId="0C218BE2" wp14:editId="5412CA4E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162175" cy="1621631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20AB" w:rsidRPr="00B76A73">
        <w:t xml:space="preserve">Search for public companies with </w:t>
      </w:r>
      <w:proofErr w:type="spellStart"/>
      <w:r w:rsidR="004C20AB" w:rsidRPr="00B76A73">
        <w:t>TagniFi</w:t>
      </w:r>
      <w:proofErr w:type="spellEnd"/>
      <w:r w:rsidR="004C20AB" w:rsidRPr="00B76A73">
        <w:t xml:space="preserve"> Web. Simply enter your valuation date and ticker symbols in Excel to run a guideline public company method. Your Excel model populates instantly with the financial statements, analyst estimates, interest rates and economic data for your valuation date. </w:t>
      </w:r>
    </w:p>
    <w:p w14:paraId="70ABEE83" w14:textId="4BA88891" w:rsidR="004C20AB" w:rsidRPr="00B76A73" w:rsidRDefault="004C20AB" w:rsidP="00230D29"/>
    <w:p w14:paraId="249DCE3B" w14:textId="77777777" w:rsidR="004C20AB" w:rsidRPr="00B76A73" w:rsidRDefault="004C20AB" w:rsidP="004C20AB"/>
    <w:p w14:paraId="44A583AB" w14:textId="48F01EF7" w:rsidR="004C20AB" w:rsidRPr="00B76A73" w:rsidRDefault="004C20AB" w:rsidP="004C20AB">
      <w:r w:rsidRPr="00B76A73">
        <w:rPr>
          <w:b/>
          <w:bCs/>
          <w:noProof/>
        </w:rPr>
        <w:drawing>
          <wp:anchor distT="0" distB="0" distL="114300" distR="114300" simplePos="0" relativeHeight="251660800" behindDoc="0" locked="0" layoutInCell="1" allowOverlap="1" wp14:anchorId="6657EAAE" wp14:editId="5C451360">
            <wp:simplePos x="0" y="0"/>
            <wp:positionH relativeFrom="column">
              <wp:posOffset>3524250</wp:posOffset>
            </wp:positionH>
            <wp:positionV relativeFrom="paragraph">
              <wp:posOffset>-478790</wp:posOffset>
            </wp:positionV>
            <wp:extent cx="2152650" cy="1614170"/>
            <wp:effectExtent l="0" t="0" r="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7DFF" w:rsidRPr="00B76A73">
        <w:rPr>
          <w:b/>
          <w:bCs/>
        </w:rPr>
        <w:t xml:space="preserve">Better </w:t>
      </w:r>
      <w:r w:rsidRPr="00B76A73">
        <w:rPr>
          <w:b/>
          <w:bCs/>
        </w:rPr>
        <w:t>Transaction Comps</w:t>
      </w:r>
      <w:r w:rsidRPr="00B76A73">
        <w:br/>
        <w:t xml:space="preserve">Search for public and private M&amp;A transactions with </w:t>
      </w:r>
      <w:proofErr w:type="spellStart"/>
      <w:r w:rsidRPr="00B76A73">
        <w:t>TagniFi</w:t>
      </w:r>
      <w:proofErr w:type="spellEnd"/>
      <w:r w:rsidRPr="00B76A73">
        <w:t xml:space="preserve"> Web. Run your transaction comps within seconds by pasting the Deal ID into your Excel model. Every deal disclosed in an SEC filing (8-K, 10-K, or 10-Q) is available for your analysis. Choose from over 90 fields of data available for every deal. </w:t>
      </w:r>
    </w:p>
    <w:p w14:paraId="67E200C4" w14:textId="310AA887" w:rsidR="003B0B22" w:rsidRPr="00B76A73" w:rsidRDefault="003B0B22" w:rsidP="004C20AB">
      <w:pPr>
        <w:rPr>
          <w:b/>
          <w:bCs/>
        </w:rPr>
      </w:pPr>
      <w:r w:rsidRPr="00B76A73">
        <w:rPr>
          <w:b/>
          <w:bCs/>
          <w:noProof/>
        </w:rPr>
        <w:drawing>
          <wp:anchor distT="0" distB="0" distL="114300" distR="114300" simplePos="0" relativeHeight="251661824" behindDoc="0" locked="0" layoutInCell="1" allowOverlap="1" wp14:anchorId="7A9B5416" wp14:editId="00F0202F">
            <wp:simplePos x="0" y="0"/>
            <wp:positionH relativeFrom="margin">
              <wp:align>left</wp:align>
            </wp:positionH>
            <wp:positionV relativeFrom="paragraph">
              <wp:posOffset>274320</wp:posOffset>
            </wp:positionV>
            <wp:extent cx="2256790" cy="1559560"/>
            <wp:effectExtent l="0" t="0" r="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77"/>
                    <a:stretch/>
                  </pic:blipFill>
                  <pic:spPr bwMode="auto">
                    <a:xfrm>
                      <a:off x="0" y="0"/>
                      <a:ext cx="225679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5C467F" w14:textId="170F5616" w:rsidR="004C20AB" w:rsidRPr="00B76A73" w:rsidRDefault="004C20AB" w:rsidP="004C20AB">
      <w:r w:rsidRPr="00B76A73">
        <w:rPr>
          <w:b/>
          <w:bCs/>
        </w:rPr>
        <w:t>Historical Beta and Volatility</w:t>
      </w:r>
      <w:r w:rsidRPr="00B76A73">
        <w:rPr>
          <w:b/>
          <w:bCs/>
        </w:rPr>
        <w:br/>
      </w:r>
      <w:r w:rsidRPr="00B76A73">
        <w:t xml:space="preserve">Calculate historical beta and volatility as of your valuation date automatically. Simply enter the tickers and valuation date in Excel </w:t>
      </w:r>
      <w:r w:rsidR="003B0B22" w:rsidRPr="00B76A73">
        <w:t>-</w:t>
      </w:r>
      <w:r w:rsidRPr="00B76A73">
        <w:t xml:space="preserve"> </w:t>
      </w:r>
      <w:proofErr w:type="spellStart"/>
      <w:r w:rsidRPr="00B76A73">
        <w:t>TagniFi</w:t>
      </w:r>
      <w:proofErr w:type="spellEnd"/>
      <w:r w:rsidRPr="00B76A73">
        <w:t xml:space="preserve"> does the rest.</w:t>
      </w:r>
      <w:r w:rsidR="003B0B22" w:rsidRPr="00B76A73">
        <w:t xml:space="preserve"> In addition to beta and volatility, there are over 40 Excel models available in the Model Library to help with your valuation report. </w:t>
      </w:r>
    </w:p>
    <w:p w14:paraId="42664782" w14:textId="50B2EA67" w:rsidR="003B0B22" w:rsidRPr="00B76A73" w:rsidRDefault="003B0B22" w:rsidP="004C20AB"/>
    <w:p w14:paraId="4808FD9A" w14:textId="7CD3F2CA" w:rsidR="003B0B22" w:rsidRPr="00B76A73" w:rsidRDefault="003B0B22" w:rsidP="004C20AB">
      <w:r w:rsidRPr="00B76A73"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7F6FB4BC" wp14:editId="1BE8E9C3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219325" cy="1664494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76A73">
        <w:rPr>
          <w:b/>
          <w:bCs/>
        </w:rPr>
        <w:t>Interest Rates and Economic Dat</w:t>
      </w:r>
      <w:r w:rsidR="00BC7E45" w:rsidRPr="00B76A73">
        <w:rPr>
          <w:b/>
          <w:bCs/>
        </w:rPr>
        <w:t>a</w:t>
      </w:r>
      <w:r w:rsidRPr="00B76A73">
        <w:rPr>
          <w:b/>
          <w:bCs/>
        </w:rPr>
        <w:br/>
      </w:r>
      <w:r w:rsidRPr="00B76A73">
        <w:t xml:space="preserve">Automate the interest rates and economic data in your valuation report using the </w:t>
      </w:r>
      <w:proofErr w:type="spellStart"/>
      <w:r w:rsidRPr="00B76A73">
        <w:t>TagniFi</w:t>
      </w:r>
      <w:proofErr w:type="spellEnd"/>
      <w:r w:rsidRPr="00B76A73">
        <w:t xml:space="preserve"> Excel plugin. Choose from over 200,000 time series available. All data in this </w:t>
      </w:r>
      <w:r w:rsidRPr="00B76A73">
        <w:rPr>
          <w:i/>
          <w:iCs/>
        </w:rPr>
        <w:t>Quarterly Economic Update</w:t>
      </w:r>
      <w:r w:rsidRPr="00B76A73">
        <w:t xml:space="preserve"> </w:t>
      </w:r>
      <w:r w:rsidR="002C5E52" w:rsidRPr="00B76A73">
        <w:t>is</w:t>
      </w:r>
      <w:r w:rsidRPr="00B76A73">
        <w:t xml:space="preserve"> from the </w:t>
      </w:r>
      <w:proofErr w:type="spellStart"/>
      <w:r w:rsidRPr="00B76A73">
        <w:t>TagniFi</w:t>
      </w:r>
      <w:proofErr w:type="spellEnd"/>
      <w:r w:rsidRPr="00B76A73">
        <w:t xml:space="preserve"> platform.</w:t>
      </w:r>
      <w:r w:rsidR="002C5E52" w:rsidRPr="00B76A73">
        <w:t xml:space="preserve"> Use economic and interest rate dat</w:t>
      </w:r>
      <w:r w:rsidR="006C08FA" w:rsidRPr="00B76A73">
        <w:t>a</w:t>
      </w:r>
      <w:r w:rsidR="002C5E52" w:rsidRPr="00B76A73">
        <w:t xml:space="preserve"> for your own valuation models with the </w:t>
      </w:r>
      <w:proofErr w:type="spellStart"/>
      <w:r w:rsidR="002C5E52" w:rsidRPr="00B76A73">
        <w:t>TagniFi</w:t>
      </w:r>
      <w:proofErr w:type="spellEnd"/>
      <w:r w:rsidR="002C5E52" w:rsidRPr="00B76A73">
        <w:t xml:space="preserve"> Excel plugin.</w:t>
      </w:r>
    </w:p>
    <w:p w14:paraId="76A748D9" w14:textId="6DA146B3" w:rsidR="002D4C10" w:rsidRPr="00B76A73" w:rsidRDefault="002D4C10" w:rsidP="002D4C10">
      <w:pPr>
        <w:rPr>
          <w:b/>
          <w:bCs/>
        </w:rPr>
      </w:pPr>
      <w:r w:rsidRPr="00B76A73">
        <w:rPr>
          <w:noProof/>
        </w:rPr>
        <w:drawing>
          <wp:anchor distT="0" distB="0" distL="114300" distR="114300" simplePos="0" relativeHeight="251663872" behindDoc="0" locked="0" layoutInCell="1" allowOverlap="1" wp14:anchorId="14BEAF36" wp14:editId="2559BE73">
            <wp:simplePos x="0" y="0"/>
            <wp:positionH relativeFrom="margin">
              <wp:posOffset>-635</wp:posOffset>
            </wp:positionH>
            <wp:positionV relativeFrom="paragraph">
              <wp:posOffset>296545</wp:posOffset>
            </wp:positionV>
            <wp:extent cx="2380615" cy="1819275"/>
            <wp:effectExtent l="0" t="0" r="635" b="952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1" t="15145" r="49039" b="54028"/>
                    <a:stretch/>
                  </pic:blipFill>
                  <pic:spPr bwMode="auto">
                    <a:xfrm>
                      <a:off x="0" y="0"/>
                      <a:ext cx="238061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DB224E1" w14:textId="64D6F5F8" w:rsidR="002D4C10" w:rsidRDefault="002D4C10" w:rsidP="002D4C10">
      <w:r w:rsidRPr="00B76A73">
        <w:rPr>
          <w:b/>
          <w:bCs/>
        </w:rPr>
        <w:br/>
        <w:t>Closed-End Mutual Fund Data</w:t>
      </w:r>
      <w:r w:rsidRPr="00B76A73">
        <w:rPr>
          <w:b/>
          <w:bCs/>
        </w:rPr>
        <w:br/>
      </w:r>
      <w:r w:rsidRPr="00B76A73">
        <w:t xml:space="preserve">Search for closed-end mutual funds by keyword, category, subcategory, and more with the </w:t>
      </w:r>
      <w:proofErr w:type="spellStart"/>
      <w:r w:rsidRPr="00B76A73">
        <w:t>TagniFi</w:t>
      </w:r>
      <w:proofErr w:type="spellEnd"/>
      <w:r w:rsidRPr="00B76A73">
        <w:t xml:space="preserve"> Console. Use the </w:t>
      </w:r>
      <w:proofErr w:type="spellStart"/>
      <w:r w:rsidRPr="00B76A73">
        <w:t>TagniFi</w:t>
      </w:r>
      <w:proofErr w:type="spellEnd"/>
      <w:r w:rsidRPr="00B76A73">
        <w:t xml:space="preserve"> Excel plugin to calculate historical discounts, yields, leverage, as of your valuation date automatically. Simply enter the tickers and valuation date in Excel - </w:t>
      </w:r>
      <w:proofErr w:type="spellStart"/>
      <w:r w:rsidRPr="00B76A73">
        <w:t>TagniFi</w:t>
      </w:r>
      <w:proofErr w:type="spellEnd"/>
      <w:r w:rsidRPr="00B76A73">
        <w:t xml:space="preserve"> does the rest.</w:t>
      </w:r>
      <w:r>
        <w:t xml:space="preserve"> </w:t>
      </w:r>
    </w:p>
    <w:p w14:paraId="26171B27" w14:textId="77777777" w:rsidR="002D4C10" w:rsidRPr="004C20AB" w:rsidRDefault="002D4C10" w:rsidP="004C20AB">
      <w:pPr>
        <w:rPr>
          <w:b/>
          <w:bCs/>
        </w:rPr>
      </w:pPr>
    </w:p>
    <w:sectPr w:rsidR="002D4C10" w:rsidRPr="004C20AB" w:rsidSect="00005111">
      <w:headerReference w:type="default" r:id="rId44"/>
      <w:footerReference w:type="default" r:id="rId45"/>
      <w:footerReference w:type="first" r:id="rId46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5914B" w14:textId="77777777" w:rsidR="00635EAA" w:rsidRDefault="00635EAA" w:rsidP="00171C8E">
      <w:pPr>
        <w:spacing w:after="0" w:line="240" w:lineRule="auto"/>
      </w:pPr>
      <w:r>
        <w:separator/>
      </w:r>
    </w:p>
  </w:endnote>
  <w:endnote w:type="continuationSeparator" w:id="0">
    <w:p w14:paraId="5295F03E" w14:textId="77777777" w:rsidR="00635EAA" w:rsidRDefault="00635EAA" w:rsidP="00171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D5FE8" w14:textId="51E2EC1E" w:rsidR="00B36811" w:rsidRDefault="00B36811">
    <w:pPr>
      <w:pStyle w:val="Footer"/>
    </w:pPr>
    <w:r>
      <w:t>© 202</w:t>
    </w:r>
    <w:r w:rsidR="00A74430">
      <w:t>3</w:t>
    </w:r>
    <w:r>
      <w:t xml:space="preserve"> </w:t>
    </w:r>
    <w:proofErr w:type="spellStart"/>
    <w:r>
      <w:t>TagniFi</w:t>
    </w:r>
    <w:proofErr w:type="spellEnd"/>
    <w:r>
      <w:t>, LLC. All rights reserved.</w:t>
    </w:r>
    <w:r>
      <w:tab/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20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CAF58" w14:textId="5EAC5F17" w:rsidR="00B36811" w:rsidRDefault="00B36811">
    <w:pPr>
      <w:pStyle w:val="Footer"/>
    </w:pPr>
    <w:r>
      <w:t>TagniFi.com</w:t>
    </w:r>
    <w:r>
      <w:tab/>
    </w:r>
    <w:r>
      <w:tab/>
      <w:t>800-TagniFi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512B3D" w14:textId="77777777" w:rsidR="00635EAA" w:rsidRDefault="00635EAA" w:rsidP="00171C8E">
      <w:pPr>
        <w:spacing w:after="0" w:line="240" w:lineRule="auto"/>
      </w:pPr>
      <w:r>
        <w:separator/>
      </w:r>
    </w:p>
  </w:footnote>
  <w:footnote w:type="continuationSeparator" w:id="0">
    <w:p w14:paraId="4579753E" w14:textId="77777777" w:rsidR="00635EAA" w:rsidRDefault="00635EAA" w:rsidP="00171C8E">
      <w:pPr>
        <w:spacing w:after="0" w:line="240" w:lineRule="auto"/>
      </w:pPr>
      <w:r>
        <w:continuationSeparator/>
      </w:r>
    </w:p>
  </w:footnote>
  <w:footnote w:id="1">
    <w:p w14:paraId="0A2FA1C7" w14:textId="4424D46A" w:rsidR="00B36811" w:rsidRDefault="00B36811" w:rsidP="00EC7CB1">
      <w:pPr>
        <w:pStyle w:val="FootnoteText"/>
      </w:pPr>
      <w:r w:rsidRPr="000763E1">
        <w:rPr>
          <w:rStyle w:val="FootnoteReference"/>
          <w:sz w:val="16"/>
          <w:szCs w:val="16"/>
        </w:rPr>
        <w:footnoteRef/>
      </w:r>
      <w:r w:rsidRPr="000763E1">
        <w:rPr>
          <w:sz w:val="16"/>
          <w:szCs w:val="16"/>
        </w:rPr>
        <w:t xml:space="preserve"> </w:t>
      </w:r>
      <w:r w:rsidRPr="006B1EB1">
        <w:rPr>
          <w:rFonts w:cstheme="minorHAnsi"/>
          <w:color w:val="222222"/>
          <w:sz w:val="16"/>
          <w:szCs w:val="16"/>
          <w:shd w:val="clear" w:color="auto" w:fill="FFFFFF"/>
        </w:rPr>
        <w:t>Federal Reserve Bank of Philadelphia, Coincident Economic Activity Index for the United States [USPHCI],</w:t>
      </w:r>
      <w:r w:rsidRPr="00DA39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 </w:t>
      </w:r>
      <w:hyperlink r:id="rId1" w:history="1">
        <w:r w:rsidRPr="001B4FCC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https://fred.stlouisfed.org/series/USPHCI</w:t>
        </w:r>
      </w:hyperlink>
      <w:r w:rsidRPr="00DA39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056DC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6, 2023</w:t>
      </w:r>
      <w:r w:rsidRPr="00DA39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2">
    <w:p w14:paraId="04EBBD96" w14:textId="0C14B1F2" w:rsidR="00B36811" w:rsidRPr="000322F4" w:rsidRDefault="00B36811">
      <w:pPr>
        <w:pStyle w:val="FootnoteText"/>
        <w:rPr>
          <w:sz w:val="16"/>
          <w:szCs w:val="16"/>
          <w:lang w:val="en-PH"/>
        </w:rPr>
      </w:pPr>
      <w:r w:rsidRPr="000322F4">
        <w:rPr>
          <w:rStyle w:val="FootnoteReference"/>
          <w:sz w:val="16"/>
          <w:szCs w:val="16"/>
        </w:rPr>
        <w:footnoteRef/>
      </w:r>
      <w:r w:rsidRPr="000322F4">
        <w:rPr>
          <w:sz w:val="16"/>
          <w:szCs w:val="16"/>
        </w:rPr>
        <w:t xml:space="preserve"> </w:t>
      </w:r>
      <w:r w:rsidRPr="006B1EB1">
        <w:rPr>
          <w:rFonts w:cstheme="minorHAnsi"/>
          <w:color w:val="222222"/>
          <w:sz w:val="16"/>
          <w:szCs w:val="16"/>
          <w:shd w:val="clear" w:color="auto" w:fill="FFFFFF"/>
        </w:rPr>
        <w:t>Board of Governors of the Federal Reserve System (US), Trade Weighted U.S. Dollar Index: Broad, Goods and Services [DTWEXBGS],</w:t>
      </w:r>
      <w:r w:rsidRPr="00DA39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 </w:t>
      </w:r>
      <w:hyperlink r:id="rId2" w:history="1">
        <w:r w:rsidRPr="00DA3959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https://fred.stlouisfed.org/series/DTWEXBGS</w:t>
        </w:r>
      </w:hyperlink>
      <w:r w:rsidRPr="00DA39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6D705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6, 2023</w:t>
      </w:r>
      <w:r w:rsidRPr="00DA395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">
    <w:p w14:paraId="517776FA" w14:textId="1C88E328" w:rsidR="00B36811" w:rsidRPr="000763E1" w:rsidRDefault="00B36811" w:rsidP="000763E1">
      <w:pPr>
        <w:pStyle w:val="FootnoteText"/>
        <w:rPr>
          <w:rFonts w:cstheme="minorHAnsi"/>
          <w:sz w:val="16"/>
          <w:szCs w:val="16"/>
          <w:lang w:val="en-PH"/>
        </w:rPr>
      </w:pPr>
      <w:r w:rsidRPr="000763E1">
        <w:rPr>
          <w:rStyle w:val="FootnoteReference"/>
          <w:sz w:val="16"/>
          <w:szCs w:val="16"/>
        </w:rPr>
        <w:footnoteRef/>
      </w:r>
      <w:r w:rsidRPr="000763E1">
        <w:rPr>
          <w:sz w:val="16"/>
          <w:szCs w:val="16"/>
        </w:rPr>
        <w:t xml:space="preserve"> </w:t>
      </w:r>
      <w:r w:rsidRPr="000763E1">
        <w:rPr>
          <w:rFonts w:cstheme="minorHAnsi"/>
          <w:sz w:val="16"/>
          <w:szCs w:val="16"/>
          <w:lang w:val="en-PH"/>
        </w:rPr>
        <w:t>U.S. Bureau of Economic Analysis, Real Gross Domestic Product [GDPC1],</w:t>
      </w:r>
      <w:r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3" w:history="1">
        <w:r w:rsidRPr="000763E1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https://fred.stlouisfed.org/series/GDPC1</w:t>
        </w:r>
      </w:hyperlink>
      <w:r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6D705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6</w:t>
      </w:r>
      <w:r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</w:t>
      </w:r>
      <w:r w:rsidR="00C36C6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3</w:t>
      </w:r>
      <w:r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4">
    <w:p w14:paraId="1BE0CB36" w14:textId="06B9BA35" w:rsidR="00C060D2" w:rsidRPr="000763E1" w:rsidRDefault="00C060D2" w:rsidP="00C060D2">
      <w:pPr>
        <w:pStyle w:val="FootnoteText"/>
        <w:rPr>
          <w:rFonts w:cstheme="minorHAnsi"/>
          <w:i/>
          <w:iCs/>
          <w:sz w:val="16"/>
          <w:szCs w:val="16"/>
        </w:rPr>
      </w:pPr>
      <w:r w:rsidRPr="000763E1">
        <w:rPr>
          <w:rStyle w:val="FootnoteReference"/>
          <w:rFonts w:cstheme="minorHAnsi"/>
          <w:sz w:val="16"/>
          <w:szCs w:val="16"/>
        </w:rPr>
        <w:footnoteRef/>
      </w:r>
      <w:r w:rsidRPr="000763E1">
        <w:rPr>
          <w:rFonts w:cstheme="minorHAnsi"/>
          <w:sz w:val="16"/>
          <w:szCs w:val="16"/>
        </w:rPr>
        <w:t xml:space="preserve"> U.S. Bureau of Economic Analysis, Contributions to percent change in real gross domestic product: Personal consumption expenditures [DPCERY2Q224SBEA], </w:t>
      </w:r>
      <w:r w:rsidRPr="000763E1">
        <w:rPr>
          <w:rFonts w:cstheme="minorHAnsi"/>
          <w:i/>
          <w:iCs/>
          <w:sz w:val="16"/>
          <w:szCs w:val="16"/>
        </w:rPr>
        <w:t xml:space="preserve">retrieved from FRED, Federal Reserve Bank of St. Louis; </w:t>
      </w:r>
      <w:hyperlink r:id="rId4" w:history="1">
        <w:r w:rsidRPr="000763E1">
          <w:rPr>
            <w:rStyle w:val="Hyperlink"/>
            <w:rFonts w:cstheme="minorHAnsi"/>
            <w:i/>
            <w:iCs/>
            <w:sz w:val="16"/>
            <w:szCs w:val="16"/>
          </w:rPr>
          <w:t>https://fred.stlouisfed.org/series/DPCERY2Q224SBEA</w:t>
        </w:r>
      </w:hyperlink>
      <w:r w:rsidRPr="000763E1">
        <w:rPr>
          <w:rFonts w:cstheme="minorHAnsi"/>
          <w:i/>
          <w:iCs/>
          <w:sz w:val="16"/>
          <w:szCs w:val="16"/>
        </w:rPr>
        <w:t xml:space="preserve">, </w:t>
      </w:r>
      <w:r w:rsidR="00E260D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6</w:t>
      </w:r>
      <w:r w:rsidR="00C36C62"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</w:t>
      </w:r>
      <w:r w:rsidR="00C36C6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3</w:t>
      </w:r>
      <w:r w:rsidRPr="000763E1">
        <w:rPr>
          <w:rFonts w:cstheme="minorHAnsi"/>
          <w:i/>
          <w:iCs/>
          <w:sz w:val="16"/>
          <w:szCs w:val="16"/>
        </w:rPr>
        <w:t>.</w:t>
      </w:r>
    </w:p>
  </w:footnote>
  <w:footnote w:id="5">
    <w:p w14:paraId="2B74C68A" w14:textId="6CEC7B50" w:rsidR="00C060D2" w:rsidRPr="000763E1" w:rsidRDefault="00C060D2" w:rsidP="00C060D2">
      <w:pPr>
        <w:pStyle w:val="FootnoteText"/>
        <w:rPr>
          <w:rFonts w:cstheme="minorHAnsi"/>
          <w:sz w:val="16"/>
          <w:szCs w:val="16"/>
        </w:rPr>
      </w:pPr>
      <w:r w:rsidRPr="000763E1">
        <w:rPr>
          <w:rStyle w:val="FootnoteReference"/>
          <w:rFonts w:cstheme="minorHAnsi"/>
          <w:sz w:val="16"/>
          <w:szCs w:val="16"/>
        </w:rPr>
        <w:footnoteRef/>
      </w:r>
      <w:r w:rsidRPr="000763E1">
        <w:rPr>
          <w:rFonts w:cstheme="minorHAnsi"/>
          <w:sz w:val="16"/>
          <w:szCs w:val="16"/>
        </w:rPr>
        <w:t xml:space="preserve"> U.S. Bureau of Economic Analysis, Contributions to percent change in real gross domestic product: Government consumption expenditures and gross investment [A822RY2Q224SBEA], </w:t>
      </w:r>
      <w:r w:rsidRPr="000763E1">
        <w:rPr>
          <w:rFonts w:cstheme="minorHAnsi"/>
          <w:i/>
          <w:iCs/>
          <w:sz w:val="16"/>
          <w:szCs w:val="16"/>
        </w:rPr>
        <w:t xml:space="preserve">retrieved from FRED, Federal Reserve Bank of St. Louis; </w:t>
      </w:r>
      <w:hyperlink r:id="rId5" w:history="1">
        <w:r w:rsidRPr="000763E1">
          <w:rPr>
            <w:rStyle w:val="Hyperlink"/>
            <w:rFonts w:cstheme="minorHAnsi"/>
            <w:i/>
            <w:iCs/>
            <w:sz w:val="16"/>
            <w:szCs w:val="16"/>
          </w:rPr>
          <w:t>https://fred.stlouisfed.org/series/A822RY2Q224SBEA</w:t>
        </w:r>
      </w:hyperlink>
      <w:r w:rsidRPr="000763E1">
        <w:rPr>
          <w:rFonts w:cstheme="minorHAnsi"/>
          <w:i/>
          <w:iCs/>
          <w:sz w:val="16"/>
          <w:szCs w:val="16"/>
        </w:rPr>
        <w:t xml:space="preserve">, </w:t>
      </w:r>
      <w:r w:rsidR="00AF1F9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6,</w:t>
      </w:r>
      <w:r w:rsidR="00C36C62"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202</w:t>
      </w:r>
      <w:r w:rsidR="00C36C6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3</w:t>
      </w:r>
      <w:r w:rsidRPr="000763E1">
        <w:rPr>
          <w:rFonts w:cstheme="minorHAnsi"/>
          <w:i/>
          <w:iCs/>
          <w:sz w:val="16"/>
          <w:szCs w:val="16"/>
        </w:rPr>
        <w:t>.</w:t>
      </w:r>
    </w:p>
  </w:footnote>
  <w:footnote w:id="6">
    <w:p w14:paraId="15C9993D" w14:textId="3B85F0C6" w:rsidR="00DD2ED8" w:rsidRPr="000763E1" w:rsidRDefault="00DD2ED8" w:rsidP="000763E1">
      <w:pPr>
        <w:pStyle w:val="FootnoteText"/>
        <w:rPr>
          <w:rFonts w:cstheme="minorHAnsi"/>
          <w:i/>
          <w:iCs/>
          <w:sz w:val="16"/>
          <w:szCs w:val="16"/>
        </w:rPr>
      </w:pPr>
      <w:r w:rsidRPr="000763E1">
        <w:rPr>
          <w:rStyle w:val="FootnoteReference"/>
          <w:rFonts w:cstheme="minorHAnsi"/>
          <w:sz w:val="16"/>
          <w:szCs w:val="16"/>
        </w:rPr>
        <w:footnoteRef/>
      </w:r>
      <w:r w:rsidR="000763E1" w:rsidRPr="000763E1">
        <w:rPr>
          <w:rFonts w:cstheme="minorHAnsi"/>
          <w:color w:val="222222"/>
          <w:sz w:val="16"/>
          <w:szCs w:val="16"/>
          <w:shd w:val="clear" w:color="auto" w:fill="FFFFFF"/>
        </w:rPr>
        <w:t xml:space="preserve"> </w:t>
      </w:r>
      <w:r w:rsidRPr="000763E1">
        <w:rPr>
          <w:rFonts w:cstheme="minorHAnsi"/>
          <w:sz w:val="16"/>
          <w:szCs w:val="16"/>
        </w:rPr>
        <w:t xml:space="preserve">U.S. </w:t>
      </w:r>
      <w:r w:rsidRPr="000763E1">
        <w:rPr>
          <w:rFonts w:cstheme="minorHAnsi"/>
          <w:sz w:val="16"/>
          <w:szCs w:val="16"/>
          <w:lang w:val="en-PH"/>
        </w:rPr>
        <w:t>Bureau o</w:t>
      </w:r>
      <w:r w:rsidRPr="000763E1">
        <w:rPr>
          <w:rFonts w:cstheme="minorHAnsi"/>
          <w:sz w:val="16"/>
          <w:szCs w:val="16"/>
        </w:rPr>
        <w:t xml:space="preserve">f Economic Analysis, Contributions to percent change in real gross domestic product: Net exports of goods and services [A019RY2Q224SBEA], </w:t>
      </w:r>
      <w:r w:rsidRPr="000763E1">
        <w:rPr>
          <w:rFonts w:cstheme="minorHAnsi"/>
          <w:i/>
          <w:iCs/>
          <w:sz w:val="16"/>
          <w:szCs w:val="16"/>
        </w:rPr>
        <w:t>retrieved from FRED, Federal Reserve Bank of St. Louis;</w:t>
      </w:r>
      <w:r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  <w:lang w:val="en-PH"/>
        </w:rPr>
        <w:t xml:space="preserve"> </w:t>
      </w:r>
      <w:hyperlink r:id="rId6" w:history="1">
        <w:r w:rsidRPr="000763E1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  <w:lang w:val="en-PH"/>
          </w:rPr>
          <w:t>https://fred.stlouisfed.org/series/A019RY2Q224SBEA</w:t>
        </w:r>
      </w:hyperlink>
      <w:r w:rsidRPr="000763E1">
        <w:rPr>
          <w:rFonts w:cstheme="minorHAnsi"/>
          <w:i/>
          <w:iCs/>
          <w:sz w:val="16"/>
          <w:szCs w:val="16"/>
        </w:rPr>
        <w:t xml:space="preserve">, </w:t>
      </w:r>
      <w:r w:rsidR="00ED43D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6</w:t>
      </w:r>
      <w:r w:rsidR="00C36C62"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</w:t>
      </w:r>
      <w:r w:rsidR="00C36C6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3</w:t>
      </w:r>
      <w:r w:rsidRPr="000763E1">
        <w:rPr>
          <w:rFonts w:cstheme="minorHAnsi"/>
          <w:i/>
          <w:iCs/>
          <w:sz w:val="16"/>
          <w:szCs w:val="16"/>
        </w:rPr>
        <w:t>.</w:t>
      </w:r>
    </w:p>
  </w:footnote>
  <w:footnote w:id="7">
    <w:p w14:paraId="7433E68C" w14:textId="1CE0E30E" w:rsidR="00DD2ED8" w:rsidRPr="000763E1" w:rsidRDefault="00DD2ED8" w:rsidP="000763E1">
      <w:pPr>
        <w:pStyle w:val="FootnoteText"/>
        <w:rPr>
          <w:rFonts w:cstheme="minorHAnsi"/>
          <w:i/>
          <w:iCs/>
          <w:sz w:val="16"/>
          <w:szCs w:val="16"/>
        </w:rPr>
      </w:pPr>
      <w:r w:rsidRPr="000763E1">
        <w:rPr>
          <w:rStyle w:val="FootnoteReference"/>
          <w:rFonts w:cstheme="minorHAnsi"/>
          <w:sz w:val="16"/>
          <w:szCs w:val="16"/>
        </w:rPr>
        <w:footnoteRef/>
      </w:r>
      <w:r w:rsidR="000763E1" w:rsidRPr="000763E1">
        <w:rPr>
          <w:rFonts w:cstheme="minorHAnsi"/>
          <w:sz w:val="16"/>
          <w:szCs w:val="16"/>
        </w:rPr>
        <w:t xml:space="preserve"> </w:t>
      </w:r>
      <w:r w:rsidRPr="000763E1">
        <w:rPr>
          <w:rFonts w:cstheme="minorHAnsi"/>
          <w:sz w:val="16"/>
          <w:szCs w:val="16"/>
        </w:rPr>
        <w:t xml:space="preserve">U.S. Bureau of Economic Analysis, Contributions to percent change in real gross domestic product: Gross private domestic investment [A006RY2Q224SBEA], </w:t>
      </w:r>
      <w:r w:rsidRPr="000763E1">
        <w:rPr>
          <w:rFonts w:cstheme="minorHAnsi"/>
          <w:i/>
          <w:iCs/>
          <w:sz w:val="16"/>
          <w:szCs w:val="16"/>
        </w:rPr>
        <w:t xml:space="preserve">retrieved from FRED, Federal Reserve Bank of St. Louis; </w:t>
      </w:r>
      <w:hyperlink r:id="rId7" w:history="1">
        <w:r w:rsidRPr="000763E1">
          <w:rPr>
            <w:rStyle w:val="Hyperlink"/>
            <w:rFonts w:cstheme="minorHAnsi"/>
            <w:i/>
            <w:iCs/>
            <w:sz w:val="16"/>
            <w:szCs w:val="16"/>
          </w:rPr>
          <w:t>https://fred.stlouisfed.org/series/A006RY2Q224SBEA</w:t>
        </w:r>
      </w:hyperlink>
      <w:r w:rsidRPr="000763E1">
        <w:rPr>
          <w:rFonts w:cstheme="minorHAnsi"/>
          <w:i/>
          <w:iCs/>
          <w:sz w:val="16"/>
          <w:szCs w:val="16"/>
        </w:rPr>
        <w:t xml:space="preserve">, </w:t>
      </w:r>
      <w:r w:rsidR="00ED43D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6</w:t>
      </w:r>
      <w:r w:rsidR="00C36C62"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</w:t>
      </w:r>
      <w:r w:rsidR="00C36C6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3</w:t>
      </w:r>
      <w:r w:rsidRPr="000763E1">
        <w:rPr>
          <w:rFonts w:cstheme="minorHAnsi"/>
          <w:i/>
          <w:iCs/>
          <w:sz w:val="16"/>
          <w:szCs w:val="16"/>
        </w:rPr>
        <w:t>.</w:t>
      </w:r>
    </w:p>
  </w:footnote>
  <w:footnote w:id="8">
    <w:p w14:paraId="0F596133" w14:textId="50A9B70C" w:rsidR="00100F15" w:rsidRDefault="00100F15" w:rsidP="00100F1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00F15">
        <w:rPr>
          <w:sz w:val="16"/>
          <w:szCs w:val="16"/>
        </w:rPr>
        <w:t xml:space="preserve">Federal Reserve Bank of Philadelphia, The Livingston Survey </w:t>
      </w:r>
      <w:r>
        <w:rPr>
          <w:sz w:val="16"/>
          <w:szCs w:val="16"/>
        </w:rPr>
        <w:t>December</w:t>
      </w:r>
      <w:r w:rsidRPr="00100F15">
        <w:rPr>
          <w:sz w:val="16"/>
          <w:szCs w:val="16"/>
        </w:rPr>
        <w:t xml:space="preserve"> 2022, [economic release], retrieved from </w:t>
      </w:r>
      <w:hyperlink r:id="rId8" w:history="1">
        <w:r>
          <w:rPr>
            <w:rStyle w:val="Hyperlink"/>
            <w:sz w:val="16"/>
            <w:szCs w:val="16"/>
          </w:rPr>
          <w:t>https://www.philadelphiafed.org/-/media/frbp/assets/surveys-and-data/livingston-survey/2022/livdec22.pdf</w:t>
        </w:r>
      </w:hyperlink>
      <w:r w:rsidRPr="00100F15">
        <w:rPr>
          <w:sz w:val="16"/>
          <w:szCs w:val="16"/>
        </w:rPr>
        <w:t xml:space="preserve">, </w:t>
      </w:r>
      <w:r>
        <w:rPr>
          <w:sz w:val="16"/>
          <w:szCs w:val="16"/>
        </w:rPr>
        <w:t>May 6</w:t>
      </w:r>
      <w:r w:rsidRPr="00100F15">
        <w:rPr>
          <w:sz w:val="16"/>
          <w:szCs w:val="16"/>
        </w:rPr>
        <w:t>, 2023.</w:t>
      </w:r>
    </w:p>
  </w:footnote>
  <w:footnote w:id="9">
    <w:p w14:paraId="7FABCB6E" w14:textId="08596606" w:rsidR="00B36811" w:rsidRPr="006A114D" w:rsidRDefault="00B36811" w:rsidP="00D03164">
      <w:pPr>
        <w:pStyle w:val="FootnoteText"/>
        <w:rPr>
          <w:lang w:val="en-PH"/>
        </w:rPr>
      </w:pPr>
      <w:r w:rsidRPr="000763E1">
        <w:rPr>
          <w:rStyle w:val="FootnoteReference"/>
          <w:sz w:val="16"/>
          <w:szCs w:val="16"/>
        </w:rPr>
        <w:footnoteRef/>
      </w:r>
      <w:r w:rsidRPr="000763E1">
        <w:rPr>
          <w:sz w:val="16"/>
          <w:szCs w:val="16"/>
        </w:rPr>
        <w:t xml:space="preserve"> </w:t>
      </w:r>
      <w:r w:rsidRPr="000763E1">
        <w:rPr>
          <w:sz w:val="16"/>
          <w:szCs w:val="16"/>
          <w:lang w:val="en-PH"/>
        </w:rPr>
        <w:t>Board of</w:t>
      </w:r>
      <w:r w:rsidRPr="00BF5CE2">
        <w:rPr>
          <w:sz w:val="16"/>
          <w:szCs w:val="16"/>
          <w:lang w:val="en-PH"/>
        </w:rPr>
        <w:t xml:space="preserve"> Governors of the Federal Reserve System (US), Industrial Production Index [INDPRO],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9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https://fred.stlouisfed.org/series/INDPRO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491F40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6</w:t>
      </w:r>
      <w:r w:rsidR="00C36C62"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</w:t>
      </w:r>
      <w:r w:rsidR="00C36C6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10">
    <w:p w14:paraId="036626D0" w14:textId="7D7AF969" w:rsidR="00B36811" w:rsidRPr="000763E1" w:rsidRDefault="00B36811" w:rsidP="007A05AD">
      <w:pPr>
        <w:pStyle w:val="FootnoteText"/>
        <w:rPr>
          <w:sz w:val="16"/>
          <w:szCs w:val="16"/>
        </w:rPr>
      </w:pPr>
      <w:r w:rsidRPr="000763E1">
        <w:rPr>
          <w:rStyle w:val="FootnoteReference"/>
          <w:sz w:val="16"/>
          <w:szCs w:val="16"/>
        </w:rPr>
        <w:footnoteRef/>
      </w:r>
      <w:r w:rsidRPr="000763E1">
        <w:rPr>
          <w:sz w:val="16"/>
          <w:szCs w:val="16"/>
          <w:lang w:val="en-PH"/>
        </w:rPr>
        <w:t xml:space="preserve"> Board of Governors of the Federal Reserve System (US), Capacity Utilization, Manufacturing (NAICS), </w:t>
      </w:r>
      <w:r w:rsidRPr="000763E1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10" w:history="1">
        <w:r w:rsidRPr="000763E1">
          <w:rPr>
            <w:rStyle w:val="Hyperlink"/>
            <w:i/>
            <w:iCs/>
            <w:sz w:val="16"/>
            <w:szCs w:val="16"/>
            <w:lang w:val="en-PH"/>
          </w:rPr>
          <w:t>https://fred.stlouisfed.org/series/MCUMFN</w:t>
        </w:r>
      </w:hyperlink>
      <w:r w:rsidRPr="000763E1">
        <w:rPr>
          <w:i/>
          <w:iCs/>
          <w:sz w:val="16"/>
          <w:szCs w:val="16"/>
          <w:lang w:val="en-PH"/>
        </w:rPr>
        <w:t xml:space="preserve">, </w:t>
      </w:r>
      <w:r w:rsidR="006A3F6C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6</w:t>
      </w:r>
      <w:r w:rsidR="00C36C62" w:rsidRPr="000763E1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</w:t>
      </w:r>
      <w:r w:rsidR="00C36C6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3</w:t>
      </w:r>
      <w:r w:rsidR="006B1EB1" w:rsidRPr="000763E1">
        <w:rPr>
          <w:i/>
          <w:iCs/>
          <w:sz w:val="16"/>
          <w:szCs w:val="16"/>
          <w:lang w:val="en-PH"/>
        </w:rPr>
        <w:t>.</w:t>
      </w:r>
    </w:p>
  </w:footnote>
  <w:footnote w:id="11">
    <w:p w14:paraId="5D03BFAC" w14:textId="624A5D6B" w:rsidR="00B36811" w:rsidRPr="000763E1" w:rsidRDefault="00B36811" w:rsidP="00952E0A">
      <w:pPr>
        <w:pStyle w:val="FootnoteText"/>
        <w:rPr>
          <w:rFonts w:ascii="Times New Roman" w:eastAsia="Times New Roman" w:hAnsi="Times New Roman" w:cs="Times New Roman"/>
          <w:sz w:val="16"/>
          <w:szCs w:val="16"/>
        </w:rPr>
      </w:pPr>
      <w:r w:rsidRPr="000763E1">
        <w:rPr>
          <w:rStyle w:val="FootnoteReference"/>
          <w:sz w:val="16"/>
          <w:szCs w:val="16"/>
        </w:rPr>
        <w:footnoteRef/>
      </w:r>
      <w:r w:rsidRPr="000763E1">
        <w:rPr>
          <w:sz w:val="16"/>
          <w:szCs w:val="16"/>
        </w:rPr>
        <w:t xml:space="preserve"> </w:t>
      </w:r>
      <w:r w:rsidRPr="000763E1">
        <w:rPr>
          <w:sz w:val="16"/>
          <w:szCs w:val="16"/>
          <w:lang w:val="en-PH"/>
        </w:rPr>
        <w:t xml:space="preserve">Board of Governors of the Federal Reserve System (US), Federal Funds Effective Rate [FEDFUNDS], </w:t>
      </w:r>
      <w:r w:rsidRPr="000763E1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11" w:history="1">
        <w:r w:rsidRPr="000763E1">
          <w:rPr>
            <w:rStyle w:val="Hyperlink"/>
            <w:i/>
            <w:iCs/>
            <w:sz w:val="16"/>
            <w:szCs w:val="16"/>
            <w:lang w:val="en-PH"/>
          </w:rPr>
          <w:t>https://fred.stlouisfed.org/series/FEDFUNDS</w:t>
        </w:r>
      </w:hyperlink>
      <w:r w:rsidRPr="000763E1">
        <w:rPr>
          <w:i/>
          <w:iCs/>
          <w:sz w:val="16"/>
          <w:szCs w:val="16"/>
          <w:lang w:val="en-PH"/>
        </w:rPr>
        <w:t xml:space="preserve">, </w:t>
      </w:r>
      <w:r w:rsidR="004C17A1">
        <w:rPr>
          <w:i/>
          <w:iCs/>
          <w:sz w:val="16"/>
          <w:szCs w:val="16"/>
          <w:lang w:val="en-PH"/>
        </w:rPr>
        <w:t>May 6</w:t>
      </w:r>
      <w:r w:rsidR="00E93558">
        <w:rPr>
          <w:i/>
          <w:iCs/>
          <w:sz w:val="16"/>
          <w:szCs w:val="16"/>
          <w:lang w:val="en-PH"/>
        </w:rPr>
        <w:t>, 2023</w:t>
      </w:r>
      <w:r w:rsidRPr="000763E1">
        <w:rPr>
          <w:i/>
          <w:iCs/>
          <w:sz w:val="16"/>
          <w:szCs w:val="16"/>
          <w:lang w:val="en-PH"/>
        </w:rPr>
        <w:t>.</w:t>
      </w:r>
    </w:p>
  </w:footnote>
  <w:footnote w:id="12">
    <w:p w14:paraId="2BE1B367" w14:textId="7833FAE4" w:rsidR="00B36811" w:rsidRDefault="00B36811">
      <w:pPr>
        <w:pStyle w:val="FootnoteText"/>
      </w:pPr>
      <w:r w:rsidRPr="000763E1">
        <w:rPr>
          <w:rStyle w:val="FootnoteReference"/>
          <w:sz w:val="16"/>
          <w:szCs w:val="16"/>
        </w:rPr>
        <w:footnoteRef/>
      </w:r>
      <w:r w:rsidRPr="000763E1">
        <w:rPr>
          <w:sz w:val="16"/>
          <w:szCs w:val="16"/>
        </w:rPr>
        <w:t xml:space="preserve"> </w:t>
      </w:r>
      <w:r w:rsidRPr="000763E1">
        <w:rPr>
          <w:sz w:val="16"/>
          <w:szCs w:val="16"/>
          <w:lang w:val="en-PH"/>
        </w:rPr>
        <w:t>Selected Interest Rates Instruments, Yields in percent per annum,</w:t>
      </w:r>
      <w:r w:rsidRPr="000763E1">
        <w:rPr>
          <w:i/>
          <w:iCs/>
          <w:sz w:val="16"/>
          <w:szCs w:val="16"/>
          <w:lang w:val="en-PH"/>
        </w:rPr>
        <w:t xml:space="preserve"> retrieved from FRED, Federal Reserve Bank of St. Louis; </w:t>
      </w:r>
      <w:hyperlink r:id="rId12" w:history="1">
        <w:r w:rsidR="004C17A1">
          <w:rPr>
            <w:rStyle w:val="Hyperlink"/>
          </w:rPr>
          <w:t>https://fred.stlouisfed.org/release/tables?rid=18&amp;eid=289&amp;od=2023-03-31</w:t>
        </w:r>
      </w:hyperlink>
      <w:r w:rsidRPr="00B65667">
        <w:rPr>
          <w:i/>
          <w:iCs/>
          <w:sz w:val="16"/>
          <w:szCs w:val="16"/>
          <w:lang w:val="en-PH"/>
        </w:rPr>
        <w:t xml:space="preserve">, </w:t>
      </w:r>
      <w:r w:rsidR="004C17A1">
        <w:rPr>
          <w:i/>
          <w:iCs/>
          <w:sz w:val="16"/>
          <w:szCs w:val="16"/>
          <w:lang w:val="en-PH"/>
        </w:rPr>
        <w:t>May 6, 2023</w:t>
      </w:r>
      <w:r w:rsidRPr="00B65667">
        <w:rPr>
          <w:i/>
          <w:iCs/>
          <w:sz w:val="16"/>
          <w:szCs w:val="16"/>
          <w:lang w:val="en-PH"/>
        </w:rPr>
        <w:t>.</w:t>
      </w:r>
    </w:p>
  </w:footnote>
  <w:footnote w:id="13">
    <w:p w14:paraId="5D342EB9" w14:textId="5D5441F5" w:rsidR="003A4C56" w:rsidRPr="00BF5CE2" w:rsidRDefault="003A4C56" w:rsidP="003A4C56">
      <w:pPr>
        <w:pStyle w:val="FootnoteText"/>
        <w:rPr>
          <w:sz w:val="16"/>
          <w:szCs w:val="16"/>
          <w:lang w:val="en-PH"/>
        </w:rPr>
      </w:pPr>
      <w:r w:rsidRPr="003A4C56">
        <w:rPr>
          <w:rStyle w:val="FootnoteReference"/>
        </w:rPr>
        <w:footnoteRef/>
      </w:r>
      <w:r w:rsidRPr="003A4C56">
        <w:t xml:space="preserve"> </w:t>
      </w:r>
      <w:r w:rsidRPr="005E1BD2">
        <w:rPr>
          <w:sz w:val="16"/>
          <w:szCs w:val="16"/>
          <w:lang w:val="en-PH"/>
        </w:rPr>
        <w:t xml:space="preserve">Board of Governors of the Federal Reserve System (US), Federal Funds Target Range - Upper Limit [DFEDTARU], </w:t>
      </w:r>
      <w:r w:rsidRPr="005E1BD2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13" w:history="1">
        <w:r w:rsidRPr="005E1BD2">
          <w:rPr>
            <w:rStyle w:val="Hyperlink"/>
            <w:i/>
            <w:iCs/>
            <w:sz w:val="16"/>
            <w:szCs w:val="16"/>
            <w:lang w:val="en-PH"/>
          </w:rPr>
          <w:t>https://fred.stlouisfed.org/series/DFEDTARU</w:t>
        </w:r>
      </w:hyperlink>
      <w:r w:rsidRPr="005E1BD2">
        <w:rPr>
          <w:i/>
          <w:iCs/>
          <w:sz w:val="16"/>
          <w:szCs w:val="16"/>
          <w:lang w:val="en-PH"/>
        </w:rPr>
        <w:t xml:space="preserve">, </w:t>
      </w:r>
      <w:r w:rsidR="006A3F6C">
        <w:rPr>
          <w:i/>
          <w:iCs/>
          <w:sz w:val="16"/>
          <w:szCs w:val="16"/>
          <w:lang w:val="en-PH"/>
        </w:rPr>
        <w:t>May 6, 2023</w:t>
      </w:r>
      <w:r w:rsidRPr="005E1BD2">
        <w:rPr>
          <w:sz w:val="16"/>
          <w:szCs w:val="16"/>
          <w:lang w:val="en-PH"/>
        </w:rPr>
        <w:t>.</w:t>
      </w:r>
    </w:p>
  </w:footnote>
  <w:footnote w:id="14">
    <w:p w14:paraId="5D92A033" w14:textId="5A62E22D" w:rsidR="00B36811" w:rsidRPr="004759DB" w:rsidRDefault="00B36811">
      <w:pPr>
        <w:pStyle w:val="FootnoteText"/>
        <w:rPr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Board of Governors of the Federal Reserve System (US), 10-Year Treasury Constant Maturity Rate [DGS10],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14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https://fred.stlouisfed.org/series/DGS10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28240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6</w:t>
      </w:r>
      <w:r w:rsidR="009D6A5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15">
    <w:p w14:paraId="29E4EDD1" w14:textId="187EA2C1" w:rsidR="00B36811" w:rsidRPr="00BF5CE2" w:rsidRDefault="00B36811">
      <w:pPr>
        <w:pStyle w:val="FootnoteText"/>
        <w:rPr>
          <w:sz w:val="16"/>
          <w:szCs w:val="16"/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="00263EBD" w:rsidRPr="00263EBD">
        <w:rPr>
          <w:sz w:val="16"/>
          <w:szCs w:val="16"/>
          <w:lang w:val="en-PH"/>
        </w:rPr>
        <w:t xml:space="preserve">Moody’s, Moody's Seasoned Baa Corporate Bond Yield [DBAA], </w:t>
      </w:r>
      <w:r w:rsidR="00263EBD" w:rsidRPr="00263EBD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15" w:history="1">
        <w:r w:rsidR="00263EBD" w:rsidRPr="00263EBD">
          <w:rPr>
            <w:rStyle w:val="Hyperlink"/>
            <w:i/>
            <w:iCs/>
            <w:sz w:val="16"/>
            <w:szCs w:val="16"/>
            <w:lang w:val="en-PH"/>
          </w:rPr>
          <w:t>https://fred.stlouisfed.org/series/DBAA</w:t>
        </w:r>
      </w:hyperlink>
      <w:r w:rsidR="00263EBD" w:rsidRPr="00263EBD">
        <w:rPr>
          <w:i/>
          <w:iCs/>
          <w:sz w:val="16"/>
          <w:szCs w:val="16"/>
          <w:lang w:val="en-PH"/>
        </w:rPr>
        <w:t xml:space="preserve">, </w:t>
      </w:r>
      <w:r w:rsidR="00F7477C">
        <w:rPr>
          <w:i/>
          <w:iCs/>
          <w:sz w:val="16"/>
          <w:szCs w:val="16"/>
          <w:lang w:val="en-PH"/>
        </w:rPr>
        <w:t>May 6</w:t>
      </w:r>
      <w:r w:rsidR="00E75EC5">
        <w:rPr>
          <w:i/>
          <w:iCs/>
          <w:sz w:val="16"/>
          <w:szCs w:val="16"/>
          <w:lang w:val="en-PH"/>
        </w:rPr>
        <w:t>, 2023</w:t>
      </w:r>
      <w:r w:rsidR="00263EBD" w:rsidRPr="00263EBD">
        <w:rPr>
          <w:i/>
          <w:iCs/>
          <w:sz w:val="16"/>
          <w:szCs w:val="16"/>
          <w:lang w:val="en-PH"/>
        </w:rPr>
        <w:t>.</w:t>
      </w:r>
    </w:p>
  </w:footnote>
  <w:footnote w:id="16">
    <w:p w14:paraId="6012CE06" w14:textId="76207292" w:rsidR="00B36811" w:rsidRPr="00263EBD" w:rsidRDefault="00B36811">
      <w:pPr>
        <w:pStyle w:val="FootnoteText"/>
        <w:rPr>
          <w:i/>
          <w:iCs/>
        </w:rPr>
      </w:pPr>
      <w:r w:rsidRPr="009D42AA">
        <w:rPr>
          <w:rStyle w:val="FootnoteReference"/>
          <w:sz w:val="16"/>
          <w:szCs w:val="16"/>
        </w:rPr>
        <w:footnoteRef/>
      </w:r>
      <w:r w:rsidRPr="009D42AA">
        <w:rPr>
          <w:rStyle w:val="FootnoteReference"/>
          <w:sz w:val="16"/>
          <w:szCs w:val="16"/>
        </w:rPr>
        <w:t xml:space="preserve"> </w:t>
      </w:r>
      <w:r w:rsidR="00263EBD" w:rsidRPr="00263EBD">
        <w:rPr>
          <w:sz w:val="16"/>
          <w:szCs w:val="16"/>
          <w:lang w:val="en-PH"/>
        </w:rPr>
        <w:t xml:space="preserve">Moody’s, Moody's Seasoned </w:t>
      </w:r>
      <w:proofErr w:type="spellStart"/>
      <w:r w:rsidR="00263EBD" w:rsidRPr="00263EBD">
        <w:rPr>
          <w:sz w:val="16"/>
          <w:szCs w:val="16"/>
          <w:lang w:val="en-PH"/>
        </w:rPr>
        <w:t>Aaa</w:t>
      </w:r>
      <w:proofErr w:type="spellEnd"/>
      <w:r w:rsidR="00263EBD" w:rsidRPr="00263EBD">
        <w:rPr>
          <w:sz w:val="16"/>
          <w:szCs w:val="16"/>
          <w:lang w:val="en-PH"/>
        </w:rPr>
        <w:t xml:space="preserve"> Corporate Bond Yield [DAAA], </w:t>
      </w:r>
      <w:r w:rsidR="00263EBD" w:rsidRPr="00263EBD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16" w:history="1">
        <w:r w:rsidR="00263EBD" w:rsidRPr="00263EBD">
          <w:rPr>
            <w:rStyle w:val="Hyperlink"/>
            <w:i/>
            <w:iCs/>
            <w:sz w:val="16"/>
            <w:szCs w:val="16"/>
            <w:lang w:val="en-PH"/>
          </w:rPr>
          <w:t>https://fred.stlouisfed.org/series/DAAA</w:t>
        </w:r>
      </w:hyperlink>
      <w:r w:rsidR="00263EBD" w:rsidRPr="00263EBD">
        <w:rPr>
          <w:i/>
          <w:iCs/>
          <w:sz w:val="16"/>
          <w:szCs w:val="16"/>
          <w:lang w:val="en-PH"/>
        </w:rPr>
        <w:t xml:space="preserve">, </w:t>
      </w:r>
      <w:r w:rsidR="00F7477C">
        <w:rPr>
          <w:i/>
          <w:iCs/>
          <w:sz w:val="16"/>
          <w:szCs w:val="16"/>
          <w:lang w:val="en-PH"/>
        </w:rPr>
        <w:t>May 6</w:t>
      </w:r>
      <w:r w:rsidR="00E75EC5">
        <w:rPr>
          <w:i/>
          <w:iCs/>
          <w:sz w:val="16"/>
          <w:szCs w:val="16"/>
          <w:lang w:val="en-PH"/>
        </w:rPr>
        <w:t>, 2023</w:t>
      </w:r>
      <w:r w:rsidR="00263EBD" w:rsidRPr="00263EBD">
        <w:rPr>
          <w:i/>
          <w:iCs/>
          <w:sz w:val="16"/>
          <w:szCs w:val="16"/>
          <w:lang w:val="en-PH"/>
        </w:rPr>
        <w:t>.</w:t>
      </w:r>
    </w:p>
  </w:footnote>
  <w:footnote w:id="17">
    <w:p w14:paraId="66B25A11" w14:textId="3DFE1958" w:rsidR="00B36811" w:rsidRDefault="00B368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F5CE2">
        <w:rPr>
          <w:sz w:val="16"/>
          <w:szCs w:val="16"/>
          <w:lang w:val="en-PH"/>
        </w:rPr>
        <w:t>U.S. Bureau of Labor Statistics, Civilian Unemployment Rate [UNRATE],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17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https://fred.stlouisfed.org/series/UNRATE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77416E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6</w:t>
      </w:r>
      <w:r w:rsidR="001B4D2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18">
    <w:p w14:paraId="72ADA4A0" w14:textId="64DE35CE" w:rsidR="007B4191" w:rsidRPr="007B4191" w:rsidRDefault="007B4191">
      <w:pPr>
        <w:pStyle w:val="FootnoteText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7B4191">
        <w:rPr>
          <w:sz w:val="16"/>
          <w:szCs w:val="16"/>
        </w:rPr>
        <w:t xml:space="preserve">U.S. Bureau of Labor Statistics, Civilian Labor Force Level [CLF16OV], </w:t>
      </w:r>
      <w:r w:rsidRPr="007B4191">
        <w:rPr>
          <w:i/>
          <w:iCs/>
          <w:sz w:val="16"/>
          <w:szCs w:val="16"/>
        </w:rPr>
        <w:t xml:space="preserve">retrieved from FRED, Federal Reserve Bank of St. Louis; </w:t>
      </w:r>
      <w:hyperlink r:id="rId18" w:history="1">
        <w:r w:rsidRPr="007B4191">
          <w:rPr>
            <w:rStyle w:val="Hyperlink"/>
            <w:i/>
            <w:iCs/>
            <w:sz w:val="16"/>
            <w:szCs w:val="16"/>
          </w:rPr>
          <w:t>https://fred.stlouisfed.org/series/CLF16OV</w:t>
        </w:r>
      </w:hyperlink>
      <w:r w:rsidRPr="007B4191">
        <w:rPr>
          <w:i/>
          <w:iCs/>
          <w:sz w:val="16"/>
          <w:szCs w:val="16"/>
        </w:rPr>
        <w:t xml:space="preserve">, </w:t>
      </w:r>
      <w:r w:rsidR="0077416E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6</w:t>
      </w:r>
      <w:r w:rsidR="001B4D2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7B4191">
        <w:rPr>
          <w:i/>
          <w:iCs/>
          <w:sz w:val="16"/>
          <w:szCs w:val="16"/>
        </w:rPr>
        <w:t>.</w:t>
      </w:r>
    </w:p>
  </w:footnote>
  <w:footnote w:id="19">
    <w:p w14:paraId="0E3463A9" w14:textId="5EC0FA6D" w:rsidR="006859BA" w:rsidRPr="006859BA" w:rsidRDefault="006859BA" w:rsidP="006859BA">
      <w:pPr>
        <w:pStyle w:val="FootnoteText"/>
        <w:ind w:left="270" w:hanging="270"/>
        <w:rPr>
          <w:i/>
          <w:iCs/>
        </w:rPr>
      </w:pPr>
      <w:r>
        <w:rPr>
          <w:rStyle w:val="FootnoteReference"/>
        </w:rPr>
        <w:footnoteRef/>
      </w:r>
      <w:r>
        <w:t xml:space="preserve"> </w:t>
      </w:r>
      <w:r>
        <w:tab/>
      </w:r>
      <w:r w:rsidRPr="006859BA">
        <w:rPr>
          <w:sz w:val="16"/>
          <w:szCs w:val="16"/>
        </w:rPr>
        <w:t xml:space="preserve">U.S. Bureau of Labor Statistics, Labor Force Participation Rate [CIVPART], </w:t>
      </w:r>
      <w:r w:rsidRPr="006859BA">
        <w:rPr>
          <w:i/>
          <w:iCs/>
          <w:sz w:val="16"/>
          <w:szCs w:val="16"/>
        </w:rPr>
        <w:t xml:space="preserve">retrieved from FRED, Federal Reserve Bank of St. Louis; </w:t>
      </w:r>
      <w:hyperlink r:id="rId19" w:history="1">
        <w:r w:rsidRPr="006859BA">
          <w:rPr>
            <w:rStyle w:val="Hyperlink"/>
            <w:i/>
            <w:iCs/>
            <w:sz w:val="16"/>
            <w:szCs w:val="16"/>
          </w:rPr>
          <w:t>https://fred.stlouisfed.org/series/CIVPART</w:t>
        </w:r>
      </w:hyperlink>
      <w:r w:rsidRPr="006859BA">
        <w:rPr>
          <w:i/>
          <w:iCs/>
          <w:sz w:val="16"/>
          <w:szCs w:val="16"/>
        </w:rPr>
        <w:t xml:space="preserve">, </w:t>
      </w:r>
      <w:r w:rsidR="0077416E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6</w:t>
      </w:r>
      <w:r w:rsidR="001B4D2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6859BA">
        <w:rPr>
          <w:i/>
          <w:iCs/>
          <w:sz w:val="16"/>
          <w:szCs w:val="16"/>
        </w:rPr>
        <w:t>.</w:t>
      </w:r>
    </w:p>
  </w:footnote>
  <w:footnote w:id="20">
    <w:p w14:paraId="6C60FCE5" w14:textId="06E65E8B" w:rsidR="00D029B3" w:rsidRPr="00D029B3" w:rsidRDefault="00D029B3">
      <w:pPr>
        <w:pStyle w:val="FootnoteText"/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D029B3">
        <w:rPr>
          <w:sz w:val="16"/>
          <w:szCs w:val="16"/>
        </w:rPr>
        <w:t xml:space="preserve">U.S. Bureau of Labor Statistics, </w:t>
      </w:r>
      <w:proofErr w:type="gramStart"/>
      <w:r w:rsidRPr="00D029B3">
        <w:rPr>
          <w:sz w:val="16"/>
          <w:szCs w:val="16"/>
        </w:rPr>
        <w:t>Quits</w:t>
      </w:r>
      <w:proofErr w:type="gramEnd"/>
      <w:r w:rsidRPr="00D029B3">
        <w:rPr>
          <w:sz w:val="16"/>
          <w:szCs w:val="16"/>
        </w:rPr>
        <w:t xml:space="preserve">: Total Nonfarm [JTSQUL], </w:t>
      </w:r>
      <w:r w:rsidRPr="00D029B3">
        <w:rPr>
          <w:i/>
          <w:iCs/>
          <w:sz w:val="16"/>
          <w:szCs w:val="16"/>
        </w:rPr>
        <w:t xml:space="preserve">retrieved from FRED, Federal Reserve Bank of St. Louis; </w:t>
      </w:r>
      <w:hyperlink r:id="rId20" w:history="1">
        <w:r w:rsidRPr="00D029B3">
          <w:rPr>
            <w:rStyle w:val="Hyperlink"/>
            <w:i/>
            <w:iCs/>
            <w:sz w:val="16"/>
            <w:szCs w:val="16"/>
          </w:rPr>
          <w:t>https://fred.stlouisfed.org/series/JTSQUL</w:t>
        </w:r>
      </w:hyperlink>
      <w:r w:rsidRPr="00D029B3">
        <w:rPr>
          <w:i/>
          <w:iCs/>
          <w:sz w:val="16"/>
          <w:szCs w:val="16"/>
        </w:rPr>
        <w:t xml:space="preserve">, </w:t>
      </w:r>
      <w:r w:rsidR="00757148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6</w:t>
      </w:r>
      <w:r w:rsidR="00A74430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="00A74430" w:rsidRPr="006859BA">
        <w:rPr>
          <w:i/>
          <w:iCs/>
          <w:sz w:val="16"/>
          <w:szCs w:val="16"/>
        </w:rPr>
        <w:t>.</w:t>
      </w:r>
    </w:p>
  </w:footnote>
  <w:footnote w:id="21">
    <w:p w14:paraId="646109C7" w14:textId="7C0F7E0D" w:rsidR="007A4A4B" w:rsidRDefault="007A4A4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A4A4B">
        <w:rPr>
          <w:sz w:val="16"/>
          <w:szCs w:val="16"/>
        </w:rPr>
        <w:t xml:space="preserve">U.S. Bureau of Labor Statistics, Job Openings: Total Nonfarm [JTSJOL], </w:t>
      </w:r>
      <w:r w:rsidRPr="007A4A4B">
        <w:rPr>
          <w:i/>
          <w:iCs/>
          <w:sz w:val="16"/>
          <w:szCs w:val="16"/>
        </w:rPr>
        <w:t xml:space="preserve">retrieved from FRED, Federal Reserve Bank of St. Louis; </w:t>
      </w:r>
      <w:hyperlink r:id="rId21" w:history="1">
        <w:r w:rsidRPr="00CD6686">
          <w:rPr>
            <w:rStyle w:val="Hyperlink"/>
            <w:i/>
            <w:iCs/>
            <w:sz w:val="16"/>
            <w:szCs w:val="16"/>
          </w:rPr>
          <w:t>https://fred.stlouisfed.org/series/JTSJOL</w:t>
        </w:r>
      </w:hyperlink>
      <w:r w:rsidRPr="007A4A4B">
        <w:rPr>
          <w:i/>
          <w:iCs/>
          <w:sz w:val="16"/>
          <w:szCs w:val="16"/>
        </w:rPr>
        <w:t xml:space="preserve">, </w:t>
      </w:r>
      <w:r w:rsidR="00757148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6</w:t>
      </w:r>
      <w:r w:rsidR="001C2553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>
        <w:rPr>
          <w:i/>
          <w:iCs/>
          <w:sz w:val="16"/>
          <w:szCs w:val="16"/>
        </w:rPr>
        <w:t>.</w:t>
      </w:r>
    </w:p>
  </w:footnote>
  <w:footnote w:id="22">
    <w:p w14:paraId="181B2D4A" w14:textId="163F1459" w:rsidR="00B36811" w:rsidRDefault="00B368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F5CE2">
        <w:rPr>
          <w:sz w:val="16"/>
          <w:szCs w:val="16"/>
          <w:lang w:val="en-PH"/>
        </w:rPr>
        <w:t>U.S. Bureau of Labor Statistics</w:t>
      </w:r>
      <w:r w:rsidRPr="009D7CB0">
        <w:t xml:space="preserve"> </w:t>
      </w:r>
      <w:r w:rsidRPr="009D7CB0">
        <w:rPr>
          <w:sz w:val="16"/>
          <w:szCs w:val="16"/>
          <w:lang w:val="en-PH"/>
        </w:rPr>
        <w:t xml:space="preserve">Total Unemployed, Plus All Persons Marginally Attached to the Labor Force, Plus Total Employed Part Time for Economic Reasons, as a Percent of the Civilian Labor Force Plus All Persons Marginally Attached to the Labor Force (U-6) </w:t>
      </w:r>
      <w:r>
        <w:rPr>
          <w:sz w:val="16"/>
          <w:szCs w:val="16"/>
          <w:lang w:val="en-PH"/>
        </w:rPr>
        <w:t>[</w:t>
      </w:r>
      <w:r w:rsidRPr="009D7CB0">
        <w:rPr>
          <w:sz w:val="16"/>
          <w:szCs w:val="16"/>
          <w:lang w:val="en-PH"/>
        </w:rPr>
        <w:t>U6RATE</w:t>
      </w:r>
      <w:r>
        <w:rPr>
          <w:sz w:val="16"/>
          <w:szCs w:val="16"/>
          <w:lang w:val="en-PH"/>
        </w:rPr>
        <w:t>]</w:t>
      </w:r>
      <w:r w:rsidRPr="00BF5CE2">
        <w:rPr>
          <w:sz w:val="16"/>
          <w:szCs w:val="16"/>
          <w:lang w:val="en-PH"/>
        </w:rPr>
        <w:t>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22" w:history="1">
        <w:r w:rsidRPr="00D541A5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https://fred.stlouisfed.org/series/U6RATE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F86BB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6</w:t>
      </w:r>
      <w:r w:rsidR="001C2553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23">
    <w:p w14:paraId="041DBB1A" w14:textId="2230B053" w:rsidR="00B36811" w:rsidRDefault="00B368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F5CE2">
        <w:rPr>
          <w:sz w:val="16"/>
          <w:szCs w:val="16"/>
          <w:lang w:val="en-PH"/>
        </w:rPr>
        <w:t>U.S. Bureau of Labor Statistics, All Employees: Total Nonfarm Payrolls [PAYEMS],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Pr="002024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retrieved from FRED, Federal Reserve Bank of St. Louis; </w:t>
      </w:r>
      <w:hyperlink r:id="rId23" w:history="1">
        <w:r w:rsidRPr="002024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https://fred.stlouisfed.org/series/PAYEMS</w:t>
        </w:r>
      </w:hyperlink>
      <w:r w:rsidRPr="002024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F86BB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6</w:t>
      </w:r>
      <w:r w:rsidR="00FF3D1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2024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24">
    <w:p w14:paraId="7DB2BDE1" w14:textId="6C71D7E7" w:rsidR="00B36811" w:rsidRDefault="00B368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F5CE2">
        <w:rPr>
          <w:sz w:val="16"/>
          <w:szCs w:val="16"/>
          <w:lang w:val="en-PH"/>
        </w:rPr>
        <w:t>U.S. Bureau of Labor Statistics, Consumer Price Index for All Urban Consumers: All Items [CPIAUCSL],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24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https://fred.stlouisfed.org/series/CPIAUCSL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7C25F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6</w:t>
      </w:r>
      <w:r w:rsidR="00FF3D1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25">
    <w:p w14:paraId="739A6C3B" w14:textId="39BA9EF4" w:rsidR="00EF1F20" w:rsidRPr="00EF1F20" w:rsidRDefault="00EF1F20">
      <w:pPr>
        <w:pStyle w:val="FootnoteText"/>
        <w:rPr>
          <w:sz w:val="16"/>
          <w:szCs w:val="16"/>
          <w:lang w:val="en-PH"/>
        </w:rPr>
      </w:pPr>
      <w:r>
        <w:rPr>
          <w:rStyle w:val="FootnoteReference"/>
        </w:rPr>
        <w:footnoteRef/>
      </w:r>
      <w:r>
        <w:t xml:space="preserve"> </w:t>
      </w:r>
      <w:r w:rsidRPr="00EF1F20">
        <w:rPr>
          <w:sz w:val="16"/>
          <w:szCs w:val="16"/>
          <w:lang w:val="en-PH"/>
        </w:rPr>
        <w:t xml:space="preserve">U.S. Bureau of Labor Statistics, Consumer Price Index for All Urban Consumers: All Items Less Energy in U.S. City Average [CPILEGSL], </w:t>
      </w:r>
      <w:r w:rsidRPr="00EF1F20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25" w:history="1">
        <w:r w:rsidRPr="00EF1F20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https://fred.stlouisfed.org/series/CPILEGSL</w:t>
        </w:r>
      </w:hyperlink>
      <w:r w:rsidRPr="00EF1F20">
        <w:rPr>
          <w:i/>
          <w:iCs/>
          <w:sz w:val="16"/>
          <w:szCs w:val="16"/>
          <w:lang w:val="en-PH"/>
        </w:rPr>
        <w:t xml:space="preserve">, </w:t>
      </w:r>
      <w:r w:rsidR="007C25F4">
        <w:rPr>
          <w:i/>
          <w:iCs/>
          <w:sz w:val="16"/>
          <w:szCs w:val="16"/>
          <w:lang w:val="en-PH"/>
        </w:rPr>
        <w:t>May 6</w:t>
      </w:r>
      <w:r w:rsidR="00FF3D19">
        <w:rPr>
          <w:i/>
          <w:iCs/>
          <w:sz w:val="16"/>
          <w:szCs w:val="16"/>
          <w:lang w:val="en-PH"/>
        </w:rPr>
        <w:t>, 2023</w:t>
      </w:r>
      <w:r w:rsidRPr="00EF1F20">
        <w:rPr>
          <w:sz w:val="16"/>
          <w:szCs w:val="16"/>
          <w:lang w:val="en-PH"/>
        </w:rPr>
        <w:t>.</w:t>
      </w:r>
    </w:p>
  </w:footnote>
  <w:footnote w:id="26">
    <w:p w14:paraId="46D1616A" w14:textId="79B6D977" w:rsidR="00B36811" w:rsidRPr="003A2900" w:rsidRDefault="00B36811" w:rsidP="003A2900">
      <w:pPr>
        <w:pStyle w:val="FootnoteText"/>
        <w:rPr>
          <w:rFonts w:ascii="Times New Roman" w:eastAsia="Times New Roman" w:hAnsi="Times New Roman" w:cs="Times New Roman"/>
          <w:szCs w:val="24"/>
        </w:rPr>
      </w:pPr>
      <w:r w:rsidRPr="003A2900">
        <w:rPr>
          <w:vertAlign w:val="superscript"/>
          <w:lang w:val="en-PH"/>
        </w:rPr>
        <w:footnoteRef/>
      </w:r>
      <w:r w:rsidRPr="003A2900">
        <w:rPr>
          <w:vertAlign w:val="superscript"/>
          <w:lang w:val="en-PH"/>
        </w:rPr>
        <w:t xml:space="preserve"> </w:t>
      </w:r>
      <w:r w:rsidRPr="003A2900">
        <w:rPr>
          <w:sz w:val="16"/>
          <w:szCs w:val="16"/>
          <w:lang w:val="en-PH"/>
        </w:rPr>
        <w:t xml:space="preserve">U.S. Bureau of Labor Statistics, Average Price: Gasoline, Unleaded Regular (Cost per Gallon/3.785 Liters) in U.S. City Average [APU000074714], </w:t>
      </w:r>
      <w:r w:rsidRPr="003A2900">
        <w:rPr>
          <w:i/>
          <w:iCs/>
          <w:sz w:val="16"/>
          <w:szCs w:val="16"/>
          <w:lang w:val="en-PH"/>
        </w:rPr>
        <w:t xml:space="preserve">retrieved from FRED, Federal Reserve Bank of St. Louis; </w:t>
      </w:r>
      <w:hyperlink r:id="rId26" w:history="1">
        <w:r w:rsidRPr="006859BA">
          <w:rPr>
            <w:rStyle w:val="Hyperlink"/>
            <w:i/>
            <w:iCs/>
            <w:sz w:val="16"/>
            <w:szCs w:val="16"/>
            <w:lang w:val="en-PH"/>
          </w:rPr>
          <w:t>https://fred.stlouisfed.org/series/APU000074714</w:t>
        </w:r>
      </w:hyperlink>
      <w:r w:rsidRPr="006859BA">
        <w:rPr>
          <w:i/>
          <w:iCs/>
          <w:sz w:val="16"/>
          <w:szCs w:val="16"/>
          <w:lang w:val="en-PH"/>
        </w:rPr>
        <w:t xml:space="preserve">, </w:t>
      </w:r>
      <w:r w:rsidR="007C25F4">
        <w:rPr>
          <w:i/>
          <w:iCs/>
          <w:sz w:val="16"/>
          <w:szCs w:val="16"/>
          <w:lang w:val="en-PH"/>
        </w:rPr>
        <w:t>May 6</w:t>
      </w:r>
      <w:r w:rsidR="00FF3D19">
        <w:rPr>
          <w:i/>
          <w:iCs/>
          <w:sz w:val="16"/>
          <w:szCs w:val="16"/>
          <w:lang w:val="en-PH"/>
        </w:rPr>
        <w:t>, 2023</w:t>
      </w:r>
      <w:r w:rsidRPr="006859BA">
        <w:rPr>
          <w:i/>
          <w:iCs/>
          <w:sz w:val="16"/>
          <w:szCs w:val="16"/>
          <w:lang w:val="en-PH"/>
        </w:rPr>
        <w:t>.</w:t>
      </w:r>
    </w:p>
  </w:footnote>
  <w:footnote w:id="27">
    <w:p w14:paraId="0C7EB8BC" w14:textId="1B6C9621" w:rsidR="00B36811" w:rsidRDefault="00B368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F5CE2">
        <w:rPr>
          <w:sz w:val="16"/>
          <w:szCs w:val="16"/>
          <w:lang w:val="en-PH"/>
        </w:rPr>
        <w:t>U.S. Bureau of Labor Statistics, Producer Price Index for All Commodities [PPIACO],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27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https://fred.stlouisfed.org/series/PPIACO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AD19F0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6</w:t>
      </w:r>
      <w:r w:rsidR="004531B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28">
    <w:p w14:paraId="1E8CCC61" w14:textId="459D45A8" w:rsidR="00B36811" w:rsidRDefault="00B36811" w:rsidP="00661AA7">
      <w:pPr>
        <w:pStyle w:val="FootnoteText"/>
      </w:pPr>
      <w:r>
        <w:rPr>
          <w:rStyle w:val="FootnoteReference"/>
        </w:rPr>
        <w:footnoteRef/>
      </w:r>
      <w:r w:rsidRPr="009B52A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Federal Reserve Bank of St. Louis</w:t>
      </w:r>
      <w:r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Pr="009B52A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5-Year Breakeven Inflation Rate</w:t>
      </w:r>
      <w:r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[T5YIE</w:t>
      </w:r>
      <w:r w:rsidRPr="000322F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], retrieved from FRED, Federal Reserve Bank of St. Louis; </w:t>
      </w:r>
      <w:hyperlink r:id="rId28" w:history="1">
        <w:r w:rsidRPr="001B4FCC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https://fred.stlouisfed.org/series/T5YIE</w:t>
        </w:r>
      </w:hyperlink>
      <w:r w:rsidRPr="000322F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AD19F0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6</w:t>
      </w:r>
      <w:r w:rsidR="004531BD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0322F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29">
    <w:p w14:paraId="1C900108" w14:textId="4D58AEE9" w:rsidR="00B36811" w:rsidRPr="000322F4" w:rsidRDefault="00B36811" w:rsidP="0074137C">
      <w:pPr>
        <w:pStyle w:val="FootnoteText"/>
        <w:rPr>
          <w:rFonts w:cstheme="minorHAnsi"/>
          <w:sz w:val="16"/>
          <w:szCs w:val="16"/>
          <w:lang w:val="en-PH"/>
        </w:rPr>
      </w:pPr>
      <w:r w:rsidRPr="000322F4">
        <w:rPr>
          <w:rStyle w:val="FootnoteReference"/>
          <w:rFonts w:cstheme="minorHAnsi"/>
          <w:sz w:val="16"/>
          <w:szCs w:val="16"/>
        </w:rPr>
        <w:footnoteRef/>
      </w:r>
      <w:r w:rsidRPr="000322F4">
        <w:rPr>
          <w:rFonts w:cstheme="minorHAnsi"/>
          <w:sz w:val="16"/>
          <w:szCs w:val="16"/>
        </w:rPr>
        <w:t xml:space="preserve"> </w:t>
      </w:r>
      <w:r w:rsidR="00F72263" w:rsidRPr="00F72263">
        <w:rPr>
          <w:rFonts w:cstheme="minorHAnsi"/>
          <w:color w:val="222222"/>
          <w:sz w:val="16"/>
          <w:szCs w:val="16"/>
          <w:shd w:val="clear" w:color="auto" w:fill="FFFFFF"/>
        </w:rPr>
        <w:t>U.S. Energy Information Administration, Crude Oil Prices: West Texas Intermediate (WTI) - Cushing, Oklahoma [DCOILWTICO],</w:t>
      </w:r>
      <w:r w:rsidR="00F72263" w:rsidRPr="00F72263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 </w:t>
      </w:r>
      <w:hyperlink r:id="rId29" w:history="1">
        <w:r w:rsidR="00EC2B2F" w:rsidRPr="00E05DB5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https://fred.stlouisfed.org/series/DCOILWTICO</w:t>
        </w:r>
      </w:hyperlink>
      <w:r w:rsidR="00F72263" w:rsidRPr="00F72263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AD19F0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6</w:t>
      </w:r>
      <w:r w:rsidR="00A7744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0322F4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0">
    <w:p w14:paraId="11221A52" w14:textId="7397DB7D" w:rsidR="00B36811" w:rsidRPr="00BF5CE2" w:rsidRDefault="00B36811">
      <w:pPr>
        <w:pStyle w:val="FootnoteText"/>
        <w:rPr>
          <w:sz w:val="16"/>
          <w:szCs w:val="16"/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U.S. Bureau of the Census, Housing Starts: Total: New Privately Owned Housing Units Started [HOUST],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30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https://fred.stlouisfed.org/series/HOUST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BC3ABE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6</w:t>
      </w:r>
      <w:r w:rsidR="0066073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1">
    <w:p w14:paraId="6A794CBD" w14:textId="64ED3B61" w:rsidR="00B36811" w:rsidRPr="00250313" w:rsidRDefault="00B36811">
      <w:pPr>
        <w:pStyle w:val="FootnoteText"/>
        <w:rPr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Freddie Mac, 30-Year Fixed Rate Mortgage Average in the United States [MORTGAGE30US],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31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https://fred.stlouisfed.org/series/MORTGAGE30US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BC3ABE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6</w:t>
      </w:r>
      <w:r w:rsidR="00660739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2">
    <w:p w14:paraId="48E5411D" w14:textId="007F59E0" w:rsidR="00B36811" w:rsidRPr="00BF5CE2" w:rsidRDefault="00B36811">
      <w:pPr>
        <w:pStyle w:val="FootnoteText"/>
        <w:rPr>
          <w:sz w:val="16"/>
          <w:szCs w:val="16"/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S&amp;P Dow Jones Indices LLC, S&amp;P/Case-Shiller 20-City Composite Home Price Index [SPCS20RSA],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32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https://fred.stlouisfed.org/series/SPCS20RSA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4306FA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6</w:t>
      </w:r>
      <w:r w:rsidR="00DD46A0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3">
    <w:p w14:paraId="3C84FE4A" w14:textId="19E30B8D" w:rsidR="00B36811" w:rsidRPr="00BF5CE2" w:rsidRDefault="00B36811">
      <w:pPr>
        <w:pStyle w:val="FootnoteText"/>
        <w:rPr>
          <w:sz w:val="16"/>
          <w:szCs w:val="16"/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  <w:lang w:val="en-PH"/>
        </w:rPr>
        <w:t xml:space="preserve"> U.S. Bureau of Economic Analysis, Personal Consumption Expenditures [PCE],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33" w:history="1">
        <w:r w:rsidRPr="00BF5CE2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https://fred.stlouisfed.org/series/PCE</w:t>
        </w:r>
      </w:hyperlink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7679B8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6</w:t>
      </w:r>
      <w:r w:rsidR="00E82D66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4">
    <w:p w14:paraId="08E11874" w14:textId="765A9E89" w:rsidR="00B36811" w:rsidRPr="00933E80" w:rsidRDefault="00B36811">
      <w:pPr>
        <w:pStyle w:val="FootnoteText"/>
        <w:rPr>
          <w:lang w:val="en-PH"/>
        </w:rPr>
      </w:pPr>
      <w:r w:rsidRPr="00BF5CE2">
        <w:rPr>
          <w:rStyle w:val="FootnoteReference"/>
          <w:sz w:val="16"/>
          <w:szCs w:val="16"/>
        </w:rPr>
        <w:footnoteRef/>
      </w:r>
      <w:r w:rsidRPr="00BF5CE2">
        <w:rPr>
          <w:sz w:val="16"/>
          <w:szCs w:val="16"/>
        </w:rPr>
        <w:t xml:space="preserve"> </w:t>
      </w:r>
      <w:r w:rsidRPr="00BF5CE2">
        <w:rPr>
          <w:sz w:val="16"/>
          <w:szCs w:val="16"/>
          <w:lang w:val="en-PH"/>
        </w:rPr>
        <w:t>U.S. Bureau of Economic Analysis, Light Weight Vehicle Sales: Autos and Light Trucks [ALTSALES</w:t>
      </w:r>
      <w:bookmarkStart w:id="0" w:name="_Hlk79177981"/>
      <w:r w:rsidRPr="00BF5CE2">
        <w:rPr>
          <w:sz w:val="16"/>
          <w:szCs w:val="16"/>
          <w:lang w:val="en-PH"/>
        </w:rPr>
        <w:t>],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bookmarkEnd w:id="0"/>
      <w:r>
        <w:fldChar w:fldCharType="begin"/>
      </w:r>
      <w:r>
        <w:instrText xml:space="preserve"> HYPERLINK "https://fred.stlouisfed.org/series/ALTSALES" </w:instrText>
      </w:r>
      <w:r>
        <w:fldChar w:fldCharType="separate"/>
      </w:r>
      <w:r w:rsidRPr="00BF5CE2">
        <w:rPr>
          <w:rStyle w:val="Hyperlink"/>
          <w:rFonts w:cstheme="minorHAnsi"/>
          <w:i/>
          <w:iCs/>
          <w:sz w:val="16"/>
          <w:szCs w:val="16"/>
          <w:shd w:val="clear" w:color="auto" w:fill="FFFFFF"/>
        </w:rPr>
        <w:t>https://fred.stlouisfed.org/series/ALTSALES</w:t>
      </w:r>
      <w:r>
        <w:rPr>
          <w:rStyle w:val="Hyperlink"/>
          <w:rFonts w:cstheme="minorHAnsi"/>
          <w:i/>
          <w:iCs/>
          <w:sz w:val="16"/>
          <w:szCs w:val="16"/>
          <w:shd w:val="clear" w:color="auto" w:fill="FFFFFF"/>
        </w:rPr>
        <w:fldChar w:fldCharType="end"/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7679B8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6</w:t>
      </w:r>
      <w:r w:rsidR="00B745AA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5">
    <w:p w14:paraId="1FBBD940" w14:textId="20621DE9" w:rsidR="00B36811" w:rsidRPr="00D822BB" w:rsidRDefault="00B36811" w:rsidP="00B92952">
      <w:pPr>
        <w:pStyle w:val="FootnoteText"/>
        <w:rPr>
          <w:sz w:val="16"/>
          <w:szCs w:val="16"/>
          <w:lang w:val="en-PH"/>
        </w:rPr>
      </w:pPr>
      <w:r w:rsidRPr="00D822BB">
        <w:rPr>
          <w:rStyle w:val="FootnoteReference"/>
          <w:sz w:val="16"/>
          <w:szCs w:val="16"/>
        </w:rPr>
        <w:footnoteRef/>
      </w:r>
      <w:r w:rsidRPr="00D822BB">
        <w:rPr>
          <w:rStyle w:val="FootnoteReference"/>
          <w:sz w:val="16"/>
          <w:szCs w:val="16"/>
        </w:rPr>
        <w:t xml:space="preserve"> </w:t>
      </w:r>
      <w:r>
        <w:rPr>
          <w:rFonts w:ascii="Lucida Sans" w:eastAsia="Times New Roman" w:hAnsi="Lucida Sans" w:cs="Times New Roman"/>
          <w:color w:val="333333"/>
          <w:sz w:val="18"/>
          <w:szCs w:val="18"/>
          <w:shd w:val="clear" w:color="auto" w:fill="FFFFFF"/>
        </w:rPr>
        <w:t>U</w:t>
      </w:r>
      <w:r w:rsidRPr="00D822BB">
        <w:rPr>
          <w:sz w:val="16"/>
          <w:szCs w:val="16"/>
          <w:lang w:val="en-PH"/>
        </w:rPr>
        <w:t xml:space="preserve">.S. Bureau of Labor Statistics, Consumer Price Index for All Urban Consumers: New Vehicles in U.S. City Average [CUUR0000SETA01], </w:t>
      </w:r>
      <w:r w:rsidRPr="00D822BB">
        <w:rPr>
          <w:i/>
          <w:iCs/>
          <w:sz w:val="16"/>
          <w:szCs w:val="16"/>
          <w:lang w:val="en-PH"/>
        </w:rPr>
        <w:t xml:space="preserve">retrieved from FRED, </w:t>
      </w:r>
      <w:r w:rsidRPr="00B9295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Federal</w:t>
      </w:r>
      <w:r w:rsidRPr="00D822BB">
        <w:rPr>
          <w:i/>
          <w:iCs/>
          <w:sz w:val="16"/>
          <w:szCs w:val="16"/>
          <w:lang w:val="en-PH"/>
        </w:rPr>
        <w:t xml:space="preserve"> Reserve Bank of St. Louis; </w:t>
      </w:r>
      <w:hyperlink r:id="rId34" w:history="1">
        <w:r w:rsidRPr="00D822BB">
          <w:rPr>
            <w:rStyle w:val="Hyperlink"/>
            <w:i/>
            <w:iCs/>
            <w:sz w:val="16"/>
            <w:szCs w:val="16"/>
            <w:lang w:val="en-PH"/>
          </w:rPr>
          <w:t>https://fred.stlouisfed.org/series/CUUR0000SETA01</w:t>
        </w:r>
      </w:hyperlink>
      <w:r w:rsidRPr="00D822BB">
        <w:rPr>
          <w:i/>
          <w:iCs/>
          <w:sz w:val="16"/>
          <w:szCs w:val="16"/>
          <w:lang w:val="en-PH"/>
        </w:rPr>
        <w:t xml:space="preserve">, </w:t>
      </w:r>
      <w:r w:rsidR="007679B8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6</w:t>
      </w:r>
      <w:r w:rsidR="00B745AA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D822BB">
        <w:rPr>
          <w:i/>
          <w:iCs/>
          <w:sz w:val="16"/>
          <w:szCs w:val="16"/>
          <w:lang w:val="en-PH"/>
        </w:rPr>
        <w:t>.</w:t>
      </w:r>
    </w:p>
  </w:footnote>
  <w:footnote w:id="36">
    <w:p w14:paraId="1D43F300" w14:textId="62437166" w:rsidR="00B36811" w:rsidRDefault="00B3681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611626">
        <w:rPr>
          <w:sz w:val="16"/>
          <w:szCs w:val="16"/>
        </w:rPr>
        <w:t>U.S. Bureau of Labor Statistics</w:t>
      </w:r>
      <w:r>
        <w:rPr>
          <w:sz w:val="16"/>
          <w:szCs w:val="16"/>
        </w:rPr>
        <w:t xml:space="preserve">, </w:t>
      </w:r>
      <w:r w:rsidRPr="00611626">
        <w:rPr>
          <w:sz w:val="16"/>
          <w:szCs w:val="16"/>
        </w:rPr>
        <w:t>Consumer Price Index for All Urban Consumers: Used Cars and Trucks in U.S. City Average</w:t>
      </w:r>
      <w:r>
        <w:rPr>
          <w:sz w:val="16"/>
          <w:szCs w:val="16"/>
        </w:rPr>
        <w:t xml:space="preserve"> [</w:t>
      </w:r>
      <w:r w:rsidRPr="00611626">
        <w:rPr>
          <w:sz w:val="16"/>
          <w:szCs w:val="16"/>
        </w:rPr>
        <w:t>CUSR0000SETA02</w:t>
      </w:r>
      <w:r>
        <w:rPr>
          <w:sz w:val="16"/>
          <w:szCs w:val="16"/>
        </w:rPr>
        <w:t>],</w:t>
      </w:r>
      <w:r w:rsidRPr="00611626">
        <w:rPr>
          <w:sz w:val="16"/>
          <w:szCs w:val="16"/>
        </w:rPr>
        <w:t xml:space="preserve"> </w:t>
      </w:r>
      <w:r w:rsidRPr="00D822BB">
        <w:rPr>
          <w:i/>
          <w:iCs/>
          <w:sz w:val="16"/>
          <w:szCs w:val="16"/>
        </w:rPr>
        <w:t xml:space="preserve">retrieved from FRED, Federal Reserve Bank of St. Louis; </w:t>
      </w:r>
      <w:hyperlink r:id="rId35" w:history="1">
        <w:r w:rsidRPr="00D822BB">
          <w:rPr>
            <w:rStyle w:val="Hyperlink"/>
            <w:i/>
            <w:iCs/>
            <w:sz w:val="16"/>
            <w:szCs w:val="16"/>
          </w:rPr>
          <w:t>https://fred.stlouisfed.org/series/CUSR0000SETA02</w:t>
        </w:r>
      </w:hyperlink>
      <w:r>
        <w:t xml:space="preserve">, </w:t>
      </w:r>
      <w:r w:rsidR="007679B8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6</w:t>
      </w:r>
      <w:r w:rsidR="00B745AA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BF5CE2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37">
    <w:p w14:paraId="01357EF0" w14:textId="6BA99DDE" w:rsidR="00B36811" w:rsidRPr="00364347" w:rsidRDefault="00B36811" w:rsidP="00291FFB">
      <w:pPr>
        <w:pStyle w:val="FootnoteText"/>
        <w:rPr>
          <w:i/>
          <w:iCs/>
          <w:sz w:val="16"/>
          <w:szCs w:val="16"/>
          <w:lang w:val="en-PH"/>
        </w:rPr>
      </w:pPr>
      <w:r w:rsidRPr="00364347">
        <w:rPr>
          <w:rStyle w:val="FootnoteReference"/>
        </w:rPr>
        <w:footnoteRef/>
      </w:r>
      <w:r w:rsidRPr="00364347">
        <w:rPr>
          <w:rStyle w:val="FootnoteReference"/>
        </w:rPr>
        <w:t xml:space="preserve"> </w:t>
      </w:r>
      <w:r w:rsidRPr="00364347">
        <w:rPr>
          <w:i/>
          <w:iCs/>
          <w:sz w:val="16"/>
          <w:szCs w:val="16"/>
          <w:lang w:val="en-PH"/>
        </w:rPr>
        <w:t xml:space="preserve">University of Michigan, University of Michigan: Consumer Sentiment [UMCSENT], retrieved from FRED, Federal Reserve Bank of St. Louis; </w:t>
      </w:r>
      <w:hyperlink r:id="rId36" w:history="1">
        <w:r w:rsidRPr="00364347">
          <w:rPr>
            <w:rStyle w:val="Hyperlink"/>
            <w:i/>
            <w:iCs/>
            <w:sz w:val="16"/>
            <w:szCs w:val="16"/>
            <w:lang w:val="en-PH"/>
          </w:rPr>
          <w:t>https://fred.stlouisfed.org/series/UMCSENT</w:t>
        </w:r>
      </w:hyperlink>
      <w:r w:rsidRPr="00364347">
        <w:rPr>
          <w:i/>
          <w:iCs/>
          <w:sz w:val="16"/>
          <w:szCs w:val="16"/>
          <w:lang w:val="en-PH"/>
        </w:rPr>
        <w:t xml:space="preserve">, </w:t>
      </w:r>
      <w:r w:rsidR="007679B8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6</w:t>
      </w:r>
      <w:r w:rsidR="00B745AA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364347">
        <w:rPr>
          <w:i/>
          <w:iCs/>
          <w:sz w:val="16"/>
          <w:szCs w:val="16"/>
          <w:lang w:val="en-PH"/>
        </w:rPr>
        <w:t>.</w:t>
      </w:r>
    </w:p>
    <w:p w14:paraId="10C86738" w14:textId="29101548" w:rsidR="00B36811" w:rsidRDefault="00B36811">
      <w:pPr>
        <w:pStyle w:val="FootnoteText"/>
      </w:pPr>
    </w:p>
  </w:footnote>
  <w:footnote w:id="38">
    <w:p w14:paraId="3E58D959" w14:textId="47525A54" w:rsidR="00B36811" w:rsidRPr="00364347" w:rsidRDefault="00B36811">
      <w:pPr>
        <w:pStyle w:val="FootnoteText"/>
        <w:rPr>
          <w:i/>
          <w:iCs/>
          <w:sz w:val="16"/>
          <w:szCs w:val="16"/>
        </w:rPr>
      </w:pPr>
      <w:r w:rsidRPr="00364347">
        <w:rPr>
          <w:rStyle w:val="FootnoteReference"/>
        </w:rPr>
        <w:footnoteRef/>
      </w:r>
      <w:r w:rsidRPr="00364347">
        <w:rPr>
          <w:rStyle w:val="FootnoteReference"/>
        </w:rPr>
        <w:t xml:space="preserve"> </w:t>
      </w:r>
      <w:r w:rsidRPr="00364347">
        <w:rPr>
          <w:i/>
          <w:iCs/>
          <w:sz w:val="16"/>
          <w:szCs w:val="16"/>
        </w:rPr>
        <w:t xml:space="preserve">Chicago Board Options Exchange, CBOE Volatility Index: VIX [VIXCLS], retrieved from FRED, Federal Reserve Bank of St. Louis; </w:t>
      </w:r>
      <w:hyperlink r:id="rId37" w:history="1">
        <w:r w:rsidRPr="00364347">
          <w:rPr>
            <w:rStyle w:val="Hyperlink"/>
            <w:i/>
            <w:iCs/>
            <w:sz w:val="16"/>
            <w:szCs w:val="16"/>
          </w:rPr>
          <w:t>https://fred.stlouisfed.org/series/VIXCLS</w:t>
        </w:r>
      </w:hyperlink>
      <w:r w:rsidRPr="00364347">
        <w:rPr>
          <w:i/>
          <w:iCs/>
          <w:sz w:val="16"/>
          <w:szCs w:val="16"/>
        </w:rPr>
        <w:t xml:space="preserve">, </w:t>
      </w:r>
      <w:r w:rsidR="005F5E70">
        <w:rPr>
          <w:i/>
          <w:iCs/>
          <w:sz w:val="16"/>
          <w:szCs w:val="16"/>
        </w:rPr>
        <w:t>May 6</w:t>
      </w:r>
      <w:r w:rsidR="00D467A8">
        <w:rPr>
          <w:i/>
          <w:iCs/>
          <w:sz w:val="16"/>
          <w:szCs w:val="16"/>
        </w:rPr>
        <w:t>, 2023</w:t>
      </w:r>
      <w:r w:rsidRPr="00364347">
        <w:rPr>
          <w:i/>
          <w:iCs/>
          <w:sz w:val="16"/>
          <w:szCs w:val="16"/>
        </w:rPr>
        <w:t>.</w:t>
      </w:r>
    </w:p>
  </w:footnote>
  <w:footnote w:id="39">
    <w:p w14:paraId="1CF53D3A" w14:textId="64873C3F" w:rsidR="00B36811" w:rsidRPr="00BF5CE2" w:rsidRDefault="00B36811">
      <w:pPr>
        <w:pStyle w:val="FootnoteText"/>
        <w:rPr>
          <w:lang w:val="en-PH"/>
        </w:rPr>
      </w:pPr>
      <w:r w:rsidRPr="002B29C7">
        <w:rPr>
          <w:rStyle w:val="FootnoteReference"/>
          <w:sz w:val="16"/>
          <w:szCs w:val="16"/>
        </w:rPr>
        <w:footnoteRef/>
      </w:r>
      <w:r w:rsidRPr="002B29C7">
        <w:rPr>
          <w:sz w:val="16"/>
          <w:szCs w:val="16"/>
        </w:rPr>
        <w:t xml:space="preserve"> </w:t>
      </w:r>
      <w:r w:rsidRPr="00364347">
        <w:rPr>
          <w:i/>
          <w:iCs/>
          <w:sz w:val="16"/>
          <w:szCs w:val="16"/>
        </w:rPr>
        <w:t>Federal Reserve Bank of St. Louis</w:t>
      </w:r>
      <w:r w:rsidRPr="00364347">
        <w:rPr>
          <w:i/>
          <w:iCs/>
          <w:sz w:val="16"/>
          <w:szCs w:val="16"/>
          <w:lang w:val="en-PH"/>
        </w:rPr>
        <w:t>, FOMC Summary of Economic Projections for the Growth Rate of Real Gross Domestic Product [GDPC1CTM],</w:t>
      </w:r>
      <w:r w:rsidRPr="0036434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</w:t>
      </w:r>
      <w:r w:rsidRPr="002B29C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ieved from FRED, Federal Reserve Bank of St. Louis; </w:t>
      </w:r>
      <w:hyperlink r:id="rId38" w:history="1">
        <w:r w:rsidRPr="00DF1D66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https://fred.stlouisfed.org/series/GDPC1CTM</w:t>
        </w:r>
      </w:hyperlink>
      <w:r w:rsidRPr="002B29C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</w:t>
      </w:r>
      <w:r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</w:t>
      </w:r>
      <w:r w:rsidR="006A3F6C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6, 2023</w:t>
      </w:r>
      <w:r w:rsidRPr="002B29C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40">
    <w:p w14:paraId="054982F6" w14:textId="29779585" w:rsidR="00B36811" w:rsidRPr="005D3CEF" w:rsidRDefault="00B36811">
      <w:pPr>
        <w:pStyle w:val="FootnoteText"/>
        <w:rPr>
          <w:sz w:val="16"/>
          <w:szCs w:val="16"/>
          <w:lang w:val="en-PH"/>
        </w:rPr>
      </w:pPr>
      <w:r w:rsidRPr="005D3CEF">
        <w:rPr>
          <w:rStyle w:val="FootnoteReference"/>
          <w:sz w:val="16"/>
          <w:szCs w:val="16"/>
        </w:rPr>
        <w:footnoteRef/>
      </w:r>
      <w:r w:rsidRPr="005D3CEF">
        <w:rPr>
          <w:sz w:val="16"/>
          <w:szCs w:val="16"/>
        </w:rPr>
        <w:t xml:space="preserve"> </w:t>
      </w:r>
      <w:r w:rsidRPr="00364347">
        <w:rPr>
          <w:i/>
          <w:iCs/>
          <w:sz w:val="16"/>
          <w:szCs w:val="16"/>
        </w:rPr>
        <w:t>Federal Reserve Bank of St. Louis</w:t>
      </w:r>
      <w:r w:rsidRPr="00364347">
        <w:rPr>
          <w:i/>
          <w:iCs/>
          <w:sz w:val="16"/>
          <w:szCs w:val="16"/>
          <w:lang w:val="en-PH"/>
        </w:rPr>
        <w:t>, FOMC Summary of Economic Projections for the Personal Consumption Expenditures Inflation Rate, Central Tendency, Midpoint [PCECTPICTM],</w:t>
      </w:r>
      <w:r w:rsidRPr="0036434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retrieved from FRED, Federal Reserve Bank of St. Louis; </w:t>
      </w:r>
      <w:hyperlink r:id="rId39" w:history="1">
        <w:r w:rsidRPr="00364347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https://fred.stlouisfed.org/series/PCECTPICTM</w:t>
        </w:r>
      </w:hyperlink>
      <w:r w:rsidRPr="0036434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6A3F6C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6</w:t>
      </w:r>
      <w:r w:rsidR="00D467A8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36434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  <w:footnote w:id="41">
    <w:p w14:paraId="4A7DBD07" w14:textId="491402E7" w:rsidR="00B36811" w:rsidRPr="00E72196" w:rsidRDefault="00B36811" w:rsidP="0049182B">
      <w:pPr>
        <w:pStyle w:val="FootnoteText"/>
        <w:jc w:val="both"/>
        <w:rPr>
          <w:lang w:val="en-PH"/>
        </w:rPr>
      </w:pPr>
      <w:r>
        <w:rPr>
          <w:rStyle w:val="FootnoteReference"/>
        </w:rPr>
        <w:footnoteRef/>
      </w:r>
      <w:r>
        <w:t xml:space="preserve"> </w:t>
      </w:r>
      <w:r w:rsidRPr="00364347">
        <w:rPr>
          <w:i/>
          <w:iCs/>
          <w:sz w:val="16"/>
          <w:szCs w:val="16"/>
        </w:rPr>
        <w:t>Federal Reserve Bank of St. Louis</w:t>
      </w:r>
      <w:r w:rsidRPr="00364347">
        <w:rPr>
          <w:i/>
          <w:iCs/>
          <w:sz w:val="16"/>
          <w:szCs w:val="16"/>
          <w:lang w:val="en-PH"/>
        </w:rPr>
        <w:t>, FOMC Summary of Economic Projections for the Civilian Unemployment Rate, Central Tendency, Midpoint</w:t>
      </w:r>
      <w:r>
        <w:rPr>
          <w:i/>
          <w:iCs/>
          <w:sz w:val="16"/>
          <w:szCs w:val="16"/>
          <w:lang w:val="en-PH"/>
        </w:rPr>
        <w:t xml:space="preserve"> </w:t>
      </w:r>
      <w:r w:rsidRPr="00364347">
        <w:rPr>
          <w:i/>
          <w:iCs/>
          <w:sz w:val="16"/>
          <w:szCs w:val="16"/>
          <w:lang w:val="en-PH"/>
        </w:rPr>
        <w:t>[UNRATECTM],</w:t>
      </w:r>
      <w:r w:rsidRPr="00364347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 retri</w:t>
      </w:r>
      <w:r w:rsidRPr="005D3CE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eved from FRED, Federal Reserve Bank of St. Louis; </w:t>
      </w:r>
      <w:hyperlink r:id="rId40" w:history="1">
        <w:r w:rsidRPr="00DF1D66">
          <w:rPr>
            <w:rStyle w:val="Hyperlink"/>
            <w:rFonts w:cstheme="minorHAnsi"/>
            <w:i/>
            <w:iCs/>
            <w:sz w:val="16"/>
            <w:szCs w:val="16"/>
            <w:shd w:val="clear" w:color="auto" w:fill="FFFFFF"/>
          </w:rPr>
          <w:t>https://fred.stlouisfed.org/series/UNRATECTM</w:t>
        </w:r>
      </w:hyperlink>
      <w:r w:rsidRPr="005D3CE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 xml:space="preserve">, </w:t>
      </w:r>
      <w:r w:rsidR="006A3F6C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May 6</w:t>
      </w:r>
      <w:r w:rsidR="00D467A8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, 2023</w:t>
      </w:r>
      <w:r w:rsidRPr="005D3CEF">
        <w:rPr>
          <w:rFonts w:cstheme="minorHAnsi"/>
          <w:i/>
          <w:iCs/>
          <w:color w:val="222222"/>
          <w:sz w:val="16"/>
          <w:szCs w:val="16"/>
          <w:shd w:val="clear" w:color="auto" w:fill="FFFFFF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D5FE7" w14:textId="77777777" w:rsidR="00B36811" w:rsidRPr="00460436" w:rsidRDefault="00B36811" w:rsidP="00460436">
    <w:pPr>
      <w:pStyle w:val="Header"/>
      <w:jc w:val="right"/>
      <w:rPr>
        <w:rStyle w:val="IntenseEmphasis"/>
      </w:rPr>
    </w:pPr>
    <w:r w:rsidRPr="00460436">
      <w:rPr>
        <w:rStyle w:val="IntenseEmphasis"/>
      </w:rPr>
      <w:t>Quarterly Economic Update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5F2D28"/>
    <w:multiLevelType w:val="hybridMultilevel"/>
    <w:tmpl w:val="3CC48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254B19"/>
    <w:multiLevelType w:val="hybridMultilevel"/>
    <w:tmpl w:val="82C2C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B907BB"/>
    <w:multiLevelType w:val="hybridMultilevel"/>
    <w:tmpl w:val="A0F67C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1E6018"/>
    <w:multiLevelType w:val="hybridMultilevel"/>
    <w:tmpl w:val="62A6E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3085586">
    <w:abstractNumId w:val="1"/>
  </w:num>
  <w:num w:numId="2" w16cid:durableId="398282987">
    <w:abstractNumId w:val="2"/>
  </w:num>
  <w:num w:numId="3" w16cid:durableId="1758331900">
    <w:abstractNumId w:val="0"/>
  </w:num>
  <w:num w:numId="4" w16cid:durableId="2444154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5111"/>
    <w:rsid w:val="0000055B"/>
    <w:rsid w:val="000017CB"/>
    <w:rsid w:val="00001B20"/>
    <w:rsid w:val="000022F6"/>
    <w:rsid w:val="000048BB"/>
    <w:rsid w:val="00005111"/>
    <w:rsid w:val="00014CBA"/>
    <w:rsid w:val="00015329"/>
    <w:rsid w:val="00021EA4"/>
    <w:rsid w:val="00022BB4"/>
    <w:rsid w:val="00023FB9"/>
    <w:rsid w:val="000248D0"/>
    <w:rsid w:val="00024E64"/>
    <w:rsid w:val="00025568"/>
    <w:rsid w:val="0002602B"/>
    <w:rsid w:val="0002760A"/>
    <w:rsid w:val="00027E1E"/>
    <w:rsid w:val="00030ECA"/>
    <w:rsid w:val="0003136B"/>
    <w:rsid w:val="00031DA4"/>
    <w:rsid w:val="00032178"/>
    <w:rsid w:val="000322F4"/>
    <w:rsid w:val="00033B75"/>
    <w:rsid w:val="000345F7"/>
    <w:rsid w:val="000346C8"/>
    <w:rsid w:val="00035810"/>
    <w:rsid w:val="00035F0C"/>
    <w:rsid w:val="00035F9F"/>
    <w:rsid w:val="000360A6"/>
    <w:rsid w:val="0003611B"/>
    <w:rsid w:val="0004025D"/>
    <w:rsid w:val="0004306B"/>
    <w:rsid w:val="0004341A"/>
    <w:rsid w:val="00046A04"/>
    <w:rsid w:val="00047034"/>
    <w:rsid w:val="00047E74"/>
    <w:rsid w:val="00050BF6"/>
    <w:rsid w:val="0005198D"/>
    <w:rsid w:val="00052F94"/>
    <w:rsid w:val="0005394D"/>
    <w:rsid w:val="00053E46"/>
    <w:rsid w:val="00056A46"/>
    <w:rsid w:val="00056DC1"/>
    <w:rsid w:val="0005726F"/>
    <w:rsid w:val="00057711"/>
    <w:rsid w:val="00060AA5"/>
    <w:rsid w:val="00061DAA"/>
    <w:rsid w:val="000644DB"/>
    <w:rsid w:val="000650B3"/>
    <w:rsid w:val="00065E14"/>
    <w:rsid w:val="0007056A"/>
    <w:rsid w:val="00071875"/>
    <w:rsid w:val="00071A81"/>
    <w:rsid w:val="0007242E"/>
    <w:rsid w:val="00072C36"/>
    <w:rsid w:val="000738AD"/>
    <w:rsid w:val="00074123"/>
    <w:rsid w:val="000742F7"/>
    <w:rsid w:val="0007515A"/>
    <w:rsid w:val="000755E2"/>
    <w:rsid w:val="000763E1"/>
    <w:rsid w:val="00076744"/>
    <w:rsid w:val="00076850"/>
    <w:rsid w:val="000807FF"/>
    <w:rsid w:val="000841DA"/>
    <w:rsid w:val="00084604"/>
    <w:rsid w:val="00084608"/>
    <w:rsid w:val="00084C45"/>
    <w:rsid w:val="00086DBA"/>
    <w:rsid w:val="000874E3"/>
    <w:rsid w:val="00090A7B"/>
    <w:rsid w:val="00090DA6"/>
    <w:rsid w:val="00091209"/>
    <w:rsid w:val="00091282"/>
    <w:rsid w:val="0009284F"/>
    <w:rsid w:val="00093D9A"/>
    <w:rsid w:val="00093EF4"/>
    <w:rsid w:val="0009699C"/>
    <w:rsid w:val="000A0001"/>
    <w:rsid w:val="000A06BD"/>
    <w:rsid w:val="000A0FCA"/>
    <w:rsid w:val="000A1224"/>
    <w:rsid w:val="000A239B"/>
    <w:rsid w:val="000A2C4B"/>
    <w:rsid w:val="000A3240"/>
    <w:rsid w:val="000A4F8E"/>
    <w:rsid w:val="000A6B19"/>
    <w:rsid w:val="000A79DC"/>
    <w:rsid w:val="000B0583"/>
    <w:rsid w:val="000B0B86"/>
    <w:rsid w:val="000B42F9"/>
    <w:rsid w:val="000B43C0"/>
    <w:rsid w:val="000B487C"/>
    <w:rsid w:val="000B4F85"/>
    <w:rsid w:val="000B5DA2"/>
    <w:rsid w:val="000B6EBB"/>
    <w:rsid w:val="000C09E2"/>
    <w:rsid w:val="000C117B"/>
    <w:rsid w:val="000C1495"/>
    <w:rsid w:val="000C19DD"/>
    <w:rsid w:val="000C2E7D"/>
    <w:rsid w:val="000C371B"/>
    <w:rsid w:val="000C62E8"/>
    <w:rsid w:val="000C6EEB"/>
    <w:rsid w:val="000C71C7"/>
    <w:rsid w:val="000D3995"/>
    <w:rsid w:val="000D47AB"/>
    <w:rsid w:val="000D4973"/>
    <w:rsid w:val="000D4AF1"/>
    <w:rsid w:val="000D503C"/>
    <w:rsid w:val="000D5719"/>
    <w:rsid w:val="000D646D"/>
    <w:rsid w:val="000D66EE"/>
    <w:rsid w:val="000D7BDC"/>
    <w:rsid w:val="000E0FA4"/>
    <w:rsid w:val="000E1968"/>
    <w:rsid w:val="000E1BAA"/>
    <w:rsid w:val="000E3192"/>
    <w:rsid w:val="000E5860"/>
    <w:rsid w:val="000E6060"/>
    <w:rsid w:val="000E6A61"/>
    <w:rsid w:val="000F02FB"/>
    <w:rsid w:val="000F1648"/>
    <w:rsid w:val="000F3008"/>
    <w:rsid w:val="000F4AC6"/>
    <w:rsid w:val="000F59FF"/>
    <w:rsid w:val="000F7F33"/>
    <w:rsid w:val="00100023"/>
    <w:rsid w:val="001009B9"/>
    <w:rsid w:val="00100DF8"/>
    <w:rsid w:val="00100F15"/>
    <w:rsid w:val="00102080"/>
    <w:rsid w:val="0010260B"/>
    <w:rsid w:val="0010377C"/>
    <w:rsid w:val="00105413"/>
    <w:rsid w:val="001057AF"/>
    <w:rsid w:val="001058D4"/>
    <w:rsid w:val="00105A55"/>
    <w:rsid w:val="00107AB4"/>
    <w:rsid w:val="001116CA"/>
    <w:rsid w:val="00111911"/>
    <w:rsid w:val="00111974"/>
    <w:rsid w:val="00112619"/>
    <w:rsid w:val="00113C90"/>
    <w:rsid w:val="001149CD"/>
    <w:rsid w:val="00115717"/>
    <w:rsid w:val="00116B91"/>
    <w:rsid w:val="00117BB0"/>
    <w:rsid w:val="00121A39"/>
    <w:rsid w:val="00121E2F"/>
    <w:rsid w:val="00122842"/>
    <w:rsid w:val="001235D8"/>
    <w:rsid w:val="001277B9"/>
    <w:rsid w:val="00130055"/>
    <w:rsid w:val="00131885"/>
    <w:rsid w:val="00131A14"/>
    <w:rsid w:val="00132201"/>
    <w:rsid w:val="00134A21"/>
    <w:rsid w:val="00134DA5"/>
    <w:rsid w:val="00137248"/>
    <w:rsid w:val="00140712"/>
    <w:rsid w:val="00140763"/>
    <w:rsid w:val="00140B44"/>
    <w:rsid w:val="00140FEE"/>
    <w:rsid w:val="00142F71"/>
    <w:rsid w:val="001451F8"/>
    <w:rsid w:val="001460CC"/>
    <w:rsid w:val="001475FF"/>
    <w:rsid w:val="0015037B"/>
    <w:rsid w:val="00150655"/>
    <w:rsid w:val="001511FF"/>
    <w:rsid w:val="00152215"/>
    <w:rsid w:val="00153FBB"/>
    <w:rsid w:val="00154420"/>
    <w:rsid w:val="001545F2"/>
    <w:rsid w:val="00155E5F"/>
    <w:rsid w:val="00155E88"/>
    <w:rsid w:val="00156E24"/>
    <w:rsid w:val="00156FE4"/>
    <w:rsid w:val="0016088B"/>
    <w:rsid w:val="00162E77"/>
    <w:rsid w:val="00163F37"/>
    <w:rsid w:val="001642E0"/>
    <w:rsid w:val="00164566"/>
    <w:rsid w:val="00166778"/>
    <w:rsid w:val="0016688A"/>
    <w:rsid w:val="00166C08"/>
    <w:rsid w:val="00166F90"/>
    <w:rsid w:val="00171C8E"/>
    <w:rsid w:val="00172307"/>
    <w:rsid w:val="001737B6"/>
    <w:rsid w:val="00173FBF"/>
    <w:rsid w:val="001744C6"/>
    <w:rsid w:val="0017465F"/>
    <w:rsid w:val="00174B44"/>
    <w:rsid w:val="00174BCD"/>
    <w:rsid w:val="00174CC3"/>
    <w:rsid w:val="001750D1"/>
    <w:rsid w:val="001756EC"/>
    <w:rsid w:val="0017576B"/>
    <w:rsid w:val="00175A46"/>
    <w:rsid w:val="00176C00"/>
    <w:rsid w:val="00176F91"/>
    <w:rsid w:val="001773AA"/>
    <w:rsid w:val="0018096F"/>
    <w:rsid w:val="00180CA9"/>
    <w:rsid w:val="001819E6"/>
    <w:rsid w:val="00182738"/>
    <w:rsid w:val="001829D2"/>
    <w:rsid w:val="00183B61"/>
    <w:rsid w:val="00186318"/>
    <w:rsid w:val="00186873"/>
    <w:rsid w:val="001868CB"/>
    <w:rsid w:val="00187669"/>
    <w:rsid w:val="00193436"/>
    <w:rsid w:val="001945EC"/>
    <w:rsid w:val="0019513E"/>
    <w:rsid w:val="00195B12"/>
    <w:rsid w:val="001A21D2"/>
    <w:rsid w:val="001A3FBA"/>
    <w:rsid w:val="001A4F9E"/>
    <w:rsid w:val="001A5EDF"/>
    <w:rsid w:val="001A6B4E"/>
    <w:rsid w:val="001A6C20"/>
    <w:rsid w:val="001A6C86"/>
    <w:rsid w:val="001B1490"/>
    <w:rsid w:val="001B4B76"/>
    <w:rsid w:val="001B4D24"/>
    <w:rsid w:val="001C0418"/>
    <w:rsid w:val="001C0F2A"/>
    <w:rsid w:val="001C1070"/>
    <w:rsid w:val="001C1077"/>
    <w:rsid w:val="001C14A1"/>
    <w:rsid w:val="001C2541"/>
    <w:rsid w:val="001C2553"/>
    <w:rsid w:val="001C38B9"/>
    <w:rsid w:val="001C5F4E"/>
    <w:rsid w:val="001C7617"/>
    <w:rsid w:val="001D097E"/>
    <w:rsid w:val="001D7D8D"/>
    <w:rsid w:val="001E04F8"/>
    <w:rsid w:val="001E1516"/>
    <w:rsid w:val="001E15B0"/>
    <w:rsid w:val="001E203A"/>
    <w:rsid w:val="001E26E8"/>
    <w:rsid w:val="001E42A6"/>
    <w:rsid w:val="001E483E"/>
    <w:rsid w:val="001E6FCC"/>
    <w:rsid w:val="001E7445"/>
    <w:rsid w:val="001E7D9C"/>
    <w:rsid w:val="001F297B"/>
    <w:rsid w:val="001F4E3D"/>
    <w:rsid w:val="001F7970"/>
    <w:rsid w:val="0020145F"/>
    <w:rsid w:val="002024E2"/>
    <w:rsid w:val="0020274B"/>
    <w:rsid w:val="00203609"/>
    <w:rsid w:val="00204969"/>
    <w:rsid w:val="00204D9D"/>
    <w:rsid w:val="00207E89"/>
    <w:rsid w:val="002106AF"/>
    <w:rsid w:val="002108BA"/>
    <w:rsid w:val="00210DB1"/>
    <w:rsid w:val="0021341A"/>
    <w:rsid w:val="0021377C"/>
    <w:rsid w:val="00217AD5"/>
    <w:rsid w:val="00220B63"/>
    <w:rsid w:val="002216F6"/>
    <w:rsid w:val="002218BC"/>
    <w:rsid w:val="002219B5"/>
    <w:rsid w:val="0022226D"/>
    <w:rsid w:val="0022416D"/>
    <w:rsid w:val="00224BBF"/>
    <w:rsid w:val="0022724A"/>
    <w:rsid w:val="002301AB"/>
    <w:rsid w:val="002308A9"/>
    <w:rsid w:val="00230D29"/>
    <w:rsid w:val="00231BB2"/>
    <w:rsid w:val="00231FA3"/>
    <w:rsid w:val="00232336"/>
    <w:rsid w:val="00234C71"/>
    <w:rsid w:val="00234E76"/>
    <w:rsid w:val="00234F94"/>
    <w:rsid w:val="00235B28"/>
    <w:rsid w:val="002361FB"/>
    <w:rsid w:val="002366E1"/>
    <w:rsid w:val="00236B68"/>
    <w:rsid w:val="00237901"/>
    <w:rsid w:val="00237E71"/>
    <w:rsid w:val="002406D9"/>
    <w:rsid w:val="0024113D"/>
    <w:rsid w:val="002435D7"/>
    <w:rsid w:val="00244369"/>
    <w:rsid w:val="00244C4D"/>
    <w:rsid w:val="00245903"/>
    <w:rsid w:val="00245B33"/>
    <w:rsid w:val="002502D5"/>
    <w:rsid w:val="00250313"/>
    <w:rsid w:val="00251456"/>
    <w:rsid w:val="002516C6"/>
    <w:rsid w:val="002521FF"/>
    <w:rsid w:val="0025222E"/>
    <w:rsid w:val="00252A9B"/>
    <w:rsid w:val="002530D7"/>
    <w:rsid w:val="00254176"/>
    <w:rsid w:val="0025469C"/>
    <w:rsid w:val="00254F79"/>
    <w:rsid w:val="00255530"/>
    <w:rsid w:val="00255C11"/>
    <w:rsid w:val="00255C32"/>
    <w:rsid w:val="0025666D"/>
    <w:rsid w:val="00257944"/>
    <w:rsid w:val="002608F3"/>
    <w:rsid w:val="00260D17"/>
    <w:rsid w:val="00261A6E"/>
    <w:rsid w:val="0026329B"/>
    <w:rsid w:val="00263EBD"/>
    <w:rsid w:val="00265131"/>
    <w:rsid w:val="0026599C"/>
    <w:rsid w:val="002731EF"/>
    <w:rsid w:val="00273DCA"/>
    <w:rsid w:val="002743DC"/>
    <w:rsid w:val="0027585A"/>
    <w:rsid w:val="002775DB"/>
    <w:rsid w:val="002803D6"/>
    <w:rsid w:val="002817E1"/>
    <w:rsid w:val="00281E64"/>
    <w:rsid w:val="0028237E"/>
    <w:rsid w:val="0028240F"/>
    <w:rsid w:val="00282C6E"/>
    <w:rsid w:val="00283D6F"/>
    <w:rsid w:val="002857FD"/>
    <w:rsid w:val="00285D03"/>
    <w:rsid w:val="00285F67"/>
    <w:rsid w:val="00291763"/>
    <w:rsid w:val="00291E5B"/>
    <w:rsid w:val="00291FFB"/>
    <w:rsid w:val="0029246D"/>
    <w:rsid w:val="00292B24"/>
    <w:rsid w:val="00294A8D"/>
    <w:rsid w:val="00296BEB"/>
    <w:rsid w:val="002972D2"/>
    <w:rsid w:val="00297653"/>
    <w:rsid w:val="002978F9"/>
    <w:rsid w:val="002A0B80"/>
    <w:rsid w:val="002A14C5"/>
    <w:rsid w:val="002A375D"/>
    <w:rsid w:val="002A3CB2"/>
    <w:rsid w:val="002A45E8"/>
    <w:rsid w:val="002A496C"/>
    <w:rsid w:val="002A72F6"/>
    <w:rsid w:val="002A764F"/>
    <w:rsid w:val="002B0DF1"/>
    <w:rsid w:val="002B16D0"/>
    <w:rsid w:val="002B29C7"/>
    <w:rsid w:val="002B2BBA"/>
    <w:rsid w:val="002B2F86"/>
    <w:rsid w:val="002B4308"/>
    <w:rsid w:val="002B5EF5"/>
    <w:rsid w:val="002B5FDA"/>
    <w:rsid w:val="002C0EC8"/>
    <w:rsid w:val="002C1F64"/>
    <w:rsid w:val="002C240B"/>
    <w:rsid w:val="002C261D"/>
    <w:rsid w:val="002C3C67"/>
    <w:rsid w:val="002C429F"/>
    <w:rsid w:val="002C5E52"/>
    <w:rsid w:val="002C601A"/>
    <w:rsid w:val="002C69A4"/>
    <w:rsid w:val="002D17D6"/>
    <w:rsid w:val="002D4C10"/>
    <w:rsid w:val="002D5CC3"/>
    <w:rsid w:val="002D660A"/>
    <w:rsid w:val="002D7154"/>
    <w:rsid w:val="002D78A5"/>
    <w:rsid w:val="002E0DC9"/>
    <w:rsid w:val="002E0F29"/>
    <w:rsid w:val="002E2644"/>
    <w:rsid w:val="002E3213"/>
    <w:rsid w:val="002E3647"/>
    <w:rsid w:val="002E3E26"/>
    <w:rsid w:val="002E4494"/>
    <w:rsid w:val="002E58CF"/>
    <w:rsid w:val="002E6FDE"/>
    <w:rsid w:val="002E782B"/>
    <w:rsid w:val="002E7ACF"/>
    <w:rsid w:val="002F0CDA"/>
    <w:rsid w:val="002F1660"/>
    <w:rsid w:val="002F1B2A"/>
    <w:rsid w:val="002F1B4B"/>
    <w:rsid w:val="002F1C7B"/>
    <w:rsid w:val="002F3682"/>
    <w:rsid w:val="002F3ADD"/>
    <w:rsid w:val="002F3CE6"/>
    <w:rsid w:val="002F4629"/>
    <w:rsid w:val="002F57B6"/>
    <w:rsid w:val="002F6282"/>
    <w:rsid w:val="002F63F8"/>
    <w:rsid w:val="002F6613"/>
    <w:rsid w:val="002F7404"/>
    <w:rsid w:val="002F7417"/>
    <w:rsid w:val="003028B3"/>
    <w:rsid w:val="00303DA5"/>
    <w:rsid w:val="00304B4E"/>
    <w:rsid w:val="003058BA"/>
    <w:rsid w:val="00306B1D"/>
    <w:rsid w:val="00306EFA"/>
    <w:rsid w:val="003071CD"/>
    <w:rsid w:val="00307A87"/>
    <w:rsid w:val="0031179D"/>
    <w:rsid w:val="00311E77"/>
    <w:rsid w:val="00313A4E"/>
    <w:rsid w:val="00314985"/>
    <w:rsid w:val="003167AC"/>
    <w:rsid w:val="00316CBD"/>
    <w:rsid w:val="00316E8F"/>
    <w:rsid w:val="00317448"/>
    <w:rsid w:val="003175DC"/>
    <w:rsid w:val="00321912"/>
    <w:rsid w:val="00321AA2"/>
    <w:rsid w:val="00322C58"/>
    <w:rsid w:val="00323C75"/>
    <w:rsid w:val="003240BB"/>
    <w:rsid w:val="00327700"/>
    <w:rsid w:val="0033052C"/>
    <w:rsid w:val="003316E9"/>
    <w:rsid w:val="00331CF3"/>
    <w:rsid w:val="00332197"/>
    <w:rsid w:val="00334DE4"/>
    <w:rsid w:val="0033537B"/>
    <w:rsid w:val="00336F2C"/>
    <w:rsid w:val="003376CD"/>
    <w:rsid w:val="00337BD8"/>
    <w:rsid w:val="00340262"/>
    <w:rsid w:val="00340B8A"/>
    <w:rsid w:val="003411C1"/>
    <w:rsid w:val="00341282"/>
    <w:rsid w:val="003412DA"/>
    <w:rsid w:val="003414E7"/>
    <w:rsid w:val="00346350"/>
    <w:rsid w:val="00346E54"/>
    <w:rsid w:val="003477B7"/>
    <w:rsid w:val="003479C3"/>
    <w:rsid w:val="00350673"/>
    <w:rsid w:val="003509E7"/>
    <w:rsid w:val="003531E6"/>
    <w:rsid w:val="00353F0A"/>
    <w:rsid w:val="00354195"/>
    <w:rsid w:val="00354414"/>
    <w:rsid w:val="00354FA1"/>
    <w:rsid w:val="0035542E"/>
    <w:rsid w:val="00360100"/>
    <w:rsid w:val="00361E70"/>
    <w:rsid w:val="00362202"/>
    <w:rsid w:val="00363E78"/>
    <w:rsid w:val="00364347"/>
    <w:rsid w:val="003643F8"/>
    <w:rsid w:val="00365998"/>
    <w:rsid w:val="0036641E"/>
    <w:rsid w:val="00370D64"/>
    <w:rsid w:val="003711BF"/>
    <w:rsid w:val="00371414"/>
    <w:rsid w:val="00372F3C"/>
    <w:rsid w:val="00373A3D"/>
    <w:rsid w:val="00374F21"/>
    <w:rsid w:val="00376778"/>
    <w:rsid w:val="003802E7"/>
    <w:rsid w:val="003812D0"/>
    <w:rsid w:val="0038144F"/>
    <w:rsid w:val="00381A81"/>
    <w:rsid w:val="00382C86"/>
    <w:rsid w:val="00385105"/>
    <w:rsid w:val="00386023"/>
    <w:rsid w:val="00387C82"/>
    <w:rsid w:val="0039196F"/>
    <w:rsid w:val="00391D3A"/>
    <w:rsid w:val="003926DD"/>
    <w:rsid w:val="00392D01"/>
    <w:rsid w:val="00393B78"/>
    <w:rsid w:val="0039421C"/>
    <w:rsid w:val="00394236"/>
    <w:rsid w:val="00395B3E"/>
    <w:rsid w:val="00396933"/>
    <w:rsid w:val="00396E51"/>
    <w:rsid w:val="0039711B"/>
    <w:rsid w:val="0039736B"/>
    <w:rsid w:val="00397F57"/>
    <w:rsid w:val="003A0447"/>
    <w:rsid w:val="003A0B8A"/>
    <w:rsid w:val="003A2900"/>
    <w:rsid w:val="003A390C"/>
    <w:rsid w:val="003A3D8A"/>
    <w:rsid w:val="003A4B97"/>
    <w:rsid w:val="003A4BCC"/>
    <w:rsid w:val="003A4C56"/>
    <w:rsid w:val="003A679B"/>
    <w:rsid w:val="003B0615"/>
    <w:rsid w:val="003B0B22"/>
    <w:rsid w:val="003B2A9D"/>
    <w:rsid w:val="003B2BFB"/>
    <w:rsid w:val="003B3369"/>
    <w:rsid w:val="003B4D22"/>
    <w:rsid w:val="003C1A72"/>
    <w:rsid w:val="003C1F24"/>
    <w:rsid w:val="003C2173"/>
    <w:rsid w:val="003C3E65"/>
    <w:rsid w:val="003C4023"/>
    <w:rsid w:val="003C4CAF"/>
    <w:rsid w:val="003D112A"/>
    <w:rsid w:val="003D1D39"/>
    <w:rsid w:val="003D3C51"/>
    <w:rsid w:val="003D4159"/>
    <w:rsid w:val="003D52B8"/>
    <w:rsid w:val="003D5D19"/>
    <w:rsid w:val="003E18DF"/>
    <w:rsid w:val="003E282E"/>
    <w:rsid w:val="003E2CCE"/>
    <w:rsid w:val="003E3039"/>
    <w:rsid w:val="003E3E2D"/>
    <w:rsid w:val="003E4ACB"/>
    <w:rsid w:val="003E5CFB"/>
    <w:rsid w:val="003E62D6"/>
    <w:rsid w:val="003F007D"/>
    <w:rsid w:val="003F0EE9"/>
    <w:rsid w:val="003F14BE"/>
    <w:rsid w:val="003F24A9"/>
    <w:rsid w:val="003F2FE7"/>
    <w:rsid w:val="003F469F"/>
    <w:rsid w:val="003F4CDB"/>
    <w:rsid w:val="003F5061"/>
    <w:rsid w:val="004005A4"/>
    <w:rsid w:val="00401A65"/>
    <w:rsid w:val="0040211C"/>
    <w:rsid w:val="00403355"/>
    <w:rsid w:val="00404E89"/>
    <w:rsid w:val="0040653A"/>
    <w:rsid w:val="00407A82"/>
    <w:rsid w:val="0041138E"/>
    <w:rsid w:val="00411404"/>
    <w:rsid w:val="00411A4C"/>
    <w:rsid w:val="00412C1A"/>
    <w:rsid w:val="004134F4"/>
    <w:rsid w:val="00413EE3"/>
    <w:rsid w:val="00413F0F"/>
    <w:rsid w:val="00421F60"/>
    <w:rsid w:val="0042476E"/>
    <w:rsid w:val="00424E74"/>
    <w:rsid w:val="00426A6A"/>
    <w:rsid w:val="00427110"/>
    <w:rsid w:val="0042719D"/>
    <w:rsid w:val="0042797E"/>
    <w:rsid w:val="0043016A"/>
    <w:rsid w:val="004306FA"/>
    <w:rsid w:val="004330C8"/>
    <w:rsid w:val="004335C3"/>
    <w:rsid w:val="004406C3"/>
    <w:rsid w:val="00440FEB"/>
    <w:rsid w:val="00442163"/>
    <w:rsid w:val="00442565"/>
    <w:rsid w:val="00442A7A"/>
    <w:rsid w:val="00442BF6"/>
    <w:rsid w:val="00442D2A"/>
    <w:rsid w:val="00443A15"/>
    <w:rsid w:val="00445A11"/>
    <w:rsid w:val="00446C08"/>
    <w:rsid w:val="004476DE"/>
    <w:rsid w:val="00447A7B"/>
    <w:rsid w:val="00447E7F"/>
    <w:rsid w:val="00447F8B"/>
    <w:rsid w:val="00450276"/>
    <w:rsid w:val="004506CC"/>
    <w:rsid w:val="0045095D"/>
    <w:rsid w:val="0045097E"/>
    <w:rsid w:val="004513EB"/>
    <w:rsid w:val="00451755"/>
    <w:rsid w:val="00451F5B"/>
    <w:rsid w:val="00452720"/>
    <w:rsid w:val="004531BD"/>
    <w:rsid w:val="00453708"/>
    <w:rsid w:val="00453738"/>
    <w:rsid w:val="00454F4B"/>
    <w:rsid w:val="00455043"/>
    <w:rsid w:val="0045550A"/>
    <w:rsid w:val="00455D78"/>
    <w:rsid w:val="0045641F"/>
    <w:rsid w:val="004564C6"/>
    <w:rsid w:val="00456741"/>
    <w:rsid w:val="004567EF"/>
    <w:rsid w:val="00457E1D"/>
    <w:rsid w:val="00460436"/>
    <w:rsid w:val="00460DE2"/>
    <w:rsid w:val="00460E43"/>
    <w:rsid w:val="00463560"/>
    <w:rsid w:val="00466612"/>
    <w:rsid w:val="00466861"/>
    <w:rsid w:val="00467365"/>
    <w:rsid w:val="00467AB1"/>
    <w:rsid w:val="004709B0"/>
    <w:rsid w:val="004759DB"/>
    <w:rsid w:val="004778D8"/>
    <w:rsid w:val="0048128D"/>
    <w:rsid w:val="0048403A"/>
    <w:rsid w:val="004846E4"/>
    <w:rsid w:val="00485093"/>
    <w:rsid w:val="004903C9"/>
    <w:rsid w:val="004907DA"/>
    <w:rsid w:val="00490AFD"/>
    <w:rsid w:val="0049134B"/>
    <w:rsid w:val="0049180E"/>
    <w:rsid w:val="0049182B"/>
    <w:rsid w:val="00491B4B"/>
    <w:rsid w:val="00491F40"/>
    <w:rsid w:val="00493CF1"/>
    <w:rsid w:val="004940F1"/>
    <w:rsid w:val="00494933"/>
    <w:rsid w:val="00495F77"/>
    <w:rsid w:val="004965CE"/>
    <w:rsid w:val="00496E13"/>
    <w:rsid w:val="004A0649"/>
    <w:rsid w:val="004A0947"/>
    <w:rsid w:val="004A0ABB"/>
    <w:rsid w:val="004A4BD1"/>
    <w:rsid w:val="004A707E"/>
    <w:rsid w:val="004B047B"/>
    <w:rsid w:val="004B2BFB"/>
    <w:rsid w:val="004B2DF4"/>
    <w:rsid w:val="004B3923"/>
    <w:rsid w:val="004B3B5E"/>
    <w:rsid w:val="004B3D9F"/>
    <w:rsid w:val="004B5284"/>
    <w:rsid w:val="004B6D7A"/>
    <w:rsid w:val="004B76BB"/>
    <w:rsid w:val="004B782C"/>
    <w:rsid w:val="004B7D92"/>
    <w:rsid w:val="004C1749"/>
    <w:rsid w:val="004C17A1"/>
    <w:rsid w:val="004C20AB"/>
    <w:rsid w:val="004C3365"/>
    <w:rsid w:val="004C587A"/>
    <w:rsid w:val="004C6B76"/>
    <w:rsid w:val="004C7928"/>
    <w:rsid w:val="004D0515"/>
    <w:rsid w:val="004D099A"/>
    <w:rsid w:val="004D1BCA"/>
    <w:rsid w:val="004D1C9D"/>
    <w:rsid w:val="004D1DA4"/>
    <w:rsid w:val="004D3A04"/>
    <w:rsid w:val="004E1574"/>
    <w:rsid w:val="004E2AB3"/>
    <w:rsid w:val="004E2C09"/>
    <w:rsid w:val="004E3393"/>
    <w:rsid w:val="004E3F0B"/>
    <w:rsid w:val="004E4A45"/>
    <w:rsid w:val="004E4B6F"/>
    <w:rsid w:val="004E5EC0"/>
    <w:rsid w:val="004E7265"/>
    <w:rsid w:val="004F1136"/>
    <w:rsid w:val="004F1527"/>
    <w:rsid w:val="004F2735"/>
    <w:rsid w:val="004F307A"/>
    <w:rsid w:val="004F330B"/>
    <w:rsid w:val="004F3ADA"/>
    <w:rsid w:val="004F4F4F"/>
    <w:rsid w:val="004F55C9"/>
    <w:rsid w:val="004F67A9"/>
    <w:rsid w:val="004F73C7"/>
    <w:rsid w:val="00502627"/>
    <w:rsid w:val="00502B32"/>
    <w:rsid w:val="00504F45"/>
    <w:rsid w:val="00507645"/>
    <w:rsid w:val="00507B5A"/>
    <w:rsid w:val="005117CA"/>
    <w:rsid w:val="005125AE"/>
    <w:rsid w:val="005127D3"/>
    <w:rsid w:val="00515DB3"/>
    <w:rsid w:val="00515E9D"/>
    <w:rsid w:val="00516EDD"/>
    <w:rsid w:val="005200CA"/>
    <w:rsid w:val="0052077C"/>
    <w:rsid w:val="00521F1D"/>
    <w:rsid w:val="005232D6"/>
    <w:rsid w:val="005233AB"/>
    <w:rsid w:val="00525C1B"/>
    <w:rsid w:val="005261C1"/>
    <w:rsid w:val="00530B69"/>
    <w:rsid w:val="00530EFD"/>
    <w:rsid w:val="00532A06"/>
    <w:rsid w:val="005356B5"/>
    <w:rsid w:val="00536317"/>
    <w:rsid w:val="00536754"/>
    <w:rsid w:val="00536AD4"/>
    <w:rsid w:val="00536B00"/>
    <w:rsid w:val="00536ED9"/>
    <w:rsid w:val="005378C5"/>
    <w:rsid w:val="00537FF8"/>
    <w:rsid w:val="00540D2B"/>
    <w:rsid w:val="00541D29"/>
    <w:rsid w:val="005425D7"/>
    <w:rsid w:val="00542F5A"/>
    <w:rsid w:val="00544623"/>
    <w:rsid w:val="005469DE"/>
    <w:rsid w:val="005475F2"/>
    <w:rsid w:val="0055033B"/>
    <w:rsid w:val="005505E0"/>
    <w:rsid w:val="005505E5"/>
    <w:rsid w:val="00550C7C"/>
    <w:rsid w:val="00551864"/>
    <w:rsid w:val="00551B4D"/>
    <w:rsid w:val="00551CFE"/>
    <w:rsid w:val="00554121"/>
    <w:rsid w:val="005554F5"/>
    <w:rsid w:val="0055555A"/>
    <w:rsid w:val="005563D4"/>
    <w:rsid w:val="00556560"/>
    <w:rsid w:val="0055673A"/>
    <w:rsid w:val="00556EAD"/>
    <w:rsid w:val="00557239"/>
    <w:rsid w:val="005573A8"/>
    <w:rsid w:val="00562791"/>
    <w:rsid w:val="00562B39"/>
    <w:rsid w:val="0056320C"/>
    <w:rsid w:val="005650CD"/>
    <w:rsid w:val="005662B5"/>
    <w:rsid w:val="00567138"/>
    <w:rsid w:val="00570005"/>
    <w:rsid w:val="00570346"/>
    <w:rsid w:val="00571BD4"/>
    <w:rsid w:val="00572F03"/>
    <w:rsid w:val="005734C4"/>
    <w:rsid w:val="0057468C"/>
    <w:rsid w:val="00575923"/>
    <w:rsid w:val="00576484"/>
    <w:rsid w:val="00576E9B"/>
    <w:rsid w:val="005779B7"/>
    <w:rsid w:val="00577C8E"/>
    <w:rsid w:val="005807C6"/>
    <w:rsid w:val="00580F92"/>
    <w:rsid w:val="005828F0"/>
    <w:rsid w:val="0058330E"/>
    <w:rsid w:val="00583BEE"/>
    <w:rsid w:val="00584B8E"/>
    <w:rsid w:val="00587C5A"/>
    <w:rsid w:val="00590322"/>
    <w:rsid w:val="005917C1"/>
    <w:rsid w:val="00591A62"/>
    <w:rsid w:val="005933D9"/>
    <w:rsid w:val="00594B4A"/>
    <w:rsid w:val="005954B1"/>
    <w:rsid w:val="00595D8A"/>
    <w:rsid w:val="005A0EC4"/>
    <w:rsid w:val="005A5095"/>
    <w:rsid w:val="005A5F06"/>
    <w:rsid w:val="005A693F"/>
    <w:rsid w:val="005A6F5B"/>
    <w:rsid w:val="005B08A9"/>
    <w:rsid w:val="005B1168"/>
    <w:rsid w:val="005B1ACA"/>
    <w:rsid w:val="005B2ED9"/>
    <w:rsid w:val="005B40E5"/>
    <w:rsid w:val="005B7A7E"/>
    <w:rsid w:val="005C021F"/>
    <w:rsid w:val="005C0423"/>
    <w:rsid w:val="005C0A6E"/>
    <w:rsid w:val="005C0D2D"/>
    <w:rsid w:val="005C2215"/>
    <w:rsid w:val="005C22CA"/>
    <w:rsid w:val="005C2F47"/>
    <w:rsid w:val="005C493F"/>
    <w:rsid w:val="005C532B"/>
    <w:rsid w:val="005C6411"/>
    <w:rsid w:val="005C6CD5"/>
    <w:rsid w:val="005C6F0D"/>
    <w:rsid w:val="005C771E"/>
    <w:rsid w:val="005D022C"/>
    <w:rsid w:val="005D06C9"/>
    <w:rsid w:val="005D1E0A"/>
    <w:rsid w:val="005D1E7F"/>
    <w:rsid w:val="005D3CEF"/>
    <w:rsid w:val="005D3F1A"/>
    <w:rsid w:val="005D3FB8"/>
    <w:rsid w:val="005D43B8"/>
    <w:rsid w:val="005D5553"/>
    <w:rsid w:val="005D6316"/>
    <w:rsid w:val="005E19C2"/>
    <w:rsid w:val="005E1BD2"/>
    <w:rsid w:val="005E306A"/>
    <w:rsid w:val="005E3622"/>
    <w:rsid w:val="005E56AE"/>
    <w:rsid w:val="005E67EF"/>
    <w:rsid w:val="005E747C"/>
    <w:rsid w:val="005E797B"/>
    <w:rsid w:val="005E7A94"/>
    <w:rsid w:val="005F07E9"/>
    <w:rsid w:val="005F1D7F"/>
    <w:rsid w:val="005F344C"/>
    <w:rsid w:val="005F5744"/>
    <w:rsid w:val="005F5E70"/>
    <w:rsid w:val="00600AF9"/>
    <w:rsid w:val="00602441"/>
    <w:rsid w:val="006055F4"/>
    <w:rsid w:val="00605F4E"/>
    <w:rsid w:val="006068F7"/>
    <w:rsid w:val="00610140"/>
    <w:rsid w:val="0061080D"/>
    <w:rsid w:val="00610894"/>
    <w:rsid w:val="00611626"/>
    <w:rsid w:val="0061200D"/>
    <w:rsid w:val="006130EE"/>
    <w:rsid w:val="00613599"/>
    <w:rsid w:val="006148A4"/>
    <w:rsid w:val="00615B70"/>
    <w:rsid w:val="006167DB"/>
    <w:rsid w:val="00617DFF"/>
    <w:rsid w:val="00617E5C"/>
    <w:rsid w:val="00620094"/>
    <w:rsid w:val="00620252"/>
    <w:rsid w:val="00621173"/>
    <w:rsid w:val="0062162D"/>
    <w:rsid w:val="00622313"/>
    <w:rsid w:val="00622D23"/>
    <w:rsid w:val="00623672"/>
    <w:rsid w:val="0062444A"/>
    <w:rsid w:val="00624AEF"/>
    <w:rsid w:val="0062659E"/>
    <w:rsid w:val="00626DAC"/>
    <w:rsid w:val="00627C19"/>
    <w:rsid w:val="00627DE7"/>
    <w:rsid w:val="006314B9"/>
    <w:rsid w:val="00631555"/>
    <w:rsid w:val="00632532"/>
    <w:rsid w:val="00632A78"/>
    <w:rsid w:val="00632E2D"/>
    <w:rsid w:val="00632F4E"/>
    <w:rsid w:val="006331A2"/>
    <w:rsid w:val="006342D9"/>
    <w:rsid w:val="00634658"/>
    <w:rsid w:val="00634787"/>
    <w:rsid w:val="00635C43"/>
    <w:rsid w:val="00635EAA"/>
    <w:rsid w:val="006364F6"/>
    <w:rsid w:val="00640C9C"/>
    <w:rsid w:val="00640DD5"/>
    <w:rsid w:val="00641A51"/>
    <w:rsid w:val="00643797"/>
    <w:rsid w:val="006439EA"/>
    <w:rsid w:val="00643FBF"/>
    <w:rsid w:val="006449AC"/>
    <w:rsid w:val="006451FA"/>
    <w:rsid w:val="0064538F"/>
    <w:rsid w:val="00650430"/>
    <w:rsid w:val="00650582"/>
    <w:rsid w:val="00651AC2"/>
    <w:rsid w:val="006528B7"/>
    <w:rsid w:val="00654A68"/>
    <w:rsid w:val="00654B02"/>
    <w:rsid w:val="006553D1"/>
    <w:rsid w:val="006575D2"/>
    <w:rsid w:val="00657642"/>
    <w:rsid w:val="00660739"/>
    <w:rsid w:val="00660A13"/>
    <w:rsid w:val="00660C7A"/>
    <w:rsid w:val="00660C8A"/>
    <w:rsid w:val="006619DC"/>
    <w:rsid w:val="00661AA7"/>
    <w:rsid w:val="00662828"/>
    <w:rsid w:val="00662F16"/>
    <w:rsid w:val="006630E1"/>
    <w:rsid w:val="006635EE"/>
    <w:rsid w:val="006646E8"/>
    <w:rsid w:val="006663D0"/>
    <w:rsid w:val="00670FB1"/>
    <w:rsid w:val="0067215A"/>
    <w:rsid w:val="00673A89"/>
    <w:rsid w:val="00674475"/>
    <w:rsid w:val="0067456E"/>
    <w:rsid w:val="006748EE"/>
    <w:rsid w:val="00675122"/>
    <w:rsid w:val="00675F26"/>
    <w:rsid w:val="006816F7"/>
    <w:rsid w:val="00682ADE"/>
    <w:rsid w:val="00682B7E"/>
    <w:rsid w:val="006859BA"/>
    <w:rsid w:val="00690C93"/>
    <w:rsid w:val="0069122E"/>
    <w:rsid w:val="0069186C"/>
    <w:rsid w:val="00691D14"/>
    <w:rsid w:val="00691FBD"/>
    <w:rsid w:val="00694585"/>
    <w:rsid w:val="00694624"/>
    <w:rsid w:val="00695441"/>
    <w:rsid w:val="00695980"/>
    <w:rsid w:val="00696388"/>
    <w:rsid w:val="006970E9"/>
    <w:rsid w:val="006A01A0"/>
    <w:rsid w:val="006A05B4"/>
    <w:rsid w:val="006A0819"/>
    <w:rsid w:val="006A114D"/>
    <w:rsid w:val="006A3F6C"/>
    <w:rsid w:val="006A5321"/>
    <w:rsid w:val="006A62EE"/>
    <w:rsid w:val="006A656A"/>
    <w:rsid w:val="006A687C"/>
    <w:rsid w:val="006A6BFF"/>
    <w:rsid w:val="006B166E"/>
    <w:rsid w:val="006B19C3"/>
    <w:rsid w:val="006B1EB1"/>
    <w:rsid w:val="006B25BB"/>
    <w:rsid w:val="006B361C"/>
    <w:rsid w:val="006B394A"/>
    <w:rsid w:val="006B3D25"/>
    <w:rsid w:val="006B792C"/>
    <w:rsid w:val="006C08FA"/>
    <w:rsid w:val="006C1321"/>
    <w:rsid w:val="006C28D8"/>
    <w:rsid w:val="006C2AC0"/>
    <w:rsid w:val="006C2DAB"/>
    <w:rsid w:val="006C534C"/>
    <w:rsid w:val="006C5DCC"/>
    <w:rsid w:val="006C6752"/>
    <w:rsid w:val="006C7116"/>
    <w:rsid w:val="006C7B04"/>
    <w:rsid w:val="006C7BEF"/>
    <w:rsid w:val="006D2660"/>
    <w:rsid w:val="006D2D96"/>
    <w:rsid w:val="006D3877"/>
    <w:rsid w:val="006D3964"/>
    <w:rsid w:val="006D4E8F"/>
    <w:rsid w:val="006D518C"/>
    <w:rsid w:val="006D579F"/>
    <w:rsid w:val="006D705D"/>
    <w:rsid w:val="006E0830"/>
    <w:rsid w:val="006E4B4F"/>
    <w:rsid w:val="006E5760"/>
    <w:rsid w:val="006E608A"/>
    <w:rsid w:val="006E621A"/>
    <w:rsid w:val="006E69A7"/>
    <w:rsid w:val="006E6EAA"/>
    <w:rsid w:val="006F060A"/>
    <w:rsid w:val="006F0678"/>
    <w:rsid w:val="006F154C"/>
    <w:rsid w:val="006F1876"/>
    <w:rsid w:val="006F1B14"/>
    <w:rsid w:val="006F370F"/>
    <w:rsid w:val="006F3E36"/>
    <w:rsid w:val="006F49C7"/>
    <w:rsid w:val="006F4DB7"/>
    <w:rsid w:val="006F58B0"/>
    <w:rsid w:val="006F6733"/>
    <w:rsid w:val="006F7E2D"/>
    <w:rsid w:val="006F7FB2"/>
    <w:rsid w:val="00700166"/>
    <w:rsid w:val="0070151C"/>
    <w:rsid w:val="00701D95"/>
    <w:rsid w:val="007030F0"/>
    <w:rsid w:val="00703D80"/>
    <w:rsid w:val="007062B8"/>
    <w:rsid w:val="00707B5E"/>
    <w:rsid w:val="007102D3"/>
    <w:rsid w:val="007110AF"/>
    <w:rsid w:val="00714B74"/>
    <w:rsid w:val="00720495"/>
    <w:rsid w:val="00720E64"/>
    <w:rsid w:val="00720F25"/>
    <w:rsid w:val="00723B51"/>
    <w:rsid w:val="00724C08"/>
    <w:rsid w:val="0072697B"/>
    <w:rsid w:val="00730BC7"/>
    <w:rsid w:val="00730C3D"/>
    <w:rsid w:val="007329E1"/>
    <w:rsid w:val="0073598E"/>
    <w:rsid w:val="00735CBB"/>
    <w:rsid w:val="007361CC"/>
    <w:rsid w:val="00737D58"/>
    <w:rsid w:val="00740863"/>
    <w:rsid w:val="0074137C"/>
    <w:rsid w:val="00741DA8"/>
    <w:rsid w:val="00742E84"/>
    <w:rsid w:val="00743683"/>
    <w:rsid w:val="00743A12"/>
    <w:rsid w:val="00746558"/>
    <w:rsid w:val="007477D7"/>
    <w:rsid w:val="00753854"/>
    <w:rsid w:val="0075479C"/>
    <w:rsid w:val="00754C29"/>
    <w:rsid w:val="007550F3"/>
    <w:rsid w:val="00755B70"/>
    <w:rsid w:val="00756248"/>
    <w:rsid w:val="00756A49"/>
    <w:rsid w:val="00757148"/>
    <w:rsid w:val="007602B9"/>
    <w:rsid w:val="007618D6"/>
    <w:rsid w:val="00761D36"/>
    <w:rsid w:val="0076272C"/>
    <w:rsid w:val="00762921"/>
    <w:rsid w:val="007635CE"/>
    <w:rsid w:val="00764284"/>
    <w:rsid w:val="00764632"/>
    <w:rsid w:val="0076678E"/>
    <w:rsid w:val="0076714B"/>
    <w:rsid w:val="0076717F"/>
    <w:rsid w:val="007679B8"/>
    <w:rsid w:val="0077027E"/>
    <w:rsid w:val="00770759"/>
    <w:rsid w:val="00771CA2"/>
    <w:rsid w:val="00772342"/>
    <w:rsid w:val="007736DF"/>
    <w:rsid w:val="00773AC4"/>
    <w:rsid w:val="00773B5B"/>
    <w:rsid w:val="00773E0E"/>
    <w:rsid w:val="007740D3"/>
    <w:rsid w:val="0077416E"/>
    <w:rsid w:val="00774E67"/>
    <w:rsid w:val="007765F6"/>
    <w:rsid w:val="007768C7"/>
    <w:rsid w:val="00776A56"/>
    <w:rsid w:val="00777D25"/>
    <w:rsid w:val="007807DE"/>
    <w:rsid w:val="00782F5F"/>
    <w:rsid w:val="00783BA9"/>
    <w:rsid w:val="0078488C"/>
    <w:rsid w:val="007875DE"/>
    <w:rsid w:val="0079151F"/>
    <w:rsid w:val="00791F5C"/>
    <w:rsid w:val="007929C4"/>
    <w:rsid w:val="007929DB"/>
    <w:rsid w:val="00792E5D"/>
    <w:rsid w:val="007939CA"/>
    <w:rsid w:val="00795053"/>
    <w:rsid w:val="00795569"/>
    <w:rsid w:val="00795ECE"/>
    <w:rsid w:val="0079609A"/>
    <w:rsid w:val="007962F0"/>
    <w:rsid w:val="00796EC8"/>
    <w:rsid w:val="007A0574"/>
    <w:rsid w:val="007A05AD"/>
    <w:rsid w:val="007A0E93"/>
    <w:rsid w:val="007A46C7"/>
    <w:rsid w:val="007A4896"/>
    <w:rsid w:val="007A4A4B"/>
    <w:rsid w:val="007A5255"/>
    <w:rsid w:val="007A6F60"/>
    <w:rsid w:val="007A770A"/>
    <w:rsid w:val="007A7FCF"/>
    <w:rsid w:val="007B08DC"/>
    <w:rsid w:val="007B0C0E"/>
    <w:rsid w:val="007B0FB5"/>
    <w:rsid w:val="007B132C"/>
    <w:rsid w:val="007B178B"/>
    <w:rsid w:val="007B3A9E"/>
    <w:rsid w:val="007B4191"/>
    <w:rsid w:val="007B5780"/>
    <w:rsid w:val="007B5CA1"/>
    <w:rsid w:val="007B69AE"/>
    <w:rsid w:val="007B70CF"/>
    <w:rsid w:val="007B7D73"/>
    <w:rsid w:val="007C1E79"/>
    <w:rsid w:val="007C25F4"/>
    <w:rsid w:val="007C4944"/>
    <w:rsid w:val="007C54CB"/>
    <w:rsid w:val="007C5517"/>
    <w:rsid w:val="007C659E"/>
    <w:rsid w:val="007D3E70"/>
    <w:rsid w:val="007D42CD"/>
    <w:rsid w:val="007D4FF9"/>
    <w:rsid w:val="007E1BB9"/>
    <w:rsid w:val="007E321E"/>
    <w:rsid w:val="007E3ED3"/>
    <w:rsid w:val="007E45F6"/>
    <w:rsid w:val="007E4E9D"/>
    <w:rsid w:val="007E5B14"/>
    <w:rsid w:val="007E7320"/>
    <w:rsid w:val="007E76B7"/>
    <w:rsid w:val="007F0376"/>
    <w:rsid w:val="007F04AE"/>
    <w:rsid w:val="007F1968"/>
    <w:rsid w:val="007F34A5"/>
    <w:rsid w:val="007F58C3"/>
    <w:rsid w:val="007F590E"/>
    <w:rsid w:val="007F5A38"/>
    <w:rsid w:val="007F5D12"/>
    <w:rsid w:val="007F67C3"/>
    <w:rsid w:val="0080028D"/>
    <w:rsid w:val="0080052B"/>
    <w:rsid w:val="00802507"/>
    <w:rsid w:val="008048AD"/>
    <w:rsid w:val="00805C12"/>
    <w:rsid w:val="0080666E"/>
    <w:rsid w:val="00811606"/>
    <w:rsid w:val="00811FA7"/>
    <w:rsid w:val="008129B2"/>
    <w:rsid w:val="00813396"/>
    <w:rsid w:val="008143E8"/>
    <w:rsid w:val="00814E45"/>
    <w:rsid w:val="008155BA"/>
    <w:rsid w:val="008162B7"/>
    <w:rsid w:val="00816313"/>
    <w:rsid w:val="00816C0F"/>
    <w:rsid w:val="0081792D"/>
    <w:rsid w:val="00817CD9"/>
    <w:rsid w:val="00822038"/>
    <w:rsid w:val="00822897"/>
    <w:rsid w:val="00822A02"/>
    <w:rsid w:val="00823A4E"/>
    <w:rsid w:val="00823E2B"/>
    <w:rsid w:val="00826AE7"/>
    <w:rsid w:val="00826F0B"/>
    <w:rsid w:val="00830D32"/>
    <w:rsid w:val="00831041"/>
    <w:rsid w:val="0083191F"/>
    <w:rsid w:val="00831E7B"/>
    <w:rsid w:val="008339F4"/>
    <w:rsid w:val="00833A07"/>
    <w:rsid w:val="00835434"/>
    <w:rsid w:val="00835D2E"/>
    <w:rsid w:val="00835D9E"/>
    <w:rsid w:val="00836176"/>
    <w:rsid w:val="00836E7F"/>
    <w:rsid w:val="00837DF2"/>
    <w:rsid w:val="00842094"/>
    <w:rsid w:val="00842A68"/>
    <w:rsid w:val="0084463F"/>
    <w:rsid w:val="00844A75"/>
    <w:rsid w:val="0084528D"/>
    <w:rsid w:val="00850A64"/>
    <w:rsid w:val="00855A46"/>
    <w:rsid w:val="00855C4E"/>
    <w:rsid w:val="008564EA"/>
    <w:rsid w:val="00857079"/>
    <w:rsid w:val="00860631"/>
    <w:rsid w:val="00860777"/>
    <w:rsid w:val="00860D54"/>
    <w:rsid w:val="00860EAF"/>
    <w:rsid w:val="008636F9"/>
    <w:rsid w:val="0086476C"/>
    <w:rsid w:val="00865CE8"/>
    <w:rsid w:val="008664EB"/>
    <w:rsid w:val="00867D68"/>
    <w:rsid w:val="00870469"/>
    <w:rsid w:val="008723E8"/>
    <w:rsid w:val="00873466"/>
    <w:rsid w:val="008744EA"/>
    <w:rsid w:val="00874DE9"/>
    <w:rsid w:val="00875F25"/>
    <w:rsid w:val="0087715C"/>
    <w:rsid w:val="008778A9"/>
    <w:rsid w:val="00877D3C"/>
    <w:rsid w:val="00877F82"/>
    <w:rsid w:val="00880496"/>
    <w:rsid w:val="00882483"/>
    <w:rsid w:val="00882E60"/>
    <w:rsid w:val="00882F96"/>
    <w:rsid w:val="008844A2"/>
    <w:rsid w:val="008845A9"/>
    <w:rsid w:val="008860FC"/>
    <w:rsid w:val="00886D3A"/>
    <w:rsid w:val="008874C1"/>
    <w:rsid w:val="00890513"/>
    <w:rsid w:val="0089070C"/>
    <w:rsid w:val="00890B68"/>
    <w:rsid w:val="008925BC"/>
    <w:rsid w:val="0089260E"/>
    <w:rsid w:val="00892D49"/>
    <w:rsid w:val="008932A3"/>
    <w:rsid w:val="00893CB8"/>
    <w:rsid w:val="00894434"/>
    <w:rsid w:val="00894CA7"/>
    <w:rsid w:val="00894FB2"/>
    <w:rsid w:val="00895002"/>
    <w:rsid w:val="00895BD8"/>
    <w:rsid w:val="0089655B"/>
    <w:rsid w:val="00896C0D"/>
    <w:rsid w:val="00896D03"/>
    <w:rsid w:val="00896EB1"/>
    <w:rsid w:val="008972D1"/>
    <w:rsid w:val="00897BC8"/>
    <w:rsid w:val="008A0838"/>
    <w:rsid w:val="008A13E7"/>
    <w:rsid w:val="008A252E"/>
    <w:rsid w:val="008A3D99"/>
    <w:rsid w:val="008A3F35"/>
    <w:rsid w:val="008A581A"/>
    <w:rsid w:val="008A5F7F"/>
    <w:rsid w:val="008A63E2"/>
    <w:rsid w:val="008A6630"/>
    <w:rsid w:val="008A6DB9"/>
    <w:rsid w:val="008A7107"/>
    <w:rsid w:val="008A7D83"/>
    <w:rsid w:val="008B0154"/>
    <w:rsid w:val="008B088E"/>
    <w:rsid w:val="008B1963"/>
    <w:rsid w:val="008B20D0"/>
    <w:rsid w:val="008B24F2"/>
    <w:rsid w:val="008B2769"/>
    <w:rsid w:val="008B3356"/>
    <w:rsid w:val="008B37F0"/>
    <w:rsid w:val="008B3E4E"/>
    <w:rsid w:val="008B41BC"/>
    <w:rsid w:val="008B4702"/>
    <w:rsid w:val="008B65B4"/>
    <w:rsid w:val="008C0F54"/>
    <w:rsid w:val="008C10DA"/>
    <w:rsid w:val="008C1C56"/>
    <w:rsid w:val="008C2435"/>
    <w:rsid w:val="008C2A57"/>
    <w:rsid w:val="008C5503"/>
    <w:rsid w:val="008C5726"/>
    <w:rsid w:val="008C798A"/>
    <w:rsid w:val="008D1615"/>
    <w:rsid w:val="008D1C86"/>
    <w:rsid w:val="008D3255"/>
    <w:rsid w:val="008D47F6"/>
    <w:rsid w:val="008D6371"/>
    <w:rsid w:val="008D69DA"/>
    <w:rsid w:val="008E1296"/>
    <w:rsid w:val="008E270A"/>
    <w:rsid w:val="008E2DC7"/>
    <w:rsid w:val="008E672E"/>
    <w:rsid w:val="008E72E3"/>
    <w:rsid w:val="008F1FD4"/>
    <w:rsid w:val="008F3BF2"/>
    <w:rsid w:val="008F4B7D"/>
    <w:rsid w:val="008F4B82"/>
    <w:rsid w:val="008F6F3B"/>
    <w:rsid w:val="00905C9B"/>
    <w:rsid w:val="00912398"/>
    <w:rsid w:val="009130AF"/>
    <w:rsid w:val="00913825"/>
    <w:rsid w:val="009140B9"/>
    <w:rsid w:val="009141C1"/>
    <w:rsid w:val="009148CA"/>
    <w:rsid w:val="00914EA8"/>
    <w:rsid w:val="0091664E"/>
    <w:rsid w:val="009169A4"/>
    <w:rsid w:val="009170B7"/>
    <w:rsid w:val="00920236"/>
    <w:rsid w:val="009206A6"/>
    <w:rsid w:val="00920AB5"/>
    <w:rsid w:val="009219D9"/>
    <w:rsid w:val="00922197"/>
    <w:rsid w:val="0092287E"/>
    <w:rsid w:val="00922A9D"/>
    <w:rsid w:val="0092347C"/>
    <w:rsid w:val="00923BA7"/>
    <w:rsid w:val="0092472D"/>
    <w:rsid w:val="00925F58"/>
    <w:rsid w:val="009262AA"/>
    <w:rsid w:val="00926438"/>
    <w:rsid w:val="009323CA"/>
    <w:rsid w:val="0093291C"/>
    <w:rsid w:val="00932DD8"/>
    <w:rsid w:val="00933213"/>
    <w:rsid w:val="00933E80"/>
    <w:rsid w:val="009343D3"/>
    <w:rsid w:val="00937D2C"/>
    <w:rsid w:val="00937FF2"/>
    <w:rsid w:val="00940DF6"/>
    <w:rsid w:val="009411C1"/>
    <w:rsid w:val="00942366"/>
    <w:rsid w:val="00943329"/>
    <w:rsid w:val="00943ED3"/>
    <w:rsid w:val="009443D6"/>
    <w:rsid w:val="009445E7"/>
    <w:rsid w:val="0094654A"/>
    <w:rsid w:val="0094736B"/>
    <w:rsid w:val="0095004D"/>
    <w:rsid w:val="00950B89"/>
    <w:rsid w:val="009515AA"/>
    <w:rsid w:val="00951DAA"/>
    <w:rsid w:val="009524D9"/>
    <w:rsid w:val="009526E8"/>
    <w:rsid w:val="00952AF7"/>
    <w:rsid w:val="00952E0A"/>
    <w:rsid w:val="00953DDB"/>
    <w:rsid w:val="00953DF2"/>
    <w:rsid w:val="00955094"/>
    <w:rsid w:val="009550AF"/>
    <w:rsid w:val="00960B49"/>
    <w:rsid w:val="009648C3"/>
    <w:rsid w:val="00964DD4"/>
    <w:rsid w:val="009669F1"/>
    <w:rsid w:val="00966BA6"/>
    <w:rsid w:val="0096732C"/>
    <w:rsid w:val="009675A9"/>
    <w:rsid w:val="00967B10"/>
    <w:rsid w:val="009714E6"/>
    <w:rsid w:val="00971553"/>
    <w:rsid w:val="009717A1"/>
    <w:rsid w:val="00976765"/>
    <w:rsid w:val="00976B7D"/>
    <w:rsid w:val="009774D1"/>
    <w:rsid w:val="00977737"/>
    <w:rsid w:val="00981947"/>
    <w:rsid w:val="00981BE4"/>
    <w:rsid w:val="00981C70"/>
    <w:rsid w:val="00981FF8"/>
    <w:rsid w:val="00982654"/>
    <w:rsid w:val="00982B60"/>
    <w:rsid w:val="009839F3"/>
    <w:rsid w:val="00983A76"/>
    <w:rsid w:val="00984B61"/>
    <w:rsid w:val="00985656"/>
    <w:rsid w:val="009878F0"/>
    <w:rsid w:val="0098795E"/>
    <w:rsid w:val="00987AB7"/>
    <w:rsid w:val="00987FB6"/>
    <w:rsid w:val="0099010B"/>
    <w:rsid w:val="00990761"/>
    <w:rsid w:val="00992467"/>
    <w:rsid w:val="009972A2"/>
    <w:rsid w:val="0099783F"/>
    <w:rsid w:val="009A0B29"/>
    <w:rsid w:val="009A106A"/>
    <w:rsid w:val="009A13D9"/>
    <w:rsid w:val="009A15D9"/>
    <w:rsid w:val="009A160F"/>
    <w:rsid w:val="009A1711"/>
    <w:rsid w:val="009A181B"/>
    <w:rsid w:val="009A1C23"/>
    <w:rsid w:val="009A36DD"/>
    <w:rsid w:val="009A3EEC"/>
    <w:rsid w:val="009A4508"/>
    <w:rsid w:val="009A6788"/>
    <w:rsid w:val="009A6A40"/>
    <w:rsid w:val="009B1B6B"/>
    <w:rsid w:val="009B2A0E"/>
    <w:rsid w:val="009B462A"/>
    <w:rsid w:val="009B52AF"/>
    <w:rsid w:val="009B5606"/>
    <w:rsid w:val="009B603A"/>
    <w:rsid w:val="009B7956"/>
    <w:rsid w:val="009C057C"/>
    <w:rsid w:val="009C0789"/>
    <w:rsid w:val="009C0945"/>
    <w:rsid w:val="009C0F33"/>
    <w:rsid w:val="009C125D"/>
    <w:rsid w:val="009C143E"/>
    <w:rsid w:val="009C1E6B"/>
    <w:rsid w:val="009C2041"/>
    <w:rsid w:val="009C4651"/>
    <w:rsid w:val="009C53E4"/>
    <w:rsid w:val="009C5CDE"/>
    <w:rsid w:val="009C6162"/>
    <w:rsid w:val="009C7466"/>
    <w:rsid w:val="009C74AB"/>
    <w:rsid w:val="009D05E3"/>
    <w:rsid w:val="009D26B5"/>
    <w:rsid w:val="009D3151"/>
    <w:rsid w:val="009D42AA"/>
    <w:rsid w:val="009D5A7B"/>
    <w:rsid w:val="009D6A5D"/>
    <w:rsid w:val="009D7CB0"/>
    <w:rsid w:val="009E013E"/>
    <w:rsid w:val="009E14E6"/>
    <w:rsid w:val="009E2682"/>
    <w:rsid w:val="009E44F2"/>
    <w:rsid w:val="009E4A2E"/>
    <w:rsid w:val="009E4D8D"/>
    <w:rsid w:val="009E56AD"/>
    <w:rsid w:val="009E6453"/>
    <w:rsid w:val="009E6751"/>
    <w:rsid w:val="009E7A0A"/>
    <w:rsid w:val="009F19E8"/>
    <w:rsid w:val="009F1C9C"/>
    <w:rsid w:val="009F272A"/>
    <w:rsid w:val="009F2830"/>
    <w:rsid w:val="009F2A15"/>
    <w:rsid w:val="009F3181"/>
    <w:rsid w:val="009F42E7"/>
    <w:rsid w:val="009F6EB6"/>
    <w:rsid w:val="009F790B"/>
    <w:rsid w:val="009F7EB5"/>
    <w:rsid w:val="00A01E81"/>
    <w:rsid w:val="00A04AD3"/>
    <w:rsid w:val="00A070BE"/>
    <w:rsid w:val="00A073CB"/>
    <w:rsid w:val="00A07D5A"/>
    <w:rsid w:val="00A1037F"/>
    <w:rsid w:val="00A11CAC"/>
    <w:rsid w:val="00A13F7D"/>
    <w:rsid w:val="00A1419D"/>
    <w:rsid w:val="00A14458"/>
    <w:rsid w:val="00A14C86"/>
    <w:rsid w:val="00A14CD4"/>
    <w:rsid w:val="00A1734E"/>
    <w:rsid w:val="00A17C3A"/>
    <w:rsid w:val="00A202A9"/>
    <w:rsid w:val="00A223EC"/>
    <w:rsid w:val="00A25362"/>
    <w:rsid w:val="00A262DF"/>
    <w:rsid w:val="00A2684A"/>
    <w:rsid w:val="00A26A65"/>
    <w:rsid w:val="00A27A9D"/>
    <w:rsid w:val="00A27EB6"/>
    <w:rsid w:val="00A30440"/>
    <w:rsid w:val="00A31D37"/>
    <w:rsid w:val="00A325AB"/>
    <w:rsid w:val="00A37DC4"/>
    <w:rsid w:val="00A40BC8"/>
    <w:rsid w:val="00A41316"/>
    <w:rsid w:val="00A41749"/>
    <w:rsid w:val="00A43008"/>
    <w:rsid w:val="00A45AD4"/>
    <w:rsid w:val="00A45F59"/>
    <w:rsid w:val="00A5218C"/>
    <w:rsid w:val="00A52469"/>
    <w:rsid w:val="00A52E02"/>
    <w:rsid w:val="00A537B6"/>
    <w:rsid w:val="00A54ACF"/>
    <w:rsid w:val="00A57EA4"/>
    <w:rsid w:val="00A60213"/>
    <w:rsid w:val="00A6114B"/>
    <w:rsid w:val="00A615E8"/>
    <w:rsid w:val="00A61C0E"/>
    <w:rsid w:val="00A645D8"/>
    <w:rsid w:val="00A64D96"/>
    <w:rsid w:val="00A66F9B"/>
    <w:rsid w:val="00A670FB"/>
    <w:rsid w:val="00A702F9"/>
    <w:rsid w:val="00A708EB"/>
    <w:rsid w:val="00A70971"/>
    <w:rsid w:val="00A72343"/>
    <w:rsid w:val="00A730DC"/>
    <w:rsid w:val="00A73A66"/>
    <w:rsid w:val="00A74430"/>
    <w:rsid w:val="00A75687"/>
    <w:rsid w:val="00A762AA"/>
    <w:rsid w:val="00A768DC"/>
    <w:rsid w:val="00A76F02"/>
    <w:rsid w:val="00A77399"/>
    <w:rsid w:val="00A77444"/>
    <w:rsid w:val="00A77981"/>
    <w:rsid w:val="00A80B95"/>
    <w:rsid w:val="00A82B9E"/>
    <w:rsid w:val="00A82D0D"/>
    <w:rsid w:val="00A83597"/>
    <w:rsid w:val="00A83C79"/>
    <w:rsid w:val="00A841DE"/>
    <w:rsid w:val="00A8559D"/>
    <w:rsid w:val="00A86393"/>
    <w:rsid w:val="00A931A3"/>
    <w:rsid w:val="00A9408A"/>
    <w:rsid w:val="00A94F52"/>
    <w:rsid w:val="00A96584"/>
    <w:rsid w:val="00A96795"/>
    <w:rsid w:val="00A96A6A"/>
    <w:rsid w:val="00A96E27"/>
    <w:rsid w:val="00A97343"/>
    <w:rsid w:val="00AA1DAF"/>
    <w:rsid w:val="00AA236F"/>
    <w:rsid w:val="00AA2E90"/>
    <w:rsid w:val="00AA37BC"/>
    <w:rsid w:val="00AA4A29"/>
    <w:rsid w:val="00AA651C"/>
    <w:rsid w:val="00AA74C1"/>
    <w:rsid w:val="00AA7A1B"/>
    <w:rsid w:val="00AB236A"/>
    <w:rsid w:val="00AB3D69"/>
    <w:rsid w:val="00AB498D"/>
    <w:rsid w:val="00AB4C96"/>
    <w:rsid w:val="00AB5122"/>
    <w:rsid w:val="00AB56C9"/>
    <w:rsid w:val="00AB6E43"/>
    <w:rsid w:val="00AB6F46"/>
    <w:rsid w:val="00AB7603"/>
    <w:rsid w:val="00AC0986"/>
    <w:rsid w:val="00AC45F1"/>
    <w:rsid w:val="00AC6BB2"/>
    <w:rsid w:val="00AD0524"/>
    <w:rsid w:val="00AD19F0"/>
    <w:rsid w:val="00AD2210"/>
    <w:rsid w:val="00AD5BB8"/>
    <w:rsid w:val="00AE1BDC"/>
    <w:rsid w:val="00AE306C"/>
    <w:rsid w:val="00AE3402"/>
    <w:rsid w:val="00AE3668"/>
    <w:rsid w:val="00AE3D01"/>
    <w:rsid w:val="00AE492E"/>
    <w:rsid w:val="00AE4E03"/>
    <w:rsid w:val="00AE53C0"/>
    <w:rsid w:val="00AE64EF"/>
    <w:rsid w:val="00AE7001"/>
    <w:rsid w:val="00AE7215"/>
    <w:rsid w:val="00AF1F92"/>
    <w:rsid w:val="00AF2763"/>
    <w:rsid w:val="00AF2BA7"/>
    <w:rsid w:val="00AF306C"/>
    <w:rsid w:val="00AF4095"/>
    <w:rsid w:val="00AF420E"/>
    <w:rsid w:val="00AF6040"/>
    <w:rsid w:val="00AF60A5"/>
    <w:rsid w:val="00AF653C"/>
    <w:rsid w:val="00AF7938"/>
    <w:rsid w:val="00B0030B"/>
    <w:rsid w:val="00B00681"/>
    <w:rsid w:val="00B008FE"/>
    <w:rsid w:val="00B00A5E"/>
    <w:rsid w:val="00B00E83"/>
    <w:rsid w:val="00B0395F"/>
    <w:rsid w:val="00B0457A"/>
    <w:rsid w:val="00B064A0"/>
    <w:rsid w:val="00B06916"/>
    <w:rsid w:val="00B071DB"/>
    <w:rsid w:val="00B12942"/>
    <w:rsid w:val="00B135D7"/>
    <w:rsid w:val="00B1388C"/>
    <w:rsid w:val="00B1397B"/>
    <w:rsid w:val="00B13CE7"/>
    <w:rsid w:val="00B13FE9"/>
    <w:rsid w:val="00B14691"/>
    <w:rsid w:val="00B162CD"/>
    <w:rsid w:val="00B17CFF"/>
    <w:rsid w:val="00B23279"/>
    <w:rsid w:val="00B23443"/>
    <w:rsid w:val="00B2531F"/>
    <w:rsid w:val="00B2585A"/>
    <w:rsid w:val="00B25898"/>
    <w:rsid w:val="00B25B77"/>
    <w:rsid w:val="00B2629D"/>
    <w:rsid w:val="00B3045C"/>
    <w:rsid w:val="00B31011"/>
    <w:rsid w:val="00B316F7"/>
    <w:rsid w:val="00B335AB"/>
    <w:rsid w:val="00B34926"/>
    <w:rsid w:val="00B36811"/>
    <w:rsid w:val="00B370B2"/>
    <w:rsid w:val="00B371D4"/>
    <w:rsid w:val="00B377D4"/>
    <w:rsid w:val="00B401C1"/>
    <w:rsid w:val="00B403A1"/>
    <w:rsid w:val="00B40456"/>
    <w:rsid w:val="00B40AF8"/>
    <w:rsid w:val="00B426A5"/>
    <w:rsid w:val="00B426C6"/>
    <w:rsid w:val="00B432FD"/>
    <w:rsid w:val="00B44219"/>
    <w:rsid w:val="00B445C8"/>
    <w:rsid w:val="00B45117"/>
    <w:rsid w:val="00B45F40"/>
    <w:rsid w:val="00B524BD"/>
    <w:rsid w:val="00B53037"/>
    <w:rsid w:val="00B5315D"/>
    <w:rsid w:val="00B542EC"/>
    <w:rsid w:val="00B55FC5"/>
    <w:rsid w:val="00B5639B"/>
    <w:rsid w:val="00B60178"/>
    <w:rsid w:val="00B60EC4"/>
    <w:rsid w:val="00B61DE8"/>
    <w:rsid w:val="00B634D4"/>
    <w:rsid w:val="00B64313"/>
    <w:rsid w:val="00B64829"/>
    <w:rsid w:val="00B650A2"/>
    <w:rsid w:val="00B6548E"/>
    <w:rsid w:val="00B65667"/>
    <w:rsid w:val="00B6639B"/>
    <w:rsid w:val="00B66C70"/>
    <w:rsid w:val="00B66CB7"/>
    <w:rsid w:val="00B66CC0"/>
    <w:rsid w:val="00B7053E"/>
    <w:rsid w:val="00B71FC4"/>
    <w:rsid w:val="00B73CC4"/>
    <w:rsid w:val="00B745AA"/>
    <w:rsid w:val="00B748E1"/>
    <w:rsid w:val="00B7512F"/>
    <w:rsid w:val="00B767AE"/>
    <w:rsid w:val="00B76A73"/>
    <w:rsid w:val="00B76BDF"/>
    <w:rsid w:val="00B76D6D"/>
    <w:rsid w:val="00B80D2B"/>
    <w:rsid w:val="00B82663"/>
    <w:rsid w:val="00B82B8B"/>
    <w:rsid w:val="00B82E0D"/>
    <w:rsid w:val="00B84330"/>
    <w:rsid w:val="00B84DED"/>
    <w:rsid w:val="00B85E37"/>
    <w:rsid w:val="00B860AC"/>
    <w:rsid w:val="00B875CA"/>
    <w:rsid w:val="00B87F2A"/>
    <w:rsid w:val="00B90547"/>
    <w:rsid w:val="00B91356"/>
    <w:rsid w:val="00B922C3"/>
    <w:rsid w:val="00B92952"/>
    <w:rsid w:val="00B92E54"/>
    <w:rsid w:val="00B931F9"/>
    <w:rsid w:val="00B9425C"/>
    <w:rsid w:val="00B94E68"/>
    <w:rsid w:val="00B973A1"/>
    <w:rsid w:val="00B97C78"/>
    <w:rsid w:val="00BA05F4"/>
    <w:rsid w:val="00BA13A5"/>
    <w:rsid w:val="00BA1931"/>
    <w:rsid w:val="00BA1CC0"/>
    <w:rsid w:val="00BA5F96"/>
    <w:rsid w:val="00BA7A2C"/>
    <w:rsid w:val="00BB06C1"/>
    <w:rsid w:val="00BB096A"/>
    <w:rsid w:val="00BB142E"/>
    <w:rsid w:val="00BB226D"/>
    <w:rsid w:val="00BB24FD"/>
    <w:rsid w:val="00BB286D"/>
    <w:rsid w:val="00BB34CA"/>
    <w:rsid w:val="00BB3B00"/>
    <w:rsid w:val="00BB3B04"/>
    <w:rsid w:val="00BB4123"/>
    <w:rsid w:val="00BB5A8E"/>
    <w:rsid w:val="00BB5FF4"/>
    <w:rsid w:val="00BC00A7"/>
    <w:rsid w:val="00BC04D5"/>
    <w:rsid w:val="00BC13CC"/>
    <w:rsid w:val="00BC2F02"/>
    <w:rsid w:val="00BC32F2"/>
    <w:rsid w:val="00BC3ABE"/>
    <w:rsid w:val="00BC4BE2"/>
    <w:rsid w:val="00BC5C1E"/>
    <w:rsid w:val="00BC6211"/>
    <w:rsid w:val="00BC7261"/>
    <w:rsid w:val="00BC7E45"/>
    <w:rsid w:val="00BD0BA8"/>
    <w:rsid w:val="00BD1AF4"/>
    <w:rsid w:val="00BD32FB"/>
    <w:rsid w:val="00BD3693"/>
    <w:rsid w:val="00BD3FA1"/>
    <w:rsid w:val="00BD4FA3"/>
    <w:rsid w:val="00BD7409"/>
    <w:rsid w:val="00BD7CA7"/>
    <w:rsid w:val="00BE1260"/>
    <w:rsid w:val="00BE3AB7"/>
    <w:rsid w:val="00BE41AA"/>
    <w:rsid w:val="00BE4D4B"/>
    <w:rsid w:val="00BE4FA9"/>
    <w:rsid w:val="00BE7F85"/>
    <w:rsid w:val="00BF0A1F"/>
    <w:rsid w:val="00BF0B27"/>
    <w:rsid w:val="00BF33EF"/>
    <w:rsid w:val="00BF363C"/>
    <w:rsid w:val="00BF5CE2"/>
    <w:rsid w:val="00BF6BF5"/>
    <w:rsid w:val="00BF6CA6"/>
    <w:rsid w:val="00BF72BA"/>
    <w:rsid w:val="00C01B26"/>
    <w:rsid w:val="00C01B39"/>
    <w:rsid w:val="00C01ECD"/>
    <w:rsid w:val="00C02783"/>
    <w:rsid w:val="00C042DD"/>
    <w:rsid w:val="00C04D0B"/>
    <w:rsid w:val="00C05052"/>
    <w:rsid w:val="00C051CD"/>
    <w:rsid w:val="00C05B0C"/>
    <w:rsid w:val="00C060D2"/>
    <w:rsid w:val="00C07579"/>
    <w:rsid w:val="00C10F0A"/>
    <w:rsid w:val="00C12EFE"/>
    <w:rsid w:val="00C14310"/>
    <w:rsid w:val="00C1528C"/>
    <w:rsid w:val="00C16A86"/>
    <w:rsid w:val="00C17572"/>
    <w:rsid w:val="00C17C3A"/>
    <w:rsid w:val="00C21192"/>
    <w:rsid w:val="00C21AE0"/>
    <w:rsid w:val="00C228CA"/>
    <w:rsid w:val="00C22EE7"/>
    <w:rsid w:val="00C22FCD"/>
    <w:rsid w:val="00C253A1"/>
    <w:rsid w:val="00C27776"/>
    <w:rsid w:val="00C27961"/>
    <w:rsid w:val="00C27E06"/>
    <w:rsid w:val="00C27E68"/>
    <w:rsid w:val="00C328EF"/>
    <w:rsid w:val="00C35489"/>
    <w:rsid w:val="00C35B2B"/>
    <w:rsid w:val="00C36857"/>
    <w:rsid w:val="00C36C62"/>
    <w:rsid w:val="00C40E95"/>
    <w:rsid w:val="00C41006"/>
    <w:rsid w:val="00C427E3"/>
    <w:rsid w:val="00C43EF8"/>
    <w:rsid w:val="00C44C76"/>
    <w:rsid w:val="00C45B53"/>
    <w:rsid w:val="00C4790A"/>
    <w:rsid w:val="00C479D5"/>
    <w:rsid w:val="00C47DFF"/>
    <w:rsid w:val="00C50538"/>
    <w:rsid w:val="00C50E71"/>
    <w:rsid w:val="00C54129"/>
    <w:rsid w:val="00C5430F"/>
    <w:rsid w:val="00C56AE3"/>
    <w:rsid w:val="00C610B0"/>
    <w:rsid w:val="00C6227C"/>
    <w:rsid w:val="00C62610"/>
    <w:rsid w:val="00C64C77"/>
    <w:rsid w:val="00C66CC9"/>
    <w:rsid w:val="00C675E2"/>
    <w:rsid w:val="00C70B5F"/>
    <w:rsid w:val="00C70EAC"/>
    <w:rsid w:val="00C70F5B"/>
    <w:rsid w:val="00C737DC"/>
    <w:rsid w:val="00C742C8"/>
    <w:rsid w:val="00C7535D"/>
    <w:rsid w:val="00C77196"/>
    <w:rsid w:val="00C82545"/>
    <w:rsid w:val="00C825EE"/>
    <w:rsid w:val="00C828B0"/>
    <w:rsid w:val="00C83561"/>
    <w:rsid w:val="00C8448F"/>
    <w:rsid w:val="00C84709"/>
    <w:rsid w:val="00C86473"/>
    <w:rsid w:val="00C867ED"/>
    <w:rsid w:val="00C879D3"/>
    <w:rsid w:val="00C90043"/>
    <w:rsid w:val="00C906E1"/>
    <w:rsid w:val="00C90C6F"/>
    <w:rsid w:val="00C91D90"/>
    <w:rsid w:val="00C91F35"/>
    <w:rsid w:val="00C92B4A"/>
    <w:rsid w:val="00C9379B"/>
    <w:rsid w:val="00C937ED"/>
    <w:rsid w:val="00C93FDB"/>
    <w:rsid w:val="00C94A31"/>
    <w:rsid w:val="00C94CE9"/>
    <w:rsid w:val="00C9694F"/>
    <w:rsid w:val="00C978AB"/>
    <w:rsid w:val="00CA015A"/>
    <w:rsid w:val="00CA07E7"/>
    <w:rsid w:val="00CA112C"/>
    <w:rsid w:val="00CA1E58"/>
    <w:rsid w:val="00CA260F"/>
    <w:rsid w:val="00CA2DA3"/>
    <w:rsid w:val="00CA2F0C"/>
    <w:rsid w:val="00CA4851"/>
    <w:rsid w:val="00CA74AC"/>
    <w:rsid w:val="00CB0612"/>
    <w:rsid w:val="00CB0C8A"/>
    <w:rsid w:val="00CB10F1"/>
    <w:rsid w:val="00CB1375"/>
    <w:rsid w:val="00CB2772"/>
    <w:rsid w:val="00CB3DAF"/>
    <w:rsid w:val="00CB5D37"/>
    <w:rsid w:val="00CB60B6"/>
    <w:rsid w:val="00CB629F"/>
    <w:rsid w:val="00CB6A6E"/>
    <w:rsid w:val="00CB6EF4"/>
    <w:rsid w:val="00CB7F52"/>
    <w:rsid w:val="00CC118C"/>
    <w:rsid w:val="00CC1275"/>
    <w:rsid w:val="00CC1966"/>
    <w:rsid w:val="00CC1A11"/>
    <w:rsid w:val="00CC1BC1"/>
    <w:rsid w:val="00CC6B03"/>
    <w:rsid w:val="00CD0AEC"/>
    <w:rsid w:val="00CD10EB"/>
    <w:rsid w:val="00CD1E76"/>
    <w:rsid w:val="00CD2441"/>
    <w:rsid w:val="00CD3C44"/>
    <w:rsid w:val="00CD3F6E"/>
    <w:rsid w:val="00CD40BC"/>
    <w:rsid w:val="00CD4B81"/>
    <w:rsid w:val="00CD643D"/>
    <w:rsid w:val="00CE2A21"/>
    <w:rsid w:val="00CE3F54"/>
    <w:rsid w:val="00CE3F8F"/>
    <w:rsid w:val="00CE4A3E"/>
    <w:rsid w:val="00CE5A3E"/>
    <w:rsid w:val="00CE6CB2"/>
    <w:rsid w:val="00CF06AE"/>
    <w:rsid w:val="00CF10AF"/>
    <w:rsid w:val="00CF2402"/>
    <w:rsid w:val="00CF3496"/>
    <w:rsid w:val="00CF3C9B"/>
    <w:rsid w:val="00CF4274"/>
    <w:rsid w:val="00CF5A27"/>
    <w:rsid w:val="00CF5CE8"/>
    <w:rsid w:val="00CF63FE"/>
    <w:rsid w:val="00CF666C"/>
    <w:rsid w:val="00CF6B8A"/>
    <w:rsid w:val="00D01E9D"/>
    <w:rsid w:val="00D02679"/>
    <w:rsid w:val="00D0278F"/>
    <w:rsid w:val="00D029B3"/>
    <w:rsid w:val="00D03164"/>
    <w:rsid w:val="00D038EC"/>
    <w:rsid w:val="00D03C98"/>
    <w:rsid w:val="00D03F0F"/>
    <w:rsid w:val="00D04964"/>
    <w:rsid w:val="00D04F3A"/>
    <w:rsid w:val="00D072A9"/>
    <w:rsid w:val="00D078B9"/>
    <w:rsid w:val="00D1484A"/>
    <w:rsid w:val="00D148FE"/>
    <w:rsid w:val="00D20BA9"/>
    <w:rsid w:val="00D22722"/>
    <w:rsid w:val="00D22BFC"/>
    <w:rsid w:val="00D22D6A"/>
    <w:rsid w:val="00D24C85"/>
    <w:rsid w:val="00D25461"/>
    <w:rsid w:val="00D30343"/>
    <w:rsid w:val="00D31166"/>
    <w:rsid w:val="00D31480"/>
    <w:rsid w:val="00D325EC"/>
    <w:rsid w:val="00D34B81"/>
    <w:rsid w:val="00D36137"/>
    <w:rsid w:val="00D3650D"/>
    <w:rsid w:val="00D3695A"/>
    <w:rsid w:val="00D36CBD"/>
    <w:rsid w:val="00D3714D"/>
    <w:rsid w:val="00D377A4"/>
    <w:rsid w:val="00D37EF8"/>
    <w:rsid w:val="00D40A47"/>
    <w:rsid w:val="00D413C2"/>
    <w:rsid w:val="00D413F8"/>
    <w:rsid w:val="00D42A9D"/>
    <w:rsid w:val="00D44649"/>
    <w:rsid w:val="00D44971"/>
    <w:rsid w:val="00D44E28"/>
    <w:rsid w:val="00D464E1"/>
    <w:rsid w:val="00D465D5"/>
    <w:rsid w:val="00D467A8"/>
    <w:rsid w:val="00D477E7"/>
    <w:rsid w:val="00D501BC"/>
    <w:rsid w:val="00D5040E"/>
    <w:rsid w:val="00D50A07"/>
    <w:rsid w:val="00D5240C"/>
    <w:rsid w:val="00D54945"/>
    <w:rsid w:val="00D55969"/>
    <w:rsid w:val="00D567AB"/>
    <w:rsid w:val="00D571C6"/>
    <w:rsid w:val="00D5786C"/>
    <w:rsid w:val="00D57C94"/>
    <w:rsid w:val="00D57F60"/>
    <w:rsid w:val="00D6175A"/>
    <w:rsid w:val="00D61DD3"/>
    <w:rsid w:val="00D6213A"/>
    <w:rsid w:val="00D62169"/>
    <w:rsid w:val="00D62DD0"/>
    <w:rsid w:val="00D63AB3"/>
    <w:rsid w:val="00D644B7"/>
    <w:rsid w:val="00D647F2"/>
    <w:rsid w:val="00D64918"/>
    <w:rsid w:val="00D651FB"/>
    <w:rsid w:val="00D66022"/>
    <w:rsid w:val="00D6636B"/>
    <w:rsid w:val="00D67161"/>
    <w:rsid w:val="00D67485"/>
    <w:rsid w:val="00D7058E"/>
    <w:rsid w:val="00D708F8"/>
    <w:rsid w:val="00D70994"/>
    <w:rsid w:val="00D70A1E"/>
    <w:rsid w:val="00D70F48"/>
    <w:rsid w:val="00D71FDD"/>
    <w:rsid w:val="00D74F6D"/>
    <w:rsid w:val="00D75AA6"/>
    <w:rsid w:val="00D76538"/>
    <w:rsid w:val="00D76D32"/>
    <w:rsid w:val="00D770CE"/>
    <w:rsid w:val="00D80300"/>
    <w:rsid w:val="00D822BB"/>
    <w:rsid w:val="00D8327E"/>
    <w:rsid w:val="00D839AA"/>
    <w:rsid w:val="00D848EE"/>
    <w:rsid w:val="00D851AB"/>
    <w:rsid w:val="00D8538D"/>
    <w:rsid w:val="00D86638"/>
    <w:rsid w:val="00D92313"/>
    <w:rsid w:val="00D928C8"/>
    <w:rsid w:val="00D93550"/>
    <w:rsid w:val="00D93A8B"/>
    <w:rsid w:val="00D9587F"/>
    <w:rsid w:val="00D961EB"/>
    <w:rsid w:val="00D96764"/>
    <w:rsid w:val="00D976F9"/>
    <w:rsid w:val="00DA23B0"/>
    <w:rsid w:val="00DA394E"/>
    <w:rsid w:val="00DA3959"/>
    <w:rsid w:val="00DA5A96"/>
    <w:rsid w:val="00DA6A84"/>
    <w:rsid w:val="00DA7AE9"/>
    <w:rsid w:val="00DB12EF"/>
    <w:rsid w:val="00DB45D8"/>
    <w:rsid w:val="00DB5054"/>
    <w:rsid w:val="00DB663A"/>
    <w:rsid w:val="00DC072B"/>
    <w:rsid w:val="00DC1920"/>
    <w:rsid w:val="00DC79F9"/>
    <w:rsid w:val="00DD00AF"/>
    <w:rsid w:val="00DD1434"/>
    <w:rsid w:val="00DD1D52"/>
    <w:rsid w:val="00DD257B"/>
    <w:rsid w:val="00DD2ED8"/>
    <w:rsid w:val="00DD46A0"/>
    <w:rsid w:val="00DD577F"/>
    <w:rsid w:val="00DE2554"/>
    <w:rsid w:val="00DE61F3"/>
    <w:rsid w:val="00DE7623"/>
    <w:rsid w:val="00DF14A6"/>
    <w:rsid w:val="00DF482B"/>
    <w:rsid w:val="00DF543F"/>
    <w:rsid w:val="00DF57C7"/>
    <w:rsid w:val="00DF5EBC"/>
    <w:rsid w:val="00DF67C7"/>
    <w:rsid w:val="00DF6838"/>
    <w:rsid w:val="00DF7314"/>
    <w:rsid w:val="00E040D5"/>
    <w:rsid w:val="00E04D6B"/>
    <w:rsid w:val="00E13679"/>
    <w:rsid w:val="00E14E12"/>
    <w:rsid w:val="00E16DF8"/>
    <w:rsid w:val="00E171BC"/>
    <w:rsid w:val="00E2212C"/>
    <w:rsid w:val="00E2217E"/>
    <w:rsid w:val="00E2264B"/>
    <w:rsid w:val="00E2306A"/>
    <w:rsid w:val="00E23394"/>
    <w:rsid w:val="00E23CA2"/>
    <w:rsid w:val="00E2431F"/>
    <w:rsid w:val="00E24CD9"/>
    <w:rsid w:val="00E24F81"/>
    <w:rsid w:val="00E2557A"/>
    <w:rsid w:val="00E2559D"/>
    <w:rsid w:val="00E260D7"/>
    <w:rsid w:val="00E261F7"/>
    <w:rsid w:val="00E26E3C"/>
    <w:rsid w:val="00E27261"/>
    <w:rsid w:val="00E274D8"/>
    <w:rsid w:val="00E342CC"/>
    <w:rsid w:val="00E36C66"/>
    <w:rsid w:val="00E36DC4"/>
    <w:rsid w:val="00E37950"/>
    <w:rsid w:val="00E37A8F"/>
    <w:rsid w:val="00E37D74"/>
    <w:rsid w:val="00E4039F"/>
    <w:rsid w:val="00E40C93"/>
    <w:rsid w:val="00E4247E"/>
    <w:rsid w:val="00E42B68"/>
    <w:rsid w:val="00E42E00"/>
    <w:rsid w:val="00E43703"/>
    <w:rsid w:val="00E43C26"/>
    <w:rsid w:val="00E43FA8"/>
    <w:rsid w:val="00E44639"/>
    <w:rsid w:val="00E45DC1"/>
    <w:rsid w:val="00E46AEC"/>
    <w:rsid w:val="00E46B99"/>
    <w:rsid w:val="00E46CEA"/>
    <w:rsid w:val="00E4702E"/>
    <w:rsid w:val="00E474F0"/>
    <w:rsid w:val="00E47A9A"/>
    <w:rsid w:val="00E50993"/>
    <w:rsid w:val="00E50A6B"/>
    <w:rsid w:val="00E516F3"/>
    <w:rsid w:val="00E52311"/>
    <w:rsid w:val="00E528F7"/>
    <w:rsid w:val="00E528F9"/>
    <w:rsid w:val="00E536DC"/>
    <w:rsid w:val="00E55684"/>
    <w:rsid w:val="00E602D0"/>
    <w:rsid w:val="00E603C8"/>
    <w:rsid w:val="00E61348"/>
    <w:rsid w:val="00E64DB8"/>
    <w:rsid w:val="00E64EB9"/>
    <w:rsid w:val="00E64F4D"/>
    <w:rsid w:val="00E6613F"/>
    <w:rsid w:val="00E66555"/>
    <w:rsid w:val="00E6698E"/>
    <w:rsid w:val="00E6770F"/>
    <w:rsid w:val="00E70CF0"/>
    <w:rsid w:val="00E71440"/>
    <w:rsid w:val="00E72196"/>
    <w:rsid w:val="00E72615"/>
    <w:rsid w:val="00E73654"/>
    <w:rsid w:val="00E736EF"/>
    <w:rsid w:val="00E742A9"/>
    <w:rsid w:val="00E742C0"/>
    <w:rsid w:val="00E753C8"/>
    <w:rsid w:val="00E75858"/>
    <w:rsid w:val="00E75EC5"/>
    <w:rsid w:val="00E75ECD"/>
    <w:rsid w:val="00E76F05"/>
    <w:rsid w:val="00E82192"/>
    <w:rsid w:val="00E82D66"/>
    <w:rsid w:val="00E848E3"/>
    <w:rsid w:val="00E86A90"/>
    <w:rsid w:val="00E87E60"/>
    <w:rsid w:val="00E9112A"/>
    <w:rsid w:val="00E933EB"/>
    <w:rsid w:val="00E93558"/>
    <w:rsid w:val="00E94C91"/>
    <w:rsid w:val="00E94F8C"/>
    <w:rsid w:val="00E95F9A"/>
    <w:rsid w:val="00E97314"/>
    <w:rsid w:val="00E976A2"/>
    <w:rsid w:val="00E97CBF"/>
    <w:rsid w:val="00EA0EFF"/>
    <w:rsid w:val="00EA2DEB"/>
    <w:rsid w:val="00EA4ED3"/>
    <w:rsid w:val="00EA58FE"/>
    <w:rsid w:val="00EA63F2"/>
    <w:rsid w:val="00EA6897"/>
    <w:rsid w:val="00EA6A36"/>
    <w:rsid w:val="00EA6EF0"/>
    <w:rsid w:val="00EA79E3"/>
    <w:rsid w:val="00EB0855"/>
    <w:rsid w:val="00EB0FF8"/>
    <w:rsid w:val="00EB1C37"/>
    <w:rsid w:val="00EB3490"/>
    <w:rsid w:val="00EB4F0F"/>
    <w:rsid w:val="00EC08F5"/>
    <w:rsid w:val="00EC1B0C"/>
    <w:rsid w:val="00EC2B2F"/>
    <w:rsid w:val="00EC41C3"/>
    <w:rsid w:val="00EC7CB1"/>
    <w:rsid w:val="00EC7DBC"/>
    <w:rsid w:val="00EC7F7D"/>
    <w:rsid w:val="00ED2780"/>
    <w:rsid w:val="00ED3258"/>
    <w:rsid w:val="00ED3491"/>
    <w:rsid w:val="00ED43DF"/>
    <w:rsid w:val="00ED4F2C"/>
    <w:rsid w:val="00ED61FF"/>
    <w:rsid w:val="00ED6446"/>
    <w:rsid w:val="00ED688E"/>
    <w:rsid w:val="00EE17DC"/>
    <w:rsid w:val="00EE18B8"/>
    <w:rsid w:val="00EE2870"/>
    <w:rsid w:val="00EE48CC"/>
    <w:rsid w:val="00EE617F"/>
    <w:rsid w:val="00EF0010"/>
    <w:rsid w:val="00EF008E"/>
    <w:rsid w:val="00EF1379"/>
    <w:rsid w:val="00EF14EE"/>
    <w:rsid w:val="00EF1834"/>
    <w:rsid w:val="00EF1A73"/>
    <w:rsid w:val="00EF1F20"/>
    <w:rsid w:val="00EF5461"/>
    <w:rsid w:val="00EF589B"/>
    <w:rsid w:val="00EF62C0"/>
    <w:rsid w:val="00EF66C8"/>
    <w:rsid w:val="00EF6BDF"/>
    <w:rsid w:val="00EF6CF6"/>
    <w:rsid w:val="00EF7D2D"/>
    <w:rsid w:val="00F02B3A"/>
    <w:rsid w:val="00F03302"/>
    <w:rsid w:val="00F03716"/>
    <w:rsid w:val="00F048C4"/>
    <w:rsid w:val="00F04A88"/>
    <w:rsid w:val="00F04BC9"/>
    <w:rsid w:val="00F051F3"/>
    <w:rsid w:val="00F0586B"/>
    <w:rsid w:val="00F10273"/>
    <w:rsid w:val="00F11B2B"/>
    <w:rsid w:val="00F13C1C"/>
    <w:rsid w:val="00F14BBD"/>
    <w:rsid w:val="00F151F3"/>
    <w:rsid w:val="00F179C0"/>
    <w:rsid w:val="00F205E9"/>
    <w:rsid w:val="00F20F1B"/>
    <w:rsid w:val="00F225BD"/>
    <w:rsid w:val="00F22E71"/>
    <w:rsid w:val="00F24605"/>
    <w:rsid w:val="00F253B2"/>
    <w:rsid w:val="00F25470"/>
    <w:rsid w:val="00F27237"/>
    <w:rsid w:val="00F277D7"/>
    <w:rsid w:val="00F2792C"/>
    <w:rsid w:val="00F27E28"/>
    <w:rsid w:val="00F307A2"/>
    <w:rsid w:val="00F3248D"/>
    <w:rsid w:val="00F32C8E"/>
    <w:rsid w:val="00F32D41"/>
    <w:rsid w:val="00F333DD"/>
    <w:rsid w:val="00F34226"/>
    <w:rsid w:val="00F34E7B"/>
    <w:rsid w:val="00F361C0"/>
    <w:rsid w:val="00F3628D"/>
    <w:rsid w:val="00F363E0"/>
    <w:rsid w:val="00F36E63"/>
    <w:rsid w:val="00F36E82"/>
    <w:rsid w:val="00F376E4"/>
    <w:rsid w:val="00F404DF"/>
    <w:rsid w:val="00F417FC"/>
    <w:rsid w:val="00F42310"/>
    <w:rsid w:val="00F424B0"/>
    <w:rsid w:val="00F436D8"/>
    <w:rsid w:val="00F43F3B"/>
    <w:rsid w:val="00F44A8F"/>
    <w:rsid w:val="00F546BC"/>
    <w:rsid w:val="00F56A37"/>
    <w:rsid w:val="00F60507"/>
    <w:rsid w:val="00F60736"/>
    <w:rsid w:val="00F61C69"/>
    <w:rsid w:val="00F62F17"/>
    <w:rsid w:val="00F63839"/>
    <w:rsid w:val="00F6459B"/>
    <w:rsid w:val="00F66712"/>
    <w:rsid w:val="00F66850"/>
    <w:rsid w:val="00F66FF2"/>
    <w:rsid w:val="00F67FB8"/>
    <w:rsid w:val="00F70A8F"/>
    <w:rsid w:val="00F7139A"/>
    <w:rsid w:val="00F71D53"/>
    <w:rsid w:val="00F72052"/>
    <w:rsid w:val="00F72263"/>
    <w:rsid w:val="00F74174"/>
    <w:rsid w:val="00F7477C"/>
    <w:rsid w:val="00F7497B"/>
    <w:rsid w:val="00F75079"/>
    <w:rsid w:val="00F750FA"/>
    <w:rsid w:val="00F76A99"/>
    <w:rsid w:val="00F77FAF"/>
    <w:rsid w:val="00F80395"/>
    <w:rsid w:val="00F81F49"/>
    <w:rsid w:val="00F8456D"/>
    <w:rsid w:val="00F8588F"/>
    <w:rsid w:val="00F86BB9"/>
    <w:rsid w:val="00F8763E"/>
    <w:rsid w:val="00F90D02"/>
    <w:rsid w:val="00F92FD1"/>
    <w:rsid w:val="00F93467"/>
    <w:rsid w:val="00F94484"/>
    <w:rsid w:val="00F953DC"/>
    <w:rsid w:val="00F96716"/>
    <w:rsid w:val="00F97AF0"/>
    <w:rsid w:val="00F97E01"/>
    <w:rsid w:val="00FA0EAC"/>
    <w:rsid w:val="00FA1D86"/>
    <w:rsid w:val="00FA283E"/>
    <w:rsid w:val="00FA2FDA"/>
    <w:rsid w:val="00FA3F38"/>
    <w:rsid w:val="00FA5B2B"/>
    <w:rsid w:val="00FA62A0"/>
    <w:rsid w:val="00FA71AC"/>
    <w:rsid w:val="00FB02AC"/>
    <w:rsid w:val="00FB0F9F"/>
    <w:rsid w:val="00FB2D2D"/>
    <w:rsid w:val="00FB35E9"/>
    <w:rsid w:val="00FB4C93"/>
    <w:rsid w:val="00FB5FB0"/>
    <w:rsid w:val="00FB70B1"/>
    <w:rsid w:val="00FB745B"/>
    <w:rsid w:val="00FB7EF9"/>
    <w:rsid w:val="00FC013E"/>
    <w:rsid w:val="00FC2844"/>
    <w:rsid w:val="00FC293A"/>
    <w:rsid w:val="00FC3BE2"/>
    <w:rsid w:val="00FC4EEE"/>
    <w:rsid w:val="00FC7974"/>
    <w:rsid w:val="00FD0160"/>
    <w:rsid w:val="00FD0B0D"/>
    <w:rsid w:val="00FD1259"/>
    <w:rsid w:val="00FD23DE"/>
    <w:rsid w:val="00FD2C77"/>
    <w:rsid w:val="00FD35EB"/>
    <w:rsid w:val="00FD3700"/>
    <w:rsid w:val="00FD4516"/>
    <w:rsid w:val="00FD4C3E"/>
    <w:rsid w:val="00FD6064"/>
    <w:rsid w:val="00FD62C9"/>
    <w:rsid w:val="00FD6E1A"/>
    <w:rsid w:val="00FD75F3"/>
    <w:rsid w:val="00FD7F1A"/>
    <w:rsid w:val="00FE0A5A"/>
    <w:rsid w:val="00FE184D"/>
    <w:rsid w:val="00FE3845"/>
    <w:rsid w:val="00FE3C8B"/>
    <w:rsid w:val="00FE4D42"/>
    <w:rsid w:val="00FE5113"/>
    <w:rsid w:val="00FE5B60"/>
    <w:rsid w:val="00FE67AA"/>
    <w:rsid w:val="00FF0317"/>
    <w:rsid w:val="00FF0934"/>
    <w:rsid w:val="00FF1401"/>
    <w:rsid w:val="00FF2A82"/>
    <w:rsid w:val="00FF3086"/>
    <w:rsid w:val="00FF3D19"/>
    <w:rsid w:val="00FF5686"/>
    <w:rsid w:val="00FF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2"/>
    </o:shapelayout>
  </w:shapeDefaults>
  <w:decimalSymbol w:val="."/>
  <w:listSeparator w:val=","/>
  <w14:docId w14:val="149D5EEE"/>
  <w15:docId w15:val="{84CB119D-E443-4BDB-8B83-9CC2562C5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1C1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261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8FD5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19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05111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05111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5261C1"/>
    <w:rPr>
      <w:rFonts w:asciiTheme="majorHAnsi" w:eastAsiaTheme="majorEastAsia" w:hAnsiTheme="majorHAnsi" w:cstheme="majorBidi"/>
      <w:color w:val="008FD5"/>
      <w:sz w:val="36"/>
      <w:szCs w:val="32"/>
    </w:rPr>
  </w:style>
  <w:style w:type="paragraph" w:styleId="ListParagraph">
    <w:name w:val="List Paragraph"/>
    <w:basedOn w:val="Normal"/>
    <w:uiPriority w:val="34"/>
    <w:qFormat/>
    <w:rsid w:val="0000511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1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C8E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171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C8E"/>
    <w:rPr>
      <w:sz w:val="24"/>
    </w:rPr>
  </w:style>
  <w:style w:type="character" w:styleId="IntenseEmphasis">
    <w:name w:val="Intense Emphasis"/>
    <w:basedOn w:val="DefaultParagraphFont"/>
    <w:uiPriority w:val="21"/>
    <w:qFormat/>
    <w:rsid w:val="00460436"/>
    <w:rPr>
      <w:i/>
      <w:iCs/>
      <w:color w:val="008FD5"/>
    </w:rPr>
  </w:style>
  <w:style w:type="character" w:styleId="Hyperlink">
    <w:name w:val="Hyperlink"/>
    <w:basedOn w:val="DefaultParagraphFont"/>
    <w:uiPriority w:val="99"/>
    <w:unhideWhenUsed/>
    <w:rsid w:val="00230D29"/>
    <w:rPr>
      <w:color w:val="0563C1" w:themeColor="hyperlink"/>
      <w:u w:val="single"/>
    </w:rPr>
  </w:style>
  <w:style w:type="paragraph" w:styleId="FootnoteText">
    <w:name w:val="footnote text"/>
    <w:aliases w:val="Footnote_mpi"/>
    <w:basedOn w:val="Normal"/>
    <w:link w:val="FootnoteTextChar"/>
    <w:uiPriority w:val="99"/>
    <w:unhideWhenUsed/>
    <w:qFormat/>
    <w:rsid w:val="00D644B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Footnote_mpi Char1"/>
    <w:basedOn w:val="DefaultParagraphFont"/>
    <w:link w:val="FootnoteText"/>
    <w:uiPriority w:val="99"/>
    <w:semiHidden/>
    <w:rsid w:val="00D644B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D644B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14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4E7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02D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709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709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709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09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09B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773B5B"/>
    <w:pPr>
      <w:spacing w:after="0" w:line="240" w:lineRule="auto"/>
    </w:pPr>
    <w:rPr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C6211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C6211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C6211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CE6CB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5D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8C0F5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-Accent1">
    <w:name w:val="Grid Table 3 Accent 1"/>
    <w:basedOn w:val="TableNormal"/>
    <w:uiPriority w:val="48"/>
    <w:rsid w:val="00617E5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11191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H2-NoTOCmpi">
    <w:name w:val="H2 - No TOC_mpi"/>
    <w:link w:val="H2-NoTOCmpiChar"/>
    <w:qFormat/>
    <w:rsid w:val="004D1BCA"/>
    <w:pPr>
      <w:pBdr>
        <w:bottom w:val="single" w:sz="4" w:space="1" w:color="auto"/>
      </w:pBdr>
    </w:pPr>
    <w:rPr>
      <w:rFonts w:ascii="Times New Roman" w:eastAsia="Times New Roman" w:hAnsi="Times New Roman" w:cs="Times New Roman"/>
      <w:snapToGrid w:val="0"/>
      <w:spacing w:val="15"/>
      <w:sz w:val="24"/>
      <w:szCs w:val="24"/>
    </w:rPr>
  </w:style>
  <w:style w:type="character" w:customStyle="1" w:styleId="H2-NoTOCmpiChar">
    <w:name w:val="H2 - No TOC_mpi Char"/>
    <w:basedOn w:val="DefaultParagraphFont"/>
    <w:link w:val="H2-NoTOCmpi"/>
    <w:rsid w:val="004D1BCA"/>
    <w:rPr>
      <w:rFonts w:ascii="Times New Roman" w:eastAsia="Times New Roman" w:hAnsi="Times New Roman" w:cs="Times New Roman"/>
      <w:snapToGrid w:val="0"/>
      <w:spacing w:val="15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11626"/>
    <w:rPr>
      <w:color w:val="605E5C"/>
      <w:shd w:val="clear" w:color="auto" w:fill="E1DFDD"/>
    </w:rPr>
  </w:style>
  <w:style w:type="character" w:customStyle="1" w:styleId="FootnoteTextChar1">
    <w:name w:val="Footnote Text Char1"/>
    <w:aliases w:val="Footnote_mpi Char"/>
    <w:uiPriority w:val="99"/>
    <w:rsid w:val="006859BA"/>
    <w:rPr>
      <w:rFonts w:ascii="Times New Roman" w:eastAsia="Times New Roman" w:hAnsi="Times New Roman" w:cs="Times New Roman"/>
      <w:sz w:val="2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6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8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69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28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30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58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6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01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0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24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7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26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29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6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54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52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4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86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1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23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8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3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8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2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67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6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8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046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emf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40" Type="http://schemas.openxmlformats.org/officeDocument/2006/relationships/image" Target="media/image32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emf"/><Relationship Id="rId46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openxmlformats.org/officeDocument/2006/relationships/image" Target="media/image33.jpeg"/></Relationships>
</file>

<file path=word/_rels/footnotes.xml.rels><?xml version="1.0" encoding="UTF-8" standalone="yes"?>
<Relationships xmlns="http://schemas.openxmlformats.org/package/2006/relationships"><Relationship Id="rId13" Type="http://schemas.openxmlformats.org/officeDocument/2006/relationships/hyperlink" Target="https://fred.stlouisfed.org/series/DFEDTARU" TargetMode="External"/><Relationship Id="rId18" Type="http://schemas.openxmlformats.org/officeDocument/2006/relationships/hyperlink" Target="https://fred.stlouisfed.org/series/CLF16OV" TargetMode="External"/><Relationship Id="rId26" Type="http://schemas.openxmlformats.org/officeDocument/2006/relationships/hyperlink" Target="https://fred.stlouisfed.org/series/APU000074714" TargetMode="External"/><Relationship Id="rId39" Type="http://schemas.openxmlformats.org/officeDocument/2006/relationships/hyperlink" Target="https://fred.stlouisfed.org/series/PCECTPICTM" TargetMode="External"/><Relationship Id="rId21" Type="http://schemas.openxmlformats.org/officeDocument/2006/relationships/hyperlink" Target="https://fred.stlouisfed.org/series/JTSJOL" TargetMode="External"/><Relationship Id="rId34" Type="http://schemas.openxmlformats.org/officeDocument/2006/relationships/hyperlink" Target="https://fred.stlouisfed.org/series/CUUR0000SETA01" TargetMode="External"/><Relationship Id="rId7" Type="http://schemas.openxmlformats.org/officeDocument/2006/relationships/hyperlink" Target="https://fred.stlouisfed.org/series/A006RY2Q224SBEA" TargetMode="External"/><Relationship Id="rId12" Type="http://schemas.openxmlformats.org/officeDocument/2006/relationships/hyperlink" Target="https://fred.stlouisfed.org/release/tables?rid=18&amp;eid=289&amp;od=2023-03-31" TargetMode="External"/><Relationship Id="rId17" Type="http://schemas.openxmlformats.org/officeDocument/2006/relationships/hyperlink" Target="https://fred.stlouisfed.org/series/UNRATE" TargetMode="External"/><Relationship Id="rId25" Type="http://schemas.openxmlformats.org/officeDocument/2006/relationships/hyperlink" Target="https://fred.stlouisfed.org/series/CPILEGSL" TargetMode="External"/><Relationship Id="rId33" Type="http://schemas.openxmlformats.org/officeDocument/2006/relationships/hyperlink" Target="https://fred.stlouisfed.org/series/PCE" TargetMode="External"/><Relationship Id="rId38" Type="http://schemas.openxmlformats.org/officeDocument/2006/relationships/hyperlink" Target="https://fred.stlouisfed.org/series/GDPC1CTM" TargetMode="External"/><Relationship Id="rId2" Type="http://schemas.openxmlformats.org/officeDocument/2006/relationships/hyperlink" Target="https://fred.stlouisfed.org/series/DTWEXBGS" TargetMode="External"/><Relationship Id="rId16" Type="http://schemas.openxmlformats.org/officeDocument/2006/relationships/hyperlink" Target="https://fred.stlouisfed.org/series/DAAA" TargetMode="External"/><Relationship Id="rId20" Type="http://schemas.openxmlformats.org/officeDocument/2006/relationships/hyperlink" Target="https://fred.stlouisfed.org/series/JTSQUL" TargetMode="External"/><Relationship Id="rId29" Type="http://schemas.openxmlformats.org/officeDocument/2006/relationships/hyperlink" Target="https://fred.stlouisfed.org/series/DCOILWTICO" TargetMode="External"/><Relationship Id="rId1" Type="http://schemas.openxmlformats.org/officeDocument/2006/relationships/hyperlink" Target="https://fred.stlouisfed.org/series/USPHCI" TargetMode="External"/><Relationship Id="rId6" Type="http://schemas.openxmlformats.org/officeDocument/2006/relationships/hyperlink" Target="https://fred.stlouisfed.org/series/A019RY2Q224SBEA" TargetMode="External"/><Relationship Id="rId11" Type="http://schemas.openxmlformats.org/officeDocument/2006/relationships/hyperlink" Target="https://fred.stlouisfed.org/series/FEDFUNDS" TargetMode="External"/><Relationship Id="rId24" Type="http://schemas.openxmlformats.org/officeDocument/2006/relationships/hyperlink" Target="https://fred.stlouisfed.org/series/CPIAUCSL" TargetMode="External"/><Relationship Id="rId32" Type="http://schemas.openxmlformats.org/officeDocument/2006/relationships/hyperlink" Target="https://fred.stlouisfed.org/series/SPCS20RSA" TargetMode="External"/><Relationship Id="rId37" Type="http://schemas.openxmlformats.org/officeDocument/2006/relationships/hyperlink" Target="https://fred.stlouisfed.org/series/VIXCLS" TargetMode="External"/><Relationship Id="rId40" Type="http://schemas.openxmlformats.org/officeDocument/2006/relationships/hyperlink" Target="https://fred.stlouisfed.org/series/UNRATECTM" TargetMode="External"/><Relationship Id="rId5" Type="http://schemas.openxmlformats.org/officeDocument/2006/relationships/hyperlink" Target="https://fred.stlouisfed.org/series/A822RY2Q224SBEA" TargetMode="External"/><Relationship Id="rId15" Type="http://schemas.openxmlformats.org/officeDocument/2006/relationships/hyperlink" Target="https://fred.stlouisfed.org/series/DBAA" TargetMode="External"/><Relationship Id="rId23" Type="http://schemas.openxmlformats.org/officeDocument/2006/relationships/hyperlink" Target="https://fred.stlouisfed.org/series/PAYEMS" TargetMode="External"/><Relationship Id="rId28" Type="http://schemas.openxmlformats.org/officeDocument/2006/relationships/hyperlink" Target="https://fred.stlouisfed.org/series/T5YIE" TargetMode="External"/><Relationship Id="rId36" Type="http://schemas.openxmlformats.org/officeDocument/2006/relationships/hyperlink" Target="https://fred.stlouisfed.org/series/UMCSENT" TargetMode="External"/><Relationship Id="rId10" Type="http://schemas.openxmlformats.org/officeDocument/2006/relationships/hyperlink" Target="https://fred.stlouisfed.org/series/MCUMFN" TargetMode="External"/><Relationship Id="rId19" Type="http://schemas.openxmlformats.org/officeDocument/2006/relationships/hyperlink" Target="https://fred.stlouisfed.org/series/CIVPART" TargetMode="External"/><Relationship Id="rId31" Type="http://schemas.openxmlformats.org/officeDocument/2006/relationships/hyperlink" Target="https://fred.stlouisfed.org/series/MORTGAGE30US" TargetMode="External"/><Relationship Id="rId4" Type="http://schemas.openxmlformats.org/officeDocument/2006/relationships/hyperlink" Target="https://fred.stlouisfed.org/series/DPCERY2Q224SBEA" TargetMode="External"/><Relationship Id="rId9" Type="http://schemas.openxmlformats.org/officeDocument/2006/relationships/hyperlink" Target="https://fred.stlouisfed.org/series/INDPRO" TargetMode="External"/><Relationship Id="rId14" Type="http://schemas.openxmlformats.org/officeDocument/2006/relationships/hyperlink" Target="https://fred.stlouisfed.org/series/DGS10" TargetMode="External"/><Relationship Id="rId22" Type="http://schemas.openxmlformats.org/officeDocument/2006/relationships/hyperlink" Target="https://fred.stlouisfed.org/series/U6RATE" TargetMode="External"/><Relationship Id="rId27" Type="http://schemas.openxmlformats.org/officeDocument/2006/relationships/hyperlink" Target="https://fred.stlouisfed.org/series/PPIACO" TargetMode="External"/><Relationship Id="rId30" Type="http://schemas.openxmlformats.org/officeDocument/2006/relationships/hyperlink" Target="https://fred.stlouisfed.org/series/HOUST" TargetMode="External"/><Relationship Id="rId35" Type="http://schemas.openxmlformats.org/officeDocument/2006/relationships/hyperlink" Target="https://fred.stlouisfed.org/series/CUSR0000SETA02" TargetMode="External"/><Relationship Id="rId8" Type="http://schemas.openxmlformats.org/officeDocument/2006/relationships/hyperlink" Target="https://www.philadelphiafed.org/-/media/frbp/assets/surveys-and-data/livingston-survey/2022/livdec22.pdf" TargetMode="External"/><Relationship Id="rId3" Type="http://schemas.openxmlformats.org/officeDocument/2006/relationships/hyperlink" Target="https://fred.stlouisfed.org/series/GDPC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Designed for business valuation professionals, TagniFi’s Quarterly Economic Update provides timely economic data to satisfy Revenue Ruling 59-60.  </Abstract>
  <CompanyAddress/>
  <CompanyPhone/>
  <CompanyFax/>
  <CompanyEmail>www.tagnifi.com</CompanyEmail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77EA666-4F3A-4F08-99D0-E705A40D0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3008</Words>
  <Characters>17147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Quarterly Economic Update</vt:lpstr>
    </vt:vector>
  </TitlesOfParts>
  <Company/>
  <LinksUpToDate>false</LinksUpToDate>
  <CharactersWithSpaces>20115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Quarterly Economic Update</dc:title>
  <dc:subject>For the 1st Quarter of 2020</dc:subject>
  <dc:creator>Office 365</dc:creator>
  <cp:keywords/>
  <dc:description/>
  <cp:lastModifiedBy>Chad Sandstedt</cp:lastModifiedBy>
  <cp:revision>2</cp:revision>
  <cp:lastPrinted>2023-05-12T16:33:00Z</cp:lastPrinted>
  <dcterms:created xsi:type="dcterms:W3CDTF">2023-05-12T20:05:00Z</dcterms:created>
  <dcterms:modified xsi:type="dcterms:W3CDTF">2023-05-12T20:05:00Z</dcterms:modified>
</cp:coreProperties>
</file>