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25127297"/>
        <w:docPartObj>
          <w:docPartGallery w:val="Cover Pages"/>
          <w:docPartUnique/>
        </w:docPartObj>
      </w:sdtPr>
      <w:sdtEndPr/>
      <w:sdtContent>
        <w:p w14:paraId="2ABEC867" w14:textId="1B3017D2" w:rsidR="000F1648" w:rsidRPr="00B76A73" w:rsidRDefault="008B2769" w:rsidP="002E6FDE">
          <w:pPr>
            <w:jc w:val="right"/>
          </w:pPr>
          <w:r w:rsidRPr="00B76A73">
            <w:rPr>
              <w:noProof/>
            </w:rPr>
            <w:drawing>
              <wp:inline distT="0" distB="0" distL="0" distR="0" wp14:anchorId="44435E8E" wp14:editId="4A515C24">
                <wp:extent cx="1743075" cy="275242"/>
                <wp:effectExtent l="0" t="0" r="0" b="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gniFi Large Logo BlackFla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0997" cy="289125"/>
                        </a:xfrm>
                        <a:prstGeom prst="rect">
                          <a:avLst/>
                        </a:prstGeom>
                      </pic:spPr>
                    </pic:pic>
                  </a:graphicData>
                </a:graphic>
              </wp:inline>
            </w:drawing>
          </w:r>
        </w:p>
        <w:p w14:paraId="1F0E9DD8" w14:textId="6A3F039C" w:rsidR="006663D0" w:rsidRPr="00B76A73" w:rsidRDefault="006663D0" w:rsidP="002E6FDE">
          <w:pPr>
            <w:jc w:val="right"/>
          </w:pPr>
        </w:p>
        <w:p w14:paraId="61E7189B" w14:textId="5A4E226B" w:rsidR="006663D0" w:rsidRPr="00B76A73" w:rsidRDefault="00361E70" w:rsidP="00696388">
          <w:pPr>
            <w:jc w:val="right"/>
          </w:pPr>
          <w:r w:rsidRPr="00B76A73">
            <w:rPr>
              <w:noProof/>
            </w:rPr>
            <w:drawing>
              <wp:inline distT="0" distB="0" distL="0" distR="0" wp14:anchorId="525F52FA" wp14:editId="74E4F75B">
                <wp:extent cx="4324350" cy="4697139"/>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1667" t="3363" r="2564" b="5829"/>
                        <a:stretch/>
                      </pic:blipFill>
                      <pic:spPr bwMode="auto">
                        <a:xfrm>
                          <a:off x="0" y="0"/>
                          <a:ext cx="4326477" cy="4699449"/>
                        </a:xfrm>
                        <a:prstGeom prst="rect">
                          <a:avLst/>
                        </a:prstGeom>
                        <a:noFill/>
                        <a:ln>
                          <a:noFill/>
                        </a:ln>
                        <a:extLst>
                          <a:ext uri="{53640926-AAD7-44D8-BBD7-CCE9431645EC}">
                            <a14:shadowObscured xmlns:a14="http://schemas.microsoft.com/office/drawing/2010/main"/>
                          </a:ext>
                        </a:extLst>
                      </pic:spPr>
                    </pic:pic>
                  </a:graphicData>
                </a:graphic>
              </wp:inline>
            </w:drawing>
          </w:r>
          <w:r w:rsidR="00987AB7" w:rsidRPr="00B76A73">
            <w:br/>
          </w:r>
        </w:p>
        <w:p w14:paraId="149D5EEE" w14:textId="3BE1B0C0" w:rsidR="00005111" w:rsidRPr="00B76A73" w:rsidRDefault="006663D0" w:rsidP="002E6FDE">
          <w:pPr>
            <w:jc w:val="right"/>
            <w:rPr>
              <w:color w:val="008FD5"/>
              <w:sz w:val="64"/>
              <w:szCs w:val="64"/>
            </w:rPr>
          </w:pPr>
          <w:r w:rsidRPr="00B76A73">
            <w:rPr>
              <w:color w:val="008FD5"/>
              <w:sz w:val="64"/>
              <w:szCs w:val="64"/>
            </w:rPr>
            <w:t>QUARTERLY ECONOMIC UPDATE</w:t>
          </w:r>
        </w:p>
        <w:p w14:paraId="7ADB2944" w14:textId="2565C79E" w:rsidR="006663D0" w:rsidRPr="00B76A73" w:rsidRDefault="006663D0" w:rsidP="002E6FDE">
          <w:pPr>
            <w:jc w:val="right"/>
            <w:rPr>
              <w:sz w:val="36"/>
              <w:szCs w:val="36"/>
            </w:rPr>
          </w:pPr>
          <w:r w:rsidRPr="00B76A73">
            <w:rPr>
              <w:sz w:val="36"/>
              <w:szCs w:val="36"/>
            </w:rPr>
            <w:t xml:space="preserve">For the </w:t>
          </w:r>
          <w:r w:rsidR="003218DD">
            <w:rPr>
              <w:sz w:val="36"/>
              <w:szCs w:val="36"/>
            </w:rPr>
            <w:t>2</w:t>
          </w:r>
          <w:r w:rsidR="003218DD" w:rsidRPr="003218DD">
            <w:rPr>
              <w:sz w:val="36"/>
              <w:szCs w:val="36"/>
              <w:vertAlign w:val="superscript"/>
            </w:rPr>
            <w:t>nd</w:t>
          </w:r>
          <w:r w:rsidR="003218DD">
            <w:rPr>
              <w:sz w:val="36"/>
              <w:szCs w:val="36"/>
            </w:rPr>
            <w:t xml:space="preserve"> </w:t>
          </w:r>
          <w:r w:rsidR="00795ECE" w:rsidRPr="00B76A73">
            <w:rPr>
              <w:sz w:val="36"/>
              <w:szCs w:val="36"/>
            </w:rPr>
            <w:t>Quarter of 202</w:t>
          </w:r>
          <w:r w:rsidR="00056DC1">
            <w:rPr>
              <w:sz w:val="36"/>
              <w:szCs w:val="36"/>
            </w:rPr>
            <w:t>3</w:t>
          </w:r>
        </w:p>
        <w:p w14:paraId="45CA5FB6" w14:textId="7FC6A9D9" w:rsidR="006663D0" w:rsidRPr="00B76A73" w:rsidRDefault="006663D0" w:rsidP="002E6FDE">
          <w:pPr>
            <w:jc w:val="right"/>
            <w:rPr>
              <w:sz w:val="36"/>
              <w:szCs w:val="36"/>
            </w:rPr>
          </w:pPr>
        </w:p>
        <w:p w14:paraId="036ED6C8" w14:textId="5EC9A59D" w:rsidR="006663D0" w:rsidRPr="00B76A73" w:rsidRDefault="006663D0" w:rsidP="002E6FDE">
          <w:pPr>
            <w:jc w:val="right"/>
            <w:rPr>
              <w:color w:val="008FD5"/>
              <w:sz w:val="28"/>
              <w:szCs w:val="28"/>
            </w:rPr>
          </w:pPr>
          <w:r w:rsidRPr="00B76A73">
            <w:rPr>
              <w:color w:val="008FD5"/>
              <w:sz w:val="28"/>
              <w:szCs w:val="28"/>
            </w:rPr>
            <w:t>Abstract</w:t>
          </w:r>
        </w:p>
        <w:p w14:paraId="78E365CD" w14:textId="1DCB5F6C" w:rsidR="006663D0" w:rsidRPr="00B76A73" w:rsidRDefault="006663D0" w:rsidP="006663D0">
          <w:pPr>
            <w:jc w:val="right"/>
            <w:rPr>
              <w:sz w:val="20"/>
              <w:szCs w:val="20"/>
            </w:rPr>
          </w:pPr>
          <w:r w:rsidRPr="00B76A73">
            <w:rPr>
              <w:sz w:val="20"/>
              <w:szCs w:val="20"/>
            </w:rPr>
            <w:t xml:space="preserve">Designed for business valuation professionals, </w:t>
          </w:r>
          <w:proofErr w:type="spellStart"/>
          <w:r w:rsidRPr="00B76A73">
            <w:rPr>
              <w:sz w:val="20"/>
              <w:szCs w:val="20"/>
            </w:rPr>
            <w:t>TagniFi’s</w:t>
          </w:r>
          <w:proofErr w:type="spellEnd"/>
          <w:r w:rsidRPr="00B76A73">
            <w:rPr>
              <w:sz w:val="20"/>
              <w:szCs w:val="20"/>
            </w:rPr>
            <w:t xml:space="preserve"> Quarterly Economic </w:t>
          </w:r>
          <w:r w:rsidRPr="00B76A73">
            <w:rPr>
              <w:sz w:val="20"/>
              <w:szCs w:val="20"/>
            </w:rPr>
            <w:br/>
            <w:t>Update provides timely economic data to satisfy Revenue Ruling 56-60.</w:t>
          </w:r>
        </w:p>
        <w:p w14:paraId="149D5EEF" w14:textId="0F932CBB" w:rsidR="00005111" w:rsidRPr="00B76A73" w:rsidRDefault="00005111" w:rsidP="000F1648">
          <w:pPr>
            <w:ind w:hanging="900"/>
          </w:pPr>
          <w:r w:rsidRPr="00B76A73">
            <w:br w:type="page"/>
          </w:r>
        </w:p>
      </w:sdtContent>
    </w:sdt>
    <w:p w14:paraId="149D5EF0" w14:textId="77777777" w:rsidR="00217AD5" w:rsidRPr="00B76A73" w:rsidRDefault="00005111" w:rsidP="00005111">
      <w:pPr>
        <w:pStyle w:val="Heading1"/>
      </w:pPr>
      <w:r w:rsidRPr="00B76A73">
        <w:lastRenderedPageBreak/>
        <w:t>Summary</w:t>
      </w:r>
    </w:p>
    <w:p w14:paraId="0325A4E4" w14:textId="6394649D" w:rsidR="00484D87" w:rsidRDefault="00B73CC4" w:rsidP="00B73CC4">
      <w:r w:rsidRPr="005979DD">
        <w:t xml:space="preserve">In the </w:t>
      </w:r>
      <w:r w:rsidR="005979DD" w:rsidRPr="005979DD">
        <w:t>2</w:t>
      </w:r>
      <w:r w:rsidR="005979DD" w:rsidRPr="005979DD">
        <w:rPr>
          <w:vertAlign w:val="superscript"/>
        </w:rPr>
        <w:t>nd</w:t>
      </w:r>
      <w:r w:rsidR="005979DD" w:rsidRPr="005979DD">
        <w:t xml:space="preserve"> </w:t>
      </w:r>
      <w:r w:rsidRPr="005979DD">
        <w:t>quarter of 202</w:t>
      </w:r>
      <w:r w:rsidR="00090A7B" w:rsidRPr="005979DD">
        <w:t>3</w:t>
      </w:r>
      <w:r w:rsidRPr="005979DD">
        <w:t xml:space="preserve">, </w:t>
      </w:r>
      <w:r w:rsidR="00777D25" w:rsidRPr="005979DD">
        <w:t xml:space="preserve">the </w:t>
      </w:r>
      <w:r w:rsidR="00090A7B" w:rsidRPr="005979DD">
        <w:t>U.S. econom</w:t>
      </w:r>
      <w:r w:rsidR="00777D25" w:rsidRPr="005979DD">
        <w:t xml:space="preserve">y </w:t>
      </w:r>
      <w:r w:rsidR="005979DD" w:rsidRPr="005979DD">
        <w:t xml:space="preserve">showed broad strength despite </w:t>
      </w:r>
      <w:r w:rsidR="00484D87">
        <w:t>widely held</w:t>
      </w:r>
      <w:r w:rsidR="005979DD">
        <w:t xml:space="preserve"> fears that high interest rates would tip the nation into recession</w:t>
      </w:r>
      <w:r w:rsidR="00777D25" w:rsidRPr="005979DD">
        <w:t xml:space="preserve">. </w:t>
      </w:r>
      <w:r w:rsidR="00484D87">
        <w:t>The yield curve remains inverted—a sign that bond markets are primed for recession—yet p</w:t>
      </w:r>
      <w:r w:rsidR="005979DD">
        <w:t xml:space="preserve">roduction and spending exceeded expectations, and the job market remained solid. </w:t>
      </w:r>
      <w:r w:rsidR="00484D87">
        <w:t xml:space="preserve">Consumer sentiment is also rising. </w:t>
      </w:r>
      <w:r w:rsidR="001D097E" w:rsidRPr="005979DD">
        <w:t>I</w:t>
      </w:r>
      <w:r w:rsidR="00F66712" w:rsidRPr="005979DD">
        <w:t xml:space="preserve">nflation </w:t>
      </w:r>
      <w:r w:rsidR="00777D25" w:rsidRPr="005979DD">
        <w:t xml:space="preserve">waned a bit further, due </w:t>
      </w:r>
      <w:r w:rsidR="005979DD">
        <w:t xml:space="preserve">in part </w:t>
      </w:r>
      <w:r w:rsidR="00777D25" w:rsidRPr="005979DD">
        <w:t xml:space="preserve">to falling </w:t>
      </w:r>
      <w:r w:rsidR="005979DD" w:rsidRPr="005979DD">
        <w:t xml:space="preserve">prices </w:t>
      </w:r>
      <w:r w:rsidR="006B48FA">
        <w:t>within the energy sector</w:t>
      </w:r>
      <w:r w:rsidR="00777D25" w:rsidRPr="005979DD">
        <w:t xml:space="preserve">. </w:t>
      </w:r>
      <w:r w:rsidR="00412532">
        <w:t xml:space="preserve">The promising economic data </w:t>
      </w:r>
      <w:r w:rsidR="00422961">
        <w:t>spurred the capital markets to build on their existing rally with another bullish quarter</w:t>
      </w:r>
      <w:r w:rsidR="00556560" w:rsidRPr="005979DD">
        <w:t xml:space="preserve">. </w:t>
      </w:r>
    </w:p>
    <w:p w14:paraId="743C5F03" w14:textId="3B3C5E5A" w:rsidR="00556560" w:rsidRPr="005979DD" w:rsidRDefault="00412532" w:rsidP="00B73CC4">
      <w:r>
        <w:t>Elevated</w:t>
      </w:r>
      <w:r w:rsidR="00422961">
        <w:t xml:space="preserve"> interest rates continue to pose a concern for the U.S. economy in the </w:t>
      </w:r>
      <w:r w:rsidR="00EB550A">
        <w:t>2</w:t>
      </w:r>
      <w:r w:rsidR="00EB550A" w:rsidRPr="00EB550A">
        <w:rPr>
          <w:vertAlign w:val="superscript"/>
        </w:rPr>
        <w:t>nd</w:t>
      </w:r>
      <w:r w:rsidR="00EB550A">
        <w:t xml:space="preserve"> </w:t>
      </w:r>
      <w:r w:rsidR="00422961">
        <w:t>quarter</w:t>
      </w:r>
      <w:r w:rsidR="00EB550A">
        <w:t xml:space="preserve"> of 2023</w:t>
      </w:r>
      <w:r w:rsidR="00422961">
        <w:t>, with target rates reaching a 17-year high</w:t>
      </w:r>
      <w:r w:rsidR="00EB550A">
        <w:t>.</w:t>
      </w:r>
      <w:r w:rsidR="00422961">
        <w:t xml:space="preserve"> </w:t>
      </w:r>
      <w:r w:rsidR="00556560" w:rsidRPr="005979DD">
        <w:t>The</w:t>
      </w:r>
      <w:r w:rsidR="00EB550A">
        <w:t xml:space="preserve"> resulting high mortgage rates, along with a dearth of inventory, have </w:t>
      </w:r>
      <w:r>
        <w:t>cooled</w:t>
      </w:r>
      <w:r w:rsidR="00EB550A">
        <w:t xml:space="preserve"> the once-hot </w:t>
      </w:r>
      <w:r w:rsidR="00556560" w:rsidRPr="005979DD">
        <w:t>housing market</w:t>
      </w:r>
      <w:r w:rsidR="00EB550A">
        <w:t>, affecting both sales and prices</w:t>
      </w:r>
      <w:r w:rsidR="00556560" w:rsidRPr="005979DD">
        <w:t>.</w:t>
      </w:r>
    </w:p>
    <w:p w14:paraId="57FEE3D9" w14:textId="63FA5526" w:rsidR="00556560" w:rsidRPr="005979DD" w:rsidRDefault="00EB550A" w:rsidP="00B73CC4">
      <w:r>
        <w:t>After</w:t>
      </w:r>
      <w:r w:rsidR="00777D25" w:rsidRPr="005979DD">
        <w:t xml:space="preserve"> </w:t>
      </w:r>
      <w:r>
        <w:t>10 consecutive rate hikes</w:t>
      </w:r>
      <w:r w:rsidR="00F66712" w:rsidRPr="005979DD">
        <w:t>, t</w:t>
      </w:r>
      <w:r w:rsidR="002366E1" w:rsidRPr="005979DD">
        <w:t>he Federal Reserve</w:t>
      </w:r>
      <w:r w:rsidR="00777D25" w:rsidRPr="005979DD">
        <w:t xml:space="preserve"> </w:t>
      </w:r>
      <w:r>
        <w:t>took the first pause in their anti-inflationary campaign in June</w:t>
      </w:r>
      <w:r w:rsidR="00354FA1" w:rsidRPr="005979DD">
        <w:t xml:space="preserve">. </w:t>
      </w:r>
      <w:r w:rsidR="0057783F">
        <w:t>While t</w:t>
      </w:r>
      <w:r w:rsidR="00354FA1" w:rsidRPr="005979DD">
        <w:t xml:space="preserve">he Fed indicated that </w:t>
      </w:r>
      <w:r w:rsidR="00412532">
        <w:t>careful</w:t>
      </w:r>
      <w:r w:rsidR="00354FA1" w:rsidRPr="005979DD">
        <w:t xml:space="preserve"> monitoring of economic conditions</w:t>
      </w:r>
      <w:r>
        <w:t xml:space="preserve"> was needed</w:t>
      </w:r>
      <w:r w:rsidR="00412532">
        <w:t xml:space="preserve"> before raising target rates further</w:t>
      </w:r>
      <w:r>
        <w:t xml:space="preserve">, </w:t>
      </w:r>
      <w:r w:rsidR="0057783F">
        <w:t>committee members revised their expectations of future target rates upward</w:t>
      </w:r>
      <w:r w:rsidR="00354FA1" w:rsidRPr="005979DD">
        <w:t>.</w:t>
      </w:r>
      <w:r w:rsidR="00556560" w:rsidRPr="005979DD">
        <w:t xml:space="preserve"> </w:t>
      </w:r>
    </w:p>
    <w:p w14:paraId="397EF885" w14:textId="58A19423" w:rsidR="00B73CC4" w:rsidRPr="005979DD" w:rsidRDefault="006F7760" w:rsidP="00B73CC4">
      <w:r>
        <w:t xml:space="preserve">Despite expecting further rate hikes, </w:t>
      </w:r>
      <w:r w:rsidR="0021341A" w:rsidRPr="005979DD">
        <w:t xml:space="preserve">FOMC members </w:t>
      </w:r>
      <w:r>
        <w:t>revised</w:t>
      </w:r>
      <w:r w:rsidR="0021341A" w:rsidRPr="005979DD">
        <w:t xml:space="preserve"> projections of economic growth </w:t>
      </w:r>
      <w:r>
        <w:t>upward to 0.95% in 2023</w:t>
      </w:r>
      <w:r w:rsidR="00BE4D4B" w:rsidRPr="005979DD">
        <w:t>.</w:t>
      </w:r>
      <w:r>
        <w:t xml:space="preserve"> Growth projections for future years were reined in slightly at 1.80% for 2025. Unemployment projections were lowered for both the near and longer terms, at 4.15% for 2023 and rising to 4.45% for the next two years.</w:t>
      </w:r>
    </w:p>
    <w:p w14:paraId="045703EE" w14:textId="7CB7E4ED" w:rsidR="00224BBF" w:rsidRPr="00B76A73" w:rsidRDefault="006F7760" w:rsidP="00224BBF">
      <w:r>
        <w:t xml:space="preserve">The </w:t>
      </w:r>
      <w:r w:rsidR="003836A8" w:rsidRPr="003836A8">
        <w:t>Federal COVID-19 Public Health Emergency</w:t>
      </w:r>
      <w:r w:rsidR="003836A8">
        <w:t xml:space="preserve"> ended on May 11, 2023, approximately three years and two months after its initial declaration</w:t>
      </w:r>
      <w:r w:rsidR="00224BBF" w:rsidRPr="005979DD">
        <w:t>.</w:t>
      </w:r>
      <w:r w:rsidR="003836A8">
        <w:t xml:space="preserve"> The CDC notes that as a nation, we have “</w:t>
      </w:r>
      <w:r w:rsidR="003836A8" w:rsidRPr="003836A8">
        <w:t>more tools and resources than ever before to better protect ourselves and our communities</w:t>
      </w:r>
      <w:r w:rsidR="003836A8">
        <w:t>.”</w:t>
      </w:r>
      <w:r w:rsidR="003836A8" w:rsidRPr="003836A8">
        <w:t xml:space="preserve"> </w:t>
      </w:r>
      <w:r w:rsidR="003836A8">
        <w:t>Indeed, a</w:t>
      </w:r>
      <w:r w:rsidR="003F469F" w:rsidRPr="005979DD">
        <w:t xml:space="preserve"> combination of vaccination and prior infection has allowed </w:t>
      </w:r>
      <w:r w:rsidR="002366E1" w:rsidRPr="005979DD">
        <w:t xml:space="preserve">many aspects of life and commerce to return </w:t>
      </w:r>
      <w:r w:rsidR="003836A8">
        <w:t>to pre-pandemic norms</w:t>
      </w:r>
      <w:r w:rsidR="00BB06C1" w:rsidRPr="005979DD">
        <w:t>.</w:t>
      </w:r>
    </w:p>
    <w:p w14:paraId="380DE2B2" w14:textId="0532050C" w:rsidR="00F03302" w:rsidRPr="00B76A73" w:rsidRDefault="00B36811" w:rsidP="001E26E8">
      <w:pPr>
        <w:spacing w:before="160"/>
        <w:rPr>
          <w:strike/>
        </w:rPr>
      </w:pPr>
      <w:r w:rsidRPr="00B76A73">
        <w:t>A multifactor indicator of economic strength, the</w:t>
      </w:r>
      <w:r w:rsidR="00A615E8" w:rsidRPr="00B76A73">
        <w:t xml:space="preserve"> Philadelphia Fed’s coincident index</w:t>
      </w:r>
      <w:r w:rsidR="00EC7CB1" w:rsidRPr="00B76A73">
        <w:rPr>
          <w:rStyle w:val="FootnoteReference"/>
        </w:rPr>
        <w:footnoteReference w:id="1"/>
      </w:r>
      <w:r w:rsidR="00A615E8" w:rsidRPr="00B76A73">
        <w:t xml:space="preserve"> of economic activity in the U.S. </w:t>
      </w:r>
      <w:r w:rsidR="003A390C" w:rsidRPr="00B76A73">
        <w:t xml:space="preserve">rose </w:t>
      </w:r>
      <w:r w:rsidR="00795ECE" w:rsidRPr="00B76A73">
        <w:t>0.</w:t>
      </w:r>
      <w:r w:rsidR="003F24A9">
        <w:t>3</w:t>
      </w:r>
      <w:r w:rsidR="003A390C" w:rsidRPr="00B76A73">
        <w:t xml:space="preserve">% in </w:t>
      </w:r>
      <w:r w:rsidR="003218DD">
        <w:t>June</w:t>
      </w:r>
      <w:r w:rsidR="00795ECE" w:rsidRPr="00B76A73">
        <w:t xml:space="preserve"> 202</w:t>
      </w:r>
      <w:r w:rsidR="00056DC1">
        <w:t>3</w:t>
      </w:r>
      <w:r w:rsidR="00795ECE" w:rsidRPr="00B76A73">
        <w:t xml:space="preserve"> </w:t>
      </w:r>
      <w:r w:rsidR="00C10F0A" w:rsidRPr="00B76A73">
        <w:t xml:space="preserve">and </w:t>
      </w:r>
      <w:r w:rsidR="003F24A9">
        <w:t>0.</w:t>
      </w:r>
      <w:r w:rsidR="003218DD">
        <w:t>7</w:t>
      </w:r>
      <w:r w:rsidR="00C10F0A" w:rsidRPr="00B76A73">
        <w:t xml:space="preserve">% </w:t>
      </w:r>
      <w:r w:rsidR="00EC7CB1" w:rsidRPr="00B76A73">
        <w:t>during</w:t>
      </w:r>
      <w:r w:rsidR="00A615E8" w:rsidRPr="00B76A73">
        <w:t xml:space="preserve"> the </w:t>
      </w:r>
      <w:r w:rsidR="003218DD">
        <w:t>2</w:t>
      </w:r>
      <w:r w:rsidR="003218DD" w:rsidRPr="003218DD">
        <w:rPr>
          <w:vertAlign w:val="superscript"/>
        </w:rPr>
        <w:t>nd</w:t>
      </w:r>
      <w:r w:rsidR="003218DD">
        <w:t xml:space="preserve"> </w:t>
      </w:r>
      <w:r w:rsidR="00A615E8" w:rsidRPr="00B76A73">
        <w:t>quarter</w:t>
      </w:r>
      <w:r w:rsidR="00AF420E" w:rsidRPr="00B76A73">
        <w:t xml:space="preserve">. </w:t>
      </w:r>
      <w:r w:rsidR="00EC7CB1" w:rsidRPr="00B76A73">
        <w:t>For the quarter</w:t>
      </w:r>
      <w:r w:rsidR="00A615E8" w:rsidRPr="00B76A73">
        <w:t xml:space="preserve">, coincident indexes </w:t>
      </w:r>
      <w:r w:rsidR="003F24A9" w:rsidRPr="003F24A9">
        <w:t xml:space="preserve">increased in </w:t>
      </w:r>
      <w:r w:rsidR="00412532">
        <w:t>49</w:t>
      </w:r>
      <w:r w:rsidR="003F24A9" w:rsidRPr="003F24A9">
        <w:t xml:space="preserve"> states</w:t>
      </w:r>
      <w:r w:rsidR="00412532">
        <w:t xml:space="preserve"> and</w:t>
      </w:r>
      <w:r w:rsidR="003F24A9" w:rsidRPr="003F24A9">
        <w:t xml:space="preserve"> </w:t>
      </w:r>
      <w:proofErr w:type="gramStart"/>
      <w:r w:rsidR="00DE4A5F">
        <w:t>was</w:t>
      </w:r>
      <w:proofErr w:type="gramEnd"/>
      <w:r w:rsidR="00DE4A5F">
        <w:t xml:space="preserve"> unchanged</w:t>
      </w:r>
      <w:r w:rsidR="003F24A9" w:rsidRPr="003F24A9">
        <w:t xml:space="preserve"> in </w:t>
      </w:r>
      <w:r w:rsidR="00412532">
        <w:t>1</w:t>
      </w:r>
      <w:r w:rsidR="00A615E8" w:rsidRPr="00B76A73">
        <w:t xml:space="preserve">. Coincident indexes reflect </w:t>
      </w:r>
      <w:r w:rsidR="00714B74" w:rsidRPr="00B76A73">
        <w:t>unemployment, payroll employment, manufacturing hours, and wages and salaries</w:t>
      </w:r>
      <w:r w:rsidR="00A14CD4" w:rsidRPr="00B76A73">
        <w:t>.</w:t>
      </w:r>
      <w:r w:rsidR="00714B74" w:rsidRPr="00B76A73">
        <w:t xml:space="preserve"> </w:t>
      </w:r>
    </w:p>
    <w:p w14:paraId="7739DC43" w14:textId="06525A91" w:rsidR="00A96A6A" w:rsidRPr="00B76A73" w:rsidRDefault="0027585A" w:rsidP="006D4E8F">
      <w:pPr>
        <w:jc w:val="center"/>
      </w:pPr>
      <w:r w:rsidRPr="00B76A73">
        <w:rPr>
          <w:noProof/>
        </w:rPr>
        <w:lastRenderedPageBreak/>
        <w:t xml:space="preserve"> </w:t>
      </w:r>
      <w:r w:rsidR="0033144B" w:rsidRPr="0033144B">
        <w:drawing>
          <wp:inline distT="0" distB="0" distL="0" distR="0" wp14:anchorId="6A7166F0" wp14:editId="2ACA2595">
            <wp:extent cx="5943600" cy="3261360"/>
            <wp:effectExtent l="0" t="0" r="0" b="0"/>
            <wp:docPr id="636492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61360"/>
                    </a:xfrm>
                    <a:prstGeom prst="rect">
                      <a:avLst/>
                    </a:prstGeom>
                    <a:noFill/>
                    <a:ln>
                      <a:noFill/>
                    </a:ln>
                  </pic:spPr>
                </pic:pic>
              </a:graphicData>
            </a:graphic>
          </wp:inline>
        </w:drawing>
      </w:r>
    </w:p>
    <w:p w14:paraId="022CFF26" w14:textId="54F12004" w:rsidR="003477B7" w:rsidRPr="00B76A73" w:rsidRDefault="00CA4851" w:rsidP="008C0F54">
      <w:pPr>
        <w:spacing w:before="160"/>
      </w:pPr>
      <w:r w:rsidRPr="00B76A73">
        <w:t>T</w:t>
      </w:r>
      <w:r w:rsidR="009E4D8D" w:rsidRPr="00B76A73">
        <w:t>he U.S. dollar index</w:t>
      </w:r>
      <w:r w:rsidR="00DA3959" w:rsidRPr="00B76A73">
        <w:t xml:space="preserve"> for goods and services</w:t>
      </w:r>
      <w:r w:rsidR="00053E46" w:rsidRPr="00B76A73">
        <w:rPr>
          <w:rStyle w:val="FootnoteReference"/>
        </w:rPr>
        <w:footnoteReference w:id="2"/>
      </w:r>
      <w:r w:rsidR="009E4D8D" w:rsidRPr="00B76A73">
        <w:t xml:space="preserve"> </w:t>
      </w:r>
      <w:r w:rsidR="003218DD">
        <w:t>rose 0.</w:t>
      </w:r>
      <w:r w:rsidR="00DE4A5F">
        <w:t>4</w:t>
      </w:r>
      <w:r w:rsidR="004903C9" w:rsidRPr="00B76A73">
        <w:t>%</w:t>
      </w:r>
      <w:r w:rsidR="00442565" w:rsidRPr="00B76A73">
        <w:t xml:space="preserve"> during</w:t>
      </w:r>
      <w:r w:rsidR="00DA3959" w:rsidRPr="00B76A73">
        <w:t xml:space="preserve"> the </w:t>
      </w:r>
      <w:r w:rsidR="003218DD">
        <w:t>2</w:t>
      </w:r>
      <w:r w:rsidR="003218DD" w:rsidRPr="003218DD">
        <w:rPr>
          <w:vertAlign w:val="superscript"/>
        </w:rPr>
        <w:t>nd</w:t>
      </w:r>
      <w:r w:rsidR="003218DD">
        <w:t xml:space="preserve"> </w:t>
      </w:r>
      <w:r w:rsidR="00BF6BF5" w:rsidRPr="00B76A73">
        <w:t>quarter of 202</w:t>
      </w:r>
      <w:r w:rsidR="00BF6BF5">
        <w:t>3 but</w:t>
      </w:r>
      <w:r w:rsidR="009A160F">
        <w:t xml:space="preserve"> was</w:t>
      </w:r>
      <w:r w:rsidR="00D3695A">
        <w:t xml:space="preserve"> </w:t>
      </w:r>
      <w:r w:rsidR="003218DD">
        <w:t>down 0.8</w:t>
      </w:r>
      <w:r w:rsidR="007939CA" w:rsidRPr="00B76A73">
        <w:t xml:space="preserve">% </w:t>
      </w:r>
      <w:r w:rsidR="00E2264B">
        <w:t>compared</w:t>
      </w:r>
      <w:r w:rsidR="007939CA" w:rsidRPr="00B76A73">
        <w:t xml:space="preserve"> </w:t>
      </w:r>
      <w:r w:rsidR="00E2264B">
        <w:t xml:space="preserve">to </w:t>
      </w:r>
      <w:r w:rsidR="00D3695A">
        <w:t xml:space="preserve">the </w:t>
      </w:r>
      <w:r w:rsidR="007030F0">
        <w:t>same period one year prior</w:t>
      </w:r>
      <w:r w:rsidR="009E4D8D" w:rsidRPr="00B76A73">
        <w:t>.</w:t>
      </w:r>
      <w:r w:rsidR="002857FD" w:rsidRPr="00B76A73">
        <w:t xml:space="preserve"> </w:t>
      </w:r>
      <w:r w:rsidR="007030F0">
        <w:t>T</w:t>
      </w:r>
      <w:r w:rsidR="000B43C0" w:rsidRPr="00B76A73">
        <w:t>he dollar</w:t>
      </w:r>
      <w:r w:rsidR="003926DD">
        <w:t xml:space="preserve"> </w:t>
      </w:r>
      <w:r w:rsidR="003218DD">
        <w:t>strengthened in late June as better-than expected labor and production data increased the likelihood of another</w:t>
      </w:r>
      <w:r w:rsidR="007030F0">
        <w:t xml:space="preserve"> Federal Reserve target rate</w:t>
      </w:r>
      <w:r w:rsidR="003218DD">
        <w:t xml:space="preserve"> increase</w:t>
      </w:r>
      <w:r w:rsidR="0079151F" w:rsidRPr="00B76A73">
        <w:t>.</w:t>
      </w:r>
      <w:r w:rsidR="003218DD">
        <w:t xml:space="preserve"> </w:t>
      </w:r>
      <w:r w:rsidR="00C71C02">
        <w:t>European markets are also battling persistent inflation, especially core inflation (exclusive of volatile energy and food prices), which remains notably elevated in Germany and Spain as well as the U</w:t>
      </w:r>
      <w:r w:rsidR="00326225">
        <w:t>.</w:t>
      </w:r>
      <w:r w:rsidR="00C71C02">
        <w:t>S.</w:t>
      </w:r>
    </w:p>
    <w:p w14:paraId="5FD9C9E3" w14:textId="148C608D" w:rsidR="004D1C9D" w:rsidRPr="00B76A73" w:rsidRDefault="0033144B" w:rsidP="006D4E8F">
      <w:pPr>
        <w:jc w:val="center"/>
      </w:pPr>
      <w:r>
        <w:rPr>
          <w:noProof/>
        </w:rPr>
        <w:drawing>
          <wp:inline distT="0" distB="0" distL="0" distR="0" wp14:anchorId="4C29DE46" wp14:editId="4EFB2A23">
            <wp:extent cx="4097020" cy="2658110"/>
            <wp:effectExtent l="0" t="0" r="0" b="8890"/>
            <wp:docPr id="9934270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7020" cy="2658110"/>
                    </a:xfrm>
                    <a:prstGeom prst="rect">
                      <a:avLst/>
                    </a:prstGeom>
                    <a:noFill/>
                  </pic:spPr>
                </pic:pic>
              </a:graphicData>
            </a:graphic>
          </wp:inline>
        </w:drawing>
      </w:r>
    </w:p>
    <w:p w14:paraId="149D5EF9" w14:textId="15E73DDD" w:rsidR="002731EF" w:rsidRPr="00B76A73" w:rsidRDefault="001058D4" w:rsidP="001475FF">
      <w:pPr>
        <w:pStyle w:val="Heading1"/>
      </w:pPr>
      <w:r w:rsidRPr="00B76A73">
        <w:lastRenderedPageBreak/>
        <w:t>Q</w:t>
      </w:r>
      <w:r w:rsidR="0033144B">
        <w:t>2</w:t>
      </w:r>
      <w:r w:rsidRPr="00B76A73">
        <w:t xml:space="preserve"> </w:t>
      </w:r>
      <w:r w:rsidR="002731EF" w:rsidRPr="00B76A73">
        <w:t>Economic Highlights</w:t>
      </w:r>
    </w:p>
    <w:p w14:paraId="7FCBE057" w14:textId="400DD20F" w:rsidR="00540D2B" w:rsidRPr="00E66555" w:rsidRDefault="00540D2B" w:rsidP="00E528F7">
      <w:pPr>
        <w:pStyle w:val="ListParagraph"/>
        <w:numPr>
          <w:ilvl w:val="0"/>
          <w:numId w:val="3"/>
        </w:numPr>
      </w:pPr>
      <w:r w:rsidRPr="00B76A73">
        <w:t xml:space="preserve">The Philadelphia Fed’s coincident index of economic activity in the U.S. </w:t>
      </w:r>
      <w:r w:rsidR="007618D6" w:rsidRPr="00B76A73">
        <w:t xml:space="preserve">rose </w:t>
      </w:r>
      <w:r w:rsidR="009A160F" w:rsidRPr="00B76A73">
        <w:t>0.</w:t>
      </w:r>
      <w:r w:rsidR="009A160F">
        <w:t>3</w:t>
      </w:r>
      <w:r w:rsidR="009A160F" w:rsidRPr="00B76A73">
        <w:t xml:space="preserve">% in </w:t>
      </w:r>
      <w:r w:rsidR="00C71C02">
        <w:t>June</w:t>
      </w:r>
      <w:r w:rsidR="0069186C">
        <w:t xml:space="preserve"> 2023</w:t>
      </w:r>
      <w:r w:rsidR="009A160F" w:rsidRPr="00B76A73">
        <w:t xml:space="preserve"> and </w:t>
      </w:r>
      <w:r w:rsidR="009A160F">
        <w:t>0.</w:t>
      </w:r>
      <w:r w:rsidR="00C71C02">
        <w:t>7</w:t>
      </w:r>
      <w:r w:rsidR="009A160F" w:rsidRPr="00E66555">
        <w:t xml:space="preserve">% during the </w:t>
      </w:r>
      <w:r w:rsidR="00C71C02">
        <w:t>2</w:t>
      </w:r>
      <w:r w:rsidR="00C71C02" w:rsidRPr="00C71C02">
        <w:rPr>
          <w:vertAlign w:val="superscript"/>
        </w:rPr>
        <w:t>nd</w:t>
      </w:r>
      <w:r w:rsidR="00C71C02">
        <w:t xml:space="preserve"> </w:t>
      </w:r>
      <w:r w:rsidR="009A160F" w:rsidRPr="00E66555">
        <w:t>quarter</w:t>
      </w:r>
      <w:r w:rsidRPr="00E66555">
        <w:t>.</w:t>
      </w:r>
    </w:p>
    <w:p w14:paraId="1CF55C2B" w14:textId="1352C37A" w:rsidR="0069186C" w:rsidRPr="00E66555" w:rsidRDefault="0069186C" w:rsidP="0069186C">
      <w:pPr>
        <w:pStyle w:val="ListParagraph"/>
        <w:numPr>
          <w:ilvl w:val="0"/>
          <w:numId w:val="3"/>
        </w:numPr>
      </w:pPr>
      <w:r w:rsidRPr="00E66555">
        <w:t xml:space="preserve">The U.S. dollar index </w:t>
      </w:r>
      <w:r w:rsidR="00C71C02">
        <w:t>rose 0.3</w:t>
      </w:r>
      <w:r w:rsidR="00C71C02" w:rsidRPr="00B76A73">
        <w:t xml:space="preserve">% during the </w:t>
      </w:r>
      <w:r w:rsidR="00C71C02">
        <w:t>2</w:t>
      </w:r>
      <w:r w:rsidR="00C71C02" w:rsidRPr="003218DD">
        <w:rPr>
          <w:vertAlign w:val="superscript"/>
        </w:rPr>
        <w:t>nd</w:t>
      </w:r>
      <w:r w:rsidR="00C71C02">
        <w:t xml:space="preserve"> </w:t>
      </w:r>
      <w:r w:rsidR="00C71C02" w:rsidRPr="00B76A73">
        <w:t>quarter of 202</w:t>
      </w:r>
      <w:r w:rsidR="00C71C02">
        <w:t>3 but was down 0.8</w:t>
      </w:r>
      <w:r w:rsidR="00C71C02" w:rsidRPr="00B76A73">
        <w:t xml:space="preserve">% </w:t>
      </w:r>
      <w:r w:rsidRPr="00E66555">
        <w:t>since the same period one year prior.</w:t>
      </w:r>
    </w:p>
    <w:p w14:paraId="149D5EFA" w14:textId="0748736B" w:rsidR="002608F3" w:rsidRPr="00E66555" w:rsidRDefault="006C2DAB" w:rsidP="00E528F7">
      <w:pPr>
        <w:pStyle w:val="ListParagraph"/>
        <w:numPr>
          <w:ilvl w:val="0"/>
          <w:numId w:val="3"/>
        </w:numPr>
      </w:pPr>
      <w:r w:rsidRPr="00E66555">
        <w:t xml:space="preserve">Real GDP </w:t>
      </w:r>
      <w:r w:rsidR="009839D2">
        <w:t>grew</w:t>
      </w:r>
      <w:r w:rsidR="009839D2" w:rsidRPr="00B76A73">
        <w:t xml:space="preserve"> at an annualized rate of </w:t>
      </w:r>
      <w:r w:rsidR="009839D2">
        <w:t>2.4</w:t>
      </w:r>
      <w:r w:rsidR="009839D2" w:rsidRPr="00B76A73">
        <w:t>%</w:t>
      </w:r>
      <w:r w:rsidR="009839D2">
        <w:t xml:space="preserve"> during the 2</w:t>
      </w:r>
      <w:r w:rsidR="009839D2" w:rsidRPr="004E4723">
        <w:rPr>
          <w:vertAlign w:val="superscript"/>
        </w:rPr>
        <w:t>nd</w:t>
      </w:r>
      <w:r w:rsidR="009839D2">
        <w:t xml:space="preserve"> quarter of 2023</w:t>
      </w:r>
      <w:r w:rsidR="009839D2" w:rsidRPr="00B76A73">
        <w:t xml:space="preserve">, </w:t>
      </w:r>
      <w:r w:rsidR="009839D2">
        <w:t>up from its</w:t>
      </w:r>
      <w:r w:rsidR="009839D2" w:rsidRPr="00B76A73">
        <w:t xml:space="preserve"> </w:t>
      </w:r>
      <w:r w:rsidR="009839D2">
        <w:t>2.0</w:t>
      </w:r>
      <w:r w:rsidR="009839D2" w:rsidRPr="00B76A73">
        <w:t xml:space="preserve">% </w:t>
      </w:r>
      <w:r w:rsidR="009839D2">
        <w:t>inc</w:t>
      </w:r>
      <w:r w:rsidR="009839D2" w:rsidRPr="00B76A73">
        <w:t xml:space="preserve">rease in the </w:t>
      </w:r>
      <w:r w:rsidR="009839D2">
        <w:t>1</w:t>
      </w:r>
      <w:r w:rsidR="009839D2" w:rsidRPr="004E4723">
        <w:rPr>
          <w:vertAlign w:val="superscript"/>
        </w:rPr>
        <w:t>st</w:t>
      </w:r>
      <w:r w:rsidR="009839D2">
        <w:t xml:space="preserve"> </w:t>
      </w:r>
      <w:r w:rsidR="009839D2" w:rsidRPr="00B76A73">
        <w:t>quarter of 202</w:t>
      </w:r>
      <w:r w:rsidR="007B0B25">
        <w:t>3</w:t>
      </w:r>
      <w:r w:rsidR="00D93A8B" w:rsidRPr="00E66555">
        <w:t>.</w:t>
      </w:r>
    </w:p>
    <w:p w14:paraId="149D5EFD" w14:textId="435597A0" w:rsidR="0076717F" w:rsidRPr="00E66555" w:rsidRDefault="00591A62" w:rsidP="00E528F7">
      <w:pPr>
        <w:pStyle w:val="ListParagraph"/>
        <w:numPr>
          <w:ilvl w:val="0"/>
          <w:numId w:val="3"/>
        </w:numPr>
      </w:pPr>
      <w:r w:rsidRPr="00E66555">
        <w:t xml:space="preserve">The effective federal funds rate </w:t>
      </w:r>
      <w:r w:rsidR="009839D2" w:rsidRPr="00B76A73">
        <w:t xml:space="preserve">rose </w:t>
      </w:r>
      <w:r w:rsidR="009839D2">
        <w:t>0.43</w:t>
      </w:r>
      <w:r w:rsidR="009839D2" w:rsidRPr="00B76A73">
        <w:t xml:space="preserve"> percentage point</w:t>
      </w:r>
      <w:r w:rsidR="009839D2">
        <w:t>s</w:t>
      </w:r>
      <w:r w:rsidR="009839D2" w:rsidRPr="00B76A73">
        <w:t xml:space="preserve"> to </w:t>
      </w:r>
      <w:r w:rsidR="009839D2">
        <w:t>5.08</w:t>
      </w:r>
      <w:r w:rsidR="009839D2" w:rsidRPr="00B76A73">
        <w:t xml:space="preserve">% during the </w:t>
      </w:r>
      <w:r w:rsidR="009839D2">
        <w:t>2</w:t>
      </w:r>
      <w:r w:rsidR="009839D2" w:rsidRPr="00FE6DD6">
        <w:rPr>
          <w:vertAlign w:val="superscript"/>
        </w:rPr>
        <w:t>nd</w:t>
      </w:r>
      <w:r w:rsidR="009839D2">
        <w:t xml:space="preserve"> </w:t>
      </w:r>
      <w:r w:rsidR="009839D2" w:rsidRPr="00B76A73">
        <w:t xml:space="preserve">quarter, continuing the climb from near-zero levels that began </w:t>
      </w:r>
      <w:r w:rsidR="009839D2">
        <w:t>in</w:t>
      </w:r>
      <w:r w:rsidR="009839D2" w:rsidRPr="00B76A73">
        <w:t xml:space="preserve"> March</w:t>
      </w:r>
      <w:r w:rsidR="009839D2">
        <w:t xml:space="preserve"> 2022</w:t>
      </w:r>
      <w:r w:rsidR="00D93A8B" w:rsidRPr="00E66555">
        <w:t xml:space="preserve">. </w:t>
      </w:r>
    </w:p>
    <w:p w14:paraId="6AA929FC" w14:textId="50578FDD" w:rsidR="00591A62" w:rsidRPr="00E66555" w:rsidRDefault="009839D2" w:rsidP="0069122E">
      <w:pPr>
        <w:pStyle w:val="ListParagraph"/>
        <w:numPr>
          <w:ilvl w:val="0"/>
          <w:numId w:val="3"/>
        </w:numPr>
      </w:pPr>
      <w:r w:rsidRPr="00B76A73">
        <w:t xml:space="preserve">The 1-year and 2-year annual treasury yields ended the </w:t>
      </w:r>
      <w:r>
        <w:t>2</w:t>
      </w:r>
      <w:r w:rsidRPr="00E64295">
        <w:rPr>
          <w:vertAlign w:val="superscript"/>
        </w:rPr>
        <w:t>nd</w:t>
      </w:r>
      <w:r>
        <w:t xml:space="preserve"> </w:t>
      </w:r>
      <w:r w:rsidRPr="00B76A73">
        <w:t xml:space="preserve">quarter at </w:t>
      </w:r>
      <w:r>
        <w:t>5.40</w:t>
      </w:r>
      <w:r w:rsidRPr="00B76A73">
        <w:t>% and 4.</w:t>
      </w:r>
      <w:r>
        <w:t>87</w:t>
      </w:r>
      <w:r w:rsidRPr="00B76A73">
        <w:t>%, respectively. The benchmark 10-year treasury yielded 3.</w:t>
      </w:r>
      <w:r>
        <w:t>81</w:t>
      </w:r>
      <w:r w:rsidRPr="00B76A73">
        <w:t>% at the end of the quarter, while the 30-year treasury yielded 3.</w:t>
      </w:r>
      <w:r>
        <w:t>85</w:t>
      </w:r>
      <w:r w:rsidRPr="00B76A73">
        <w:t>%</w:t>
      </w:r>
      <w:r w:rsidRPr="00B76A73">
        <w:rPr>
          <w:color w:val="000000" w:themeColor="text1"/>
        </w:rPr>
        <w:t>.</w:t>
      </w:r>
    </w:p>
    <w:p w14:paraId="2A4826B3" w14:textId="6F684A13" w:rsidR="0069122E" w:rsidRPr="00E66555" w:rsidRDefault="00E66555" w:rsidP="0069122E">
      <w:pPr>
        <w:pStyle w:val="ListParagraph"/>
        <w:numPr>
          <w:ilvl w:val="0"/>
          <w:numId w:val="3"/>
        </w:numPr>
      </w:pPr>
      <w:r w:rsidRPr="00E66555">
        <w:t>The u</w:t>
      </w:r>
      <w:r w:rsidR="0069122E" w:rsidRPr="00E66555">
        <w:t>nemployment</w:t>
      </w:r>
      <w:r w:rsidRPr="00E66555">
        <w:t xml:space="preserve"> rate</w:t>
      </w:r>
      <w:r w:rsidR="0069122E" w:rsidRPr="00E66555">
        <w:t xml:space="preserve"> </w:t>
      </w:r>
      <w:r w:rsidR="009839D2">
        <w:t>ended the 2</w:t>
      </w:r>
      <w:r w:rsidR="009839D2" w:rsidRPr="002930DF">
        <w:rPr>
          <w:vertAlign w:val="superscript"/>
        </w:rPr>
        <w:t>nd</w:t>
      </w:r>
      <w:r w:rsidR="009839D2">
        <w:t xml:space="preserve"> quarter at</w:t>
      </w:r>
      <w:r w:rsidR="009839D2" w:rsidRPr="00B76A73">
        <w:t xml:space="preserve"> 3.</w:t>
      </w:r>
      <w:r w:rsidR="009839D2">
        <w:t>6</w:t>
      </w:r>
      <w:r w:rsidR="009839D2" w:rsidRPr="00B76A73">
        <w:t xml:space="preserve">%, </w:t>
      </w:r>
      <w:r w:rsidR="009839D2">
        <w:t>up slightly from the prior quarter</w:t>
      </w:r>
      <w:r w:rsidR="006449AC" w:rsidRPr="00E66555">
        <w:t xml:space="preserve">. </w:t>
      </w:r>
      <w:r w:rsidR="00F051F3" w:rsidRPr="00E66555">
        <w:t xml:space="preserve">Nonfarm payrolls </w:t>
      </w:r>
      <w:r w:rsidR="009839D2">
        <w:t>grew</w:t>
      </w:r>
      <w:r w:rsidR="009839D2" w:rsidRPr="00B76A73">
        <w:t xml:space="preserve"> by </w:t>
      </w:r>
      <w:r w:rsidR="009839D2">
        <w:t>0.7</w:t>
      </w:r>
      <w:r w:rsidR="009839D2" w:rsidRPr="00B76A73">
        <w:t xml:space="preserve"> million jobs in the </w:t>
      </w:r>
      <w:r w:rsidR="009839D2">
        <w:t>2</w:t>
      </w:r>
      <w:r w:rsidR="009839D2" w:rsidRPr="00281B1D">
        <w:rPr>
          <w:vertAlign w:val="superscript"/>
        </w:rPr>
        <w:t>nd</w:t>
      </w:r>
      <w:r w:rsidR="009839D2">
        <w:t xml:space="preserve"> </w:t>
      </w:r>
      <w:r w:rsidR="009839D2" w:rsidRPr="00B76A73">
        <w:t>quarter</w:t>
      </w:r>
      <w:r w:rsidR="00CF666C" w:rsidRPr="00E66555">
        <w:rPr>
          <w:color w:val="000000" w:themeColor="text1"/>
        </w:rPr>
        <w:t>.</w:t>
      </w:r>
      <w:r w:rsidR="00C328EF" w:rsidRPr="00E66555">
        <w:t xml:space="preserve"> </w:t>
      </w:r>
    </w:p>
    <w:p w14:paraId="149D5EFF" w14:textId="14FE4CA0" w:rsidR="003E4ACB" w:rsidRPr="00E66555" w:rsidRDefault="007A4896" w:rsidP="00E528F7">
      <w:pPr>
        <w:pStyle w:val="ListParagraph"/>
        <w:numPr>
          <w:ilvl w:val="0"/>
          <w:numId w:val="3"/>
        </w:numPr>
      </w:pPr>
      <w:r w:rsidRPr="00E66555">
        <w:t>The Consumer Price Index</w:t>
      </w:r>
      <w:r w:rsidR="006E4B4F" w:rsidRPr="00E66555">
        <w:t xml:space="preserve"> </w:t>
      </w:r>
      <w:r w:rsidR="00C8448F" w:rsidRPr="00E66555">
        <w:t xml:space="preserve">for all items </w:t>
      </w:r>
      <w:r w:rsidR="009839D2" w:rsidRPr="00B76A73">
        <w:t xml:space="preserve">rose </w:t>
      </w:r>
      <w:r w:rsidR="009839D2">
        <w:t>3.1</w:t>
      </w:r>
      <w:r w:rsidR="009839D2" w:rsidRPr="00B76A73">
        <w:t xml:space="preserve">% year-over-year in </w:t>
      </w:r>
      <w:r w:rsidR="009839D2">
        <w:t>June 2023</w:t>
      </w:r>
      <w:r w:rsidR="009839D2" w:rsidRPr="00B76A73">
        <w:t xml:space="preserve">, down from its </w:t>
      </w:r>
      <w:r w:rsidR="009839D2">
        <w:t>more-than-</w:t>
      </w:r>
      <w:r w:rsidR="009839D2" w:rsidRPr="00B76A73">
        <w:t xml:space="preserve">40-year high of </w:t>
      </w:r>
      <w:r w:rsidR="009839D2">
        <w:t>8.9</w:t>
      </w:r>
      <w:r w:rsidR="009839D2" w:rsidRPr="00B76A73">
        <w:t>% in June</w:t>
      </w:r>
      <w:r w:rsidR="009839D2">
        <w:t xml:space="preserve"> 2022</w:t>
      </w:r>
      <w:r w:rsidR="006449AC" w:rsidRPr="00E66555">
        <w:t xml:space="preserve">. Excluding volatile energy prices, </w:t>
      </w:r>
      <w:r w:rsidR="009839D2" w:rsidRPr="00B76A73">
        <w:t xml:space="preserve">the annual increase was </w:t>
      </w:r>
      <w:r w:rsidR="009839D2">
        <w:t>5.0%</w:t>
      </w:r>
      <w:r w:rsidR="00E66555" w:rsidRPr="00E66555">
        <w:t>.</w:t>
      </w:r>
    </w:p>
    <w:p w14:paraId="02DFF80C" w14:textId="38DAD9A8" w:rsidR="0069122E" w:rsidRPr="00E66555" w:rsidRDefault="00D04F3A" w:rsidP="0069122E">
      <w:pPr>
        <w:pStyle w:val="ListParagraph"/>
        <w:numPr>
          <w:ilvl w:val="0"/>
          <w:numId w:val="3"/>
        </w:numPr>
      </w:pPr>
      <w:r w:rsidRPr="00E66555">
        <w:t xml:space="preserve">Crude </w:t>
      </w:r>
      <w:r w:rsidR="0024113D" w:rsidRPr="00E66555">
        <w:t xml:space="preserve">oil </w:t>
      </w:r>
      <w:r w:rsidRPr="00E66555">
        <w:t xml:space="preserve">prices </w:t>
      </w:r>
      <w:r w:rsidR="009839D2" w:rsidRPr="00B76A73">
        <w:t xml:space="preserve">ended the </w:t>
      </w:r>
      <w:r w:rsidR="009839D2">
        <w:t>2</w:t>
      </w:r>
      <w:r w:rsidR="009839D2" w:rsidRPr="007870C8">
        <w:rPr>
          <w:vertAlign w:val="superscript"/>
        </w:rPr>
        <w:t>nd</w:t>
      </w:r>
      <w:r w:rsidR="009839D2">
        <w:t xml:space="preserve"> </w:t>
      </w:r>
      <w:r w:rsidR="009839D2" w:rsidRPr="00B76A73">
        <w:t>quarter at $</w:t>
      </w:r>
      <w:r w:rsidR="009839D2">
        <w:t>70.66</w:t>
      </w:r>
      <w:r w:rsidR="009839D2" w:rsidRPr="00B76A73">
        <w:t xml:space="preserve"> per barrel, </w:t>
      </w:r>
      <w:r w:rsidR="009839D2">
        <w:t>down 6.6</w:t>
      </w:r>
      <w:r w:rsidR="009839D2" w:rsidRPr="00B76A73">
        <w:t xml:space="preserve">% </w:t>
      </w:r>
      <w:r w:rsidR="009839D2">
        <w:t>from</w:t>
      </w:r>
      <w:r w:rsidR="009839D2" w:rsidRPr="00B76A73">
        <w:t xml:space="preserve"> </w:t>
      </w:r>
      <w:r w:rsidR="009839D2">
        <w:t>the prior quarter and 34.4% over one year</w:t>
      </w:r>
      <w:r w:rsidR="0069122E" w:rsidRPr="00E66555">
        <w:t>.</w:t>
      </w:r>
    </w:p>
    <w:p w14:paraId="149D5F00" w14:textId="72CCDF63" w:rsidR="003E4ACB" w:rsidRPr="00E66555" w:rsidRDefault="00D04F3A" w:rsidP="00E528F7">
      <w:pPr>
        <w:pStyle w:val="ListParagraph"/>
        <w:numPr>
          <w:ilvl w:val="0"/>
          <w:numId w:val="3"/>
        </w:numPr>
      </w:pPr>
      <w:r w:rsidRPr="00E66555">
        <w:t xml:space="preserve">New home starts </w:t>
      </w:r>
      <w:r w:rsidR="009839D2">
        <w:t>rose 3.9% during the first quarter</w:t>
      </w:r>
      <w:r w:rsidR="009839D2" w:rsidRPr="00B76A73">
        <w:t xml:space="preserve"> to </w:t>
      </w:r>
      <w:r w:rsidR="009839D2">
        <w:t xml:space="preserve">a level of </w:t>
      </w:r>
      <w:r w:rsidR="009839D2" w:rsidRPr="00B76A73">
        <w:t>1.</w:t>
      </w:r>
      <w:r w:rsidR="009839D2">
        <w:t>43</w:t>
      </w:r>
      <w:r w:rsidR="009839D2" w:rsidRPr="00B76A73">
        <w:t xml:space="preserve"> million in </w:t>
      </w:r>
      <w:r w:rsidR="009839D2">
        <w:t>June</w:t>
      </w:r>
      <w:r w:rsidR="00E66555" w:rsidRPr="00E66555">
        <w:t>.</w:t>
      </w:r>
      <w:r w:rsidR="009839D2">
        <w:t xml:space="preserve"> </w:t>
      </w:r>
      <w:r w:rsidR="009839D2" w:rsidRPr="00B76A73">
        <w:t xml:space="preserve">Total new home starts were </w:t>
      </w:r>
      <w:r w:rsidR="009839D2">
        <w:t>down 8.1</w:t>
      </w:r>
      <w:r w:rsidR="009839D2" w:rsidRPr="00B76A73">
        <w:t xml:space="preserve">% </w:t>
      </w:r>
      <w:r w:rsidR="009839D2">
        <w:t>year-over-</w:t>
      </w:r>
      <w:r w:rsidR="009839D2" w:rsidRPr="00B76A73">
        <w:t>year</w:t>
      </w:r>
      <w:r w:rsidR="009839D2">
        <w:t>.</w:t>
      </w:r>
    </w:p>
    <w:p w14:paraId="149D5F03" w14:textId="24035783" w:rsidR="00867D68" w:rsidRPr="00E66555" w:rsidRDefault="00E66555" w:rsidP="00F94484">
      <w:pPr>
        <w:pStyle w:val="ListParagraph"/>
        <w:numPr>
          <w:ilvl w:val="0"/>
          <w:numId w:val="3"/>
        </w:numPr>
      </w:pPr>
      <w:r w:rsidRPr="00E66555">
        <w:rPr>
          <w:noProof/>
        </w:rPr>
        <w:t xml:space="preserve">The NASDAQ composite </w:t>
      </w:r>
      <w:r w:rsidR="009839D2">
        <w:rPr>
          <w:noProof/>
        </w:rPr>
        <w:t>rose 12.8% during the 2</w:t>
      </w:r>
      <w:r w:rsidR="009839D2" w:rsidRPr="00075FA5">
        <w:rPr>
          <w:noProof/>
          <w:vertAlign w:val="superscript"/>
        </w:rPr>
        <w:t>nd</w:t>
      </w:r>
      <w:r w:rsidR="009839D2">
        <w:rPr>
          <w:noProof/>
        </w:rPr>
        <w:t xml:space="preserve"> quarter of 2023. The S&amp;P 500</w:t>
      </w:r>
      <w:r w:rsidR="009839D2" w:rsidRPr="000E1968">
        <w:rPr>
          <w:noProof/>
        </w:rPr>
        <w:t xml:space="preserve"> was up </w:t>
      </w:r>
      <w:r w:rsidR="009839D2">
        <w:rPr>
          <w:noProof/>
        </w:rPr>
        <w:t>8.3</w:t>
      </w:r>
      <w:r w:rsidR="009839D2" w:rsidRPr="000E1968">
        <w:rPr>
          <w:noProof/>
        </w:rPr>
        <w:t>%</w:t>
      </w:r>
      <w:r w:rsidR="009839D2">
        <w:rPr>
          <w:noProof/>
        </w:rPr>
        <w:t>, the Wilshire 5000 was up 8.0%, and the Dow Jones Transprtation Avergae was up 7.6% for the quarter</w:t>
      </w:r>
      <w:r w:rsidRPr="00E66555">
        <w:rPr>
          <w:noProof/>
        </w:rPr>
        <w:t>.</w:t>
      </w:r>
    </w:p>
    <w:p w14:paraId="149D5F04" w14:textId="77777777" w:rsidR="00057711" w:rsidRPr="00B76A73" w:rsidRDefault="00057711" w:rsidP="00057711">
      <w:pPr>
        <w:pStyle w:val="Heading1"/>
      </w:pPr>
      <w:r w:rsidRPr="00B76A73">
        <w:t>Business Activity</w:t>
      </w:r>
    </w:p>
    <w:p w14:paraId="25413EE4" w14:textId="0346FE33" w:rsidR="00A96A6A" w:rsidRPr="00B76A73" w:rsidRDefault="00142F71" w:rsidP="00057711">
      <w:r w:rsidRPr="00B76A73">
        <w:t>R</w:t>
      </w:r>
      <w:r w:rsidR="0080028D" w:rsidRPr="00B76A73">
        <w:t>eal gross domestic product (GDP)</w:t>
      </w:r>
      <w:r w:rsidR="00A8559D" w:rsidRPr="00B76A73">
        <w:rPr>
          <w:rStyle w:val="FootnoteReference"/>
        </w:rPr>
        <w:footnoteReference w:id="3"/>
      </w:r>
      <w:r w:rsidR="0080028D" w:rsidRPr="00B76A73">
        <w:t xml:space="preserve"> </w:t>
      </w:r>
      <w:r w:rsidR="0070151C">
        <w:t>grew</w:t>
      </w:r>
      <w:r w:rsidR="00D34B81" w:rsidRPr="00B76A73">
        <w:t xml:space="preserve"> at an annualized rate of </w:t>
      </w:r>
      <w:r w:rsidR="004E4723">
        <w:t>2.4</w:t>
      </w:r>
      <w:r w:rsidR="00D34B81" w:rsidRPr="00B76A73">
        <w:t>%</w:t>
      </w:r>
      <w:r w:rsidR="0070151C">
        <w:t xml:space="preserve"> during the </w:t>
      </w:r>
      <w:r w:rsidR="004E4723">
        <w:t>2</w:t>
      </w:r>
      <w:r w:rsidR="004E4723" w:rsidRPr="004E4723">
        <w:rPr>
          <w:vertAlign w:val="superscript"/>
        </w:rPr>
        <w:t>nd</w:t>
      </w:r>
      <w:r w:rsidR="004E4723">
        <w:t xml:space="preserve"> </w:t>
      </w:r>
      <w:r w:rsidR="0070151C">
        <w:t>quarter of 2023</w:t>
      </w:r>
      <w:r w:rsidR="00D34B81" w:rsidRPr="00B76A73">
        <w:t xml:space="preserve">, </w:t>
      </w:r>
      <w:r w:rsidR="004E4723">
        <w:t>up</w:t>
      </w:r>
      <w:r w:rsidR="006D705D">
        <w:t xml:space="preserve"> from its</w:t>
      </w:r>
      <w:r w:rsidR="00D34B81" w:rsidRPr="00B76A73">
        <w:t xml:space="preserve"> </w:t>
      </w:r>
      <w:r w:rsidR="0070151C">
        <w:t>2.</w:t>
      </w:r>
      <w:r w:rsidR="004E4723">
        <w:t>0</w:t>
      </w:r>
      <w:r w:rsidR="00D34B81" w:rsidRPr="00B76A73">
        <w:t xml:space="preserve">% </w:t>
      </w:r>
      <w:r w:rsidR="00AD2210">
        <w:t>inc</w:t>
      </w:r>
      <w:r w:rsidR="00D34B81" w:rsidRPr="00B76A73">
        <w:t xml:space="preserve">rease in the </w:t>
      </w:r>
      <w:r w:rsidR="004E4723">
        <w:t>1</w:t>
      </w:r>
      <w:r w:rsidR="004E4723" w:rsidRPr="004E4723">
        <w:rPr>
          <w:vertAlign w:val="superscript"/>
        </w:rPr>
        <w:t>st</w:t>
      </w:r>
      <w:r w:rsidR="004E4723">
        <w:t xml:space="preserve"> </w:t>
      </w:r>
      <w:r w:rsidR="00D34B81" w:rsidRPr="00B76A73">
        <w:t>quarter of 202</w:t>
      </w:r>
      <w:r w:rsidR="007B0B25">
        <w:t>3</w:t>
      </w:r>
      <w:r w:rsidR="00FD75F3" w:rsidRPr="00B76A73">
        <w:t xml:space="preserve">. </w:t>
      </w:r>
      <w:r w:rsidR="007B0B25">
        <w:t>The accelerated</w:t>
      </w:r>
      <w:r w:rsidR="006D705D">
        <w:t xml:space="preserve"> growth </w:t>
      </w:r>
      <w:r w:rsidR="007B0B25">
        <w:t>exceeded expectations and showed that consumer demand continued to withstand rising interest rates and persistent inflation</w:t>
      </w:r>
      <w:r w:rsidR="006D705D">
        <w:t xml:space="preserve">. Personal </w:t>
      </w:r>
      <w:r w:rsidR="00AF4229">
        <w:t>consumption and private investment</w:t>
      </w:r>
      <w:r w:rsidR="006D705D">
        <w:t xml:space="preserve"> </w:t>
      </w:r>
      <w:r w:rsidR="00E260D7">
        <w:t>contributed to</w:t>
      </w:r>
      <w:r w:rsidR="006D705D">
        <w:t xml:space="preserve"> the </w:t>
      </w:r>
      <w:r w:rsidR="007B0B25">
        <w:t>2</w:t>
      </w:r>
      <w:r w:rsidR="007B0B25" w:rsidRPr="007B0B25">
        <w:rPr>
          <w:vertAlign w:val="superscript"/>
        </w:rPr>
        <w:t>nd</w:t>
      </w:r>
      <w:r w:rsidR="00DE4A5F">
        <w:t xml:space="preserve"> </w:t>
      </w:r>
      <w:r w:rsidR="006D705D">
        <w:t>quarter increase</w:t>
      </w:r>
      <w:r w:rsidR="006A05B4">
        <w:t xml:space="preserve">, as did </w:t>
      </w:r>
      <w:r w:rsidR="00AF4229">
        <w:t>government spending</w:t>
      </w:r>
      <w:r w:rsidR="00FD75F3" w:rsidRPr="00B76A73">
        <w:t>.</w:t>
      </w:r>
      <w:r w:rsidR="006D705D">
        <w:t xml:space="preserve"> </w:t>
      </w:r>
      <w:r w:rsidR="00450F1A">
        <w:t>The report indicated broad-based resiliency and tempered economists’ expectations that historically high interest rates would herald a recession</w:t>
      </w:r>
      <w:r w:rsidR="006B361C">
        <w:t>.</w:t>
      </w:r>
    </w:p>
    <w:p w14:paraId="7810A9C6" w14:textId="694D9CF3" w:rsidR="00A96A6A" w:rsidRPr="00B76A73" w:rsidRDefault="0033144B" w:rsidP="005117CA">
      <w:pPr>
        <w:jc w:val="center"/>
      </w:pPr>
      <w:r>
        <w:rPr>
          <w:noProof/>
        </w:rPr>
        <w:lastRenderedPageBreak/>
        <w:drawing>
          <wp:inline distT="0" distB="0" distL="0" distR="0" wp14:anchorId="368D0099" wp14:editId="73B45C80">
            <wp:extent cx="4097020" cy="2651760"/>
            <wp:effectExtent l="0" t="0" r="0" b="0"/>
            <wp:docPr id="11252998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7020" cy="2651760"/>
                    </a:xfrm>
                    <a:prstGeom prst="rect">
                      <a:avLst/>
                    </a:prstGeom>
                    <a:noFill/>
                  </pic:spPr>
                </pic:pic>
              </a:graphicData>
            </a:graphic>
          </wp:inline>
        </w:drawing>
      </w:r>
    </w:p>
    <w:p w14:paraId="6AC17CE2" w14:textId="44F669E2" w:rsidR="00C060D2" w:rsidRPr="00B76A73" w:rsidRDefault="00C060D2" w:rsidP="00C060D2">
      <w:r w:rsidRPr="00B76A73">
        <w:t>Personal consumption expenditures</w:t>
      </w:r>
      <w:r w:rsidRPr="00B76A73">
        <w:rPr>
          <w:rStyle w:val="FootnoteReference"/>
        </w:rPr>
        <w:footnoteReference w:id="4"/>
      </w:r>
      <w:r w:rsidRPr="00B76A73">
        <w:t xml:space="preserve"> (PCE) had a positive </w:t>
      </w:r>
      <w:r w:rsidR="00AF4229">
        <w:t>1.1</w:t>
      </w:r>
      <w:r w:rsidRPr="00B76A73">
        <w:t>% effect on real GDP</w:t>
      </w:r>
      <w:r w:rsidR="007477D7">
        <w:t xml:space="preserve"> in the </w:t>
      </w:r>
      <w:r w:rsidR="00AF4229">
        <w:t>2</w:t>
      </w:r>
      <w:r w:rsidR="00AF4229" w:rsidRPr="00AF4229">
        <w:rPr>
          <w:vertAlign w:val="superscript"/>
        </w:rPr>
        <w:t>nd</w:t>
      </w:r>
      <w:r w:rsidR="00AF4229">
        <w:t xml:space="preserve"> </w:t>
      </w:r>
      <w:r w:rsidR="007477D7">
        <w:t>quarter</w:t>
      </w:r>
      <w:r w:rsidRPr="00B76A73">
        <w:t xml:space="preserve">. Growth in personal spending </w:t>
      </w:r>
      <w:r w:rsidR="006B44DA">
        <w:t>largely reflected rising</w:t>
      </w:r>
      <w:r w:rsidR="00AF4229">
        <w:t xml:space="preserve"> </w:t>
      </w:r>
      <w:r w:rsidR="00AF1F92">
        <w:t xml:space="preserve">services consumption, especially for </w:t>
      </w:r>
      <w:r w:rsidR="00AF4229" w:rsidRPr="00AF4229">
        <w:t>housing and utilities, health care, financial services and insurance, and transportation services</w:t>
      </w:r>
      <w:r>
        <w:t>.</w:t>
      </w:r>
      <w:r w:rsidR="006B44DA">
        <w:t xml:space="preserve"> Increased goods consumption also contributed to real GDP</w:t>
      </w:r>
      <w:r w:rsidR="00DB0F3A">
        <w:t xml:space="preserve"> gains</w:t>
      </w:r>
      <w:r w:rsidR="006B44DA">
        <w:t>, led by recreational goods and vehicles as well as gasoline and other energy goods.</w:t>
      </w:r>
    </w:p>
    <w:p w14:paraId="75572D1A" w14:textId="7C4957AF" w:rsidR="00384A65" w:rsidRPr="00B76A73" w:rsidRDefault="00384A65" w:rsidP="00384A65">
      <w:r w:rsidRPr="00B76A73">
        <w:t>Gross domestic private investment</w:t>
      </w:r>
      <w:r w:rsidRPr="00B76A73">
        <w:rPr>
          <w:rStyle w:val="FootnoteReference"/>
        </w:rPr>
        <w:footnoteReference w:id="5"/>
      </w:r>
      <w:r w:rsidRPr="00B76A73">
        <w:t xml:space="preserve"> </w:t>
      </w:r>
      <w:r>
        <w:t xml:space="preserve">also rose, contributing </w:t>
      </w:r>
      <w:r w:rsidR="00D40E84">
        <w:t>1.0</w:t>
      </w:r>
      <w:r>
        <w:t xml:space="preserve">% to the </w:t>
      </w:r>
      <w:r w:rsidR="009157B6">
        <w:t>2</w:t>
      </w:r>
      <w:r w:rsidR="009157B6" w:rsidRPr="009157B6">
        <w:rPr>
          <w:vertAlign w:val="superscript"/>
        </w:rPr>
        <w:t>nd</w:t>
      </w:r>
      <w:r w:rsidR="009157B6">
        <w:t xml:space="preserve"> </w:t>
      </w:r>
      <w:r>
        <w:t>quarter real GDP estimate. Nonresidential fixed investment drove the increase, led by equipment, structures, and intellectual property products</w:t>
      </w:r>
      <w:r w:rsidRPr="00B76A73">
        <w:t xml:space="preserve">. </w:t>
      </w:r>
      <w:r>
        <w:t xml:space="preserve">Private inventory investment </w:t>
      </w:r>
      <w:r w:rsidR="009157B6">
        <w:t>also rose</w:t>
      </w:r>
      <w:r>
        <w:t xml:space="preserve">, </w:t>
      </w:r>
      <w:r w:rsidR="009157B6">
        <w:t>while residential fixed investment fell in the 2</w:t>
      </w:r>
      <w:r w:rsidR="009157B6" w:rsidRPr="009157B6">
        <w:rPr>
          <w:vertAlign w:val="superscript"/>
        </w:rPr>
        <w:t>nd</w:t>
      </w:r>
      <w:r w:rsidR="009157B6">
        <w:t xml:space="preserve"> quarter</w:t>
      </w:r>
      <w:r>
        <w:t>.</w:t>
      </w:r>
    </w:p>
    <w:p w14:paraId="08B1E397" w14:textId="1B100EFB" w:rsidR="00C060D2" w:rsidRPr="00B76A73" w:rsidRDefault="00C060D2" w:rsidP="00C060D2">
      <w:r w:rsidRPr="00B76A73">
        <w:t>Government expenditures</w:t>
      </w:r>
      <w:r w:rsidRPr="00B76A73">
        <w:rPr>
          <w:rStyle w:val="FootnoteReference"/>
        </w:rPr>
        <w:footnoteReference w:id="6"/>
      </w:r>
      <w:r w:rsidRPr="00B76A73">
        <w:t xml:space="preserve"> rose at both the state and local level </w:t>
      </w:r>
      <w:r w:rsidR="00D40E84">
        <w:t xml:space="preserve">and the </w:t>
      </w:r>
      <w:r w:rsidR="00D40E84" w:rsidRPr="00B76A73">
        <w:t xml:space="preserve">federal level </w:t>
      </w:r>
      <w:r w:rsidRPr="00B76A73">
        <w:t>to contribute 0.</w:t>
      </w:r>
      <w:r w:rsidR="00D40E84">
        <w:t>5</w:t>
      </w:r>
      <w:r w:rsidRPr="00B76A73">
        <w:t xml:space="preserve">% to the </w:t>
      </w:r>
      <w:r w:rsidR="00D40E84">
        <w:t>2</w:t>
      </w:r>
      <w:r w:rsidR="00D40E84" w:rsidRPr="00D40E84">
        <w:rPr>
          <w:vertAlign w:val="superscript"/>
        </w:rPr>
        <w:t>nd</w:t>
      </w:r>
      <w:r w:rsidR="00D40E84">
        <w:t xml:space="preserve"> </w:t>
      </w:r>
      <w:r w:rsidRPr="00B76A73">
        <w:t>quarter GDP gain</w:t>
      </w:r>
      <w:r w:rsidR="00D40E84">
        <w:t>.</w:t>
      </w:r>
      <w:r w:rsidR="00D40E84" w:rsidRPr="00D40E84">
        <w:t xml:space="preserve"> </w:t>
      </w:r>
      <w:r w:rsidR="00D40E84" w:rsidRPr="00B76A73">
        <w:t>Higher state and local government spending primarily reflected increases in employee compensation</w:t>
      </w:r>
      <w:r w:rsidR="00D40E84">
        <w:t xml:space="preserve"> and gross investment in structures</w:t>
      </w:r>
      <w:r w:rsidR="00D40E84" w:rsidRPr="00B76A73">
        <w:t>.</w:t>
      </w:r>
      <w:r w:rsidRPr="00B76A73">
        <w:t xml:space="preserve"> </w:t>
      </w:r>
      <w:r w:rsidR="00AF1F92">
        <w:t>F</w:t>
      </w:r>
      <w:r w:rsidRPr="00B76A73">
        <w:t>ederal spending</w:t>
      </w:r>
      <w:r w:rsidR="00AF1F92">
        <w:t xml:space="preserve"> growth </w:t>
      </w:r>
      <w:r w:rsidR="00D40E84">
        <w:t>reflected</w:t>
      </w:r>
      <w:r w:rsidR="00AF1F92">
        <w:t xml:space="preserve"> </w:t>
      </w:r>
      <w:r w:rsidR="00697A66">
        <w:t xml:space="preserve">both </w:t>
      </w:r>
      <w:r w:rsidR="00AF1F92">
        <w:t>n</w:t>
      </w:r>
      <w:r w:rsidR="00D40E84">
        <w:t xml:space="preserve">ational </w:t>
      </w:r>
      <w:r w:rsidR="00AF1F92">
        <w:t>defense</w:t>
      </w:r>
      <w:r w:rsidR="00697A66">
        <w:t xml:space="preserve"> and nondefense</w:t>
      </w:r>
      <w:r w:rsidR="00AF1F92">
        <w:t xml:space="preserve"> </w:t>
      </w:r>
      <w:r w:rsidR="00D40E84">
        <w:t>investment</w:t>
      </w:r>
      <w:r w:rsidRPr="00B76A73">
        <w:t xml:space="preserve">. </w:t>
      </w:r>
    </w:p>
    <w:p w14:paraId="0D92AC13" w14:textId="5D1CEF6B" w:rsidR="00DD2ED8" w:rsidRPr="00B76A73" w:rsidRDefault="00DD2ED8" w:rsidP="00DD2ED8">
      <w:r w:rsidRPr="00B76A73">
        <w:t>Net exports</w:t>
      </w:r>
      <w:r w:rsidRPr="00B76A73">
        <w:rPr>
          <w:rStyle w:val="FootnoteReference"/>
        </w:rPr>
        <w:footnoteReference w:id="7"/>
      </w:r>
      <w:r w:rsidRPr="00B76A73">
        <w:t xml:space="preserve"> </w:t>
      </w:r>
      <w:r w:rsidR="00D40E84">
        <w:t>fell in the 2</w:t>
      </w:r>
      <w:r w:rsidR="00D40E84" w:rsidRPr="00D40E84">
        <w:rPr>
          <w:vertAlign w:val="superscript"/>
        </w:rPr>
        <w:t>nd</w:t>
      </w:r>
      <w:r w:rsidR="00D40E84">
        <w:t xml:space="preserve"> quarter, which had a negative 0.1% effect on real GDP.</w:t>
      </w:r>
      <w:r w:rsidRPr="00B76A73">
        <w:t xml:space="preserve"> </w:t>
      </w:r>
      <w:r w:rsidR="00600E5F">
        <w:t>Decreasing exports of goods were responsible for the downturn in net exports. Moderating the decline in net exports were rising exports of services and falling imports of both goods and services (imports have a negative effect on GDP).</w:t>
      </w:r>
    </w:p>
    <w:p w14:paraId="3014DE71" w14:textId="062F571F" w:rsidR="00B66CB7" w:rsidRPr="00B76A73" w:rsidRDefault="0033144B" w:rsidP="005117CA">
      <w:pPr>
        <w:jc w:val="center"/>
      </w:pPr>
      <w:r>
        <w:rPr>
          <w:noProof/>
        </w:rPr>
        <w:lastRenderedPageBreak/>
        <w:drawing>
          <wp:inline distT="0" distB="0" distL="0" distR="0" wp14:anchorId="1F7D6441" wp14:editId="53E4A8DF">
            <wp:extent cx="4231005" cy="3371215"/>
            <wp:effectExtent l="0" t="0" r="0" b="635"/>
            <wp:docPr id="6207768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1005" cy="3371215"/>
                    </a:xfrm>
                    <a:prstGeom prst="rect">
                      <a:avLst/>
                    </a:prstGeom>
                    <a:noFill/>
                  </pic:spPr>
                </pic:pic>
              </a:graphicData>
            </a:graphic>
          </wp:inline>
        </w:drawing>
      </w:r>
    </w:p>
    <w:p w14:paraId="39DDDC4E" w14:textId="699D35F9" w:rsidR="00100F15" w:rsidRPr="00AF0EEA" w:rsidRDefault="00100F15" w:rsidP="00100F15">
      <w:pPr>
        <w:rPr>
          <w:b/>
          <w:bCs/>
        </w:rPr>
      </w:pPr>
      <w:r>
        <w:t>Economists polled by the Livingston Survey</w:t>
      </w:r>
      <w:r>
        <w:rPr>
          <w:rStyle w:val="FootnoteReference"/>
        </w:rPr>
        <w:footnoteReference w:id="8"/>
      </w:r>
      <w:r>
        <w:t xml:space="preserve"> in </w:t>
      </w:r>
      <w:r w:rsidR="00600E5F">
        <w:t>June of 2023</w:t>
      </w:r>
      <w:r>
        <w:t xml:space="preserve"> projected</w:t>
      </w:r>
      <w:r w:rsidRPr="003412DA">
        <w:t xml:space="preserve"> </w:t>
      </w:r>
      <w:r>
        <w:t xml:space="preserve">real GDP to fall </w:t>
      </w:r>
      <w:r w:rsidR="00697A66">
        <w:t>to</w:t>
      </w:r>
      <w:r>
        <w:t xml:space="preserve"> an annual rate of -0</w:t>
      </w:r>
      <w:r w:rsidR="00600E5F">
        <w:t>.7</w:t>
      </w:r>
      <w:r w:rsidRPr="003412DA">
        <w:t xml:space="preserve">% in </w:t>
      </w:r>
      <w:r>
        <w:t xml:space="preserve">the </w:t>
      </w:r>
      <w:r w:rsidR="00697A66">
        <w:t>2</w:t>
      </w:r>
      <w:r w:rsidR="00697A66" w:rsidRPr="00697A66">
        <w:rPr>
          <w:vertAlign w:val="superscript"/>
        </w:rPr>
        <w:t>nd</w:t>
      </w:r>
      <w:r w:rsidR="00697A66">
        <w:t xml:space="preserve"> </w:t>
      </w:r>
      <w:r>
        <w:t>half of 2023</w:t>
      </w:r>
      <w:r w:rsidR="00600E5F">
        <w:t xml:space="preserve"> before rebounding </w:t>
      </w:r>
      <w:r w:rsidR="001726E0">
        <w:t xml:space="preserve">to an annual rate of 1.0% in the </w:t>
      </w:r>
      <w:r w:rsidR="00697A66">
        <w:t>1</w:t>
      </w:r>
      <w:r w:rsidR="00697A66" w:rsidRPr="00697A66">
        <w:rPr>
          <w:vertAlign w:val="superscript"/>
        </w:rPr>
        <w:t>st</w:t>
      </w:r>
      <w:r w:rsidR="00697A66">
        <w:t xml:space="preserve"> </w:t>
      </w:r>
      <w:r w:rsidR="001726E0">
        <w:t>half of 2024.</w:t>
      </w:r>
    </w:p>
    <w:p w14:paraId="31033888" w14:textId="73FB2716" w:rsidR="004D1C9D" w:rsidRPr="00B76A73" w:rsidRDefault="00D03164" w:rsidP="00174BCD">
      <w:pPr>
        <w:rPr>
          <w:strike/>
        </w:rPr>
      </w:pPr>
      <w:r w:rsidRPr="00B76A73">
        <w:t>The Industrial Production Index</w:t>
      </w:r>
      <w:r w:rsidRPr="00B76A73">
        <w:rPr>
          <w:rStyle w:val="FootnoteReference"/>
        </w:rPr>
        <w:footnoteReference w:id="9"/>
      </w:r>
      <w:r w:rsidRPr="00B76A73">
        <w:t xml:space="preserve"> is an economic indicator that measures real output for all facilities located in the United States manufacturing, mining, and electric, and gas utilities. The index stood at 10</w:t>
      </w:r>
      <w:r w:rsidR="008B3726">
        <w:t>2</w:t>
      </w:r>
      <w:r w:rsidR="00EF14EE" w:rsidRPr="00B76A73">
        <w:t>.</w:t>
      </w:r>
      <w:r w:rsidR="00DE4A5F">
        <w:t>3</w:t>
      </w:r>
      <w:r w:rsidRPr="00B76A73">
        <w:t xml:space="preserve"> at the end of </w:t>
      </w:r>
      <w:r w:rsidR="006B1EB1" w:rsidRPr="00B76A73">
        <w:t xml:space="preserve">the </w:t>
      </w:r>
      <w:r w:rsidR="008B3726">
        <w:t>2</w:t>
      </w:r>
      <w:r w:rsidR="008B3726" w:rsidRPr="008B3726">
        <w:rPr>
          <w:vertAlign w:val="superscript"/>
        </w:rPr>
        <w:t>nd</w:t>
      </w:r>
      <w:r w:rsidR="008B3726">
        <w:t xml:space="preserve"> </w:t>
      </w:r>
      <w:r w:rsidR="006B1EB1" w:rsidRPr="00B76A73">
        <w:t>quarter</w:t>
      </w:r>
      <w:r w:rsidRPr="00B76A73">
        <w:t xml:space="preserve">, </w:t>
      </w:r>
      <w:r w:rsidR="008B3726">
        <w:t>down 0.4</w:t>
      </w:r>
      <w:r w:rsidRPr="00B76A73">
        <w:t xml:space="preserve">% </w:t>
      </w:r>
      <w:r w:rsidR="00EF14EE" w:rsidRPr="00B76A73">
        <w:t>from</w:t>
      </w:r>
      <w:r w:rsidR="006B1EB1" w:rsidRPr="00B76A73">
        <w:t xml:space="preserve"> the </w:t>
      </w:r>
      <w:r w:rsidR="008B3726">
        <w:t>1</w:t>
      </w:r>
      <w:r w:rsidR="008B3726" w:rsidRPr="008B3726">
        <w:rPr>
          <w:vertAlign w:val="superscript"/>
        </w:rPr>
        <w:t>st</w:t>
      </w:r>
      <w:r w:rsidR="008B3726">
        <w:t xml:space="preserve"> quarter</w:t>
      </w:r>
      <w:r w:rsidRPr="00B76A73">
        <w:t>.</w:t>
      </w:r>
    </w:p>
    <w:p w14:paraId="149D5F1F" w14:textId="6EDB886E" w:rsidR="00172307" w:rsidRPr="00B76A73" w:rsidRDefault="0033144B" w:rsidP="00BA7A2C">
      <w:pPr>
        <w:jc w:val="center"/>
      </w:pPr>
      <w:r>
        <w:rPr>
          <w:noProof/>
        </w:rPr>
        <w:lastRenderedPageBreak/>
        <w:drawing>
          <wp:inline distT="0" distB="0" distL="0" distR="0" wp14:anchorId="3CA8F7A3" wp14:editId="26859CC2">
            <wp:extent cx="3816350" cy="2646045"/>
            <wp:effectExtent l="0" t="0" r="0" b="1905"/>
            <wp:docPr id="6768978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6350" cy="2646045"/>
                    </a:xfrm>
                    <a:prstGeom prst="rect">
                      <a:avLst/>
                    </a:prstGeom>
                    <a:noFill/>
                  </pic:spPr>
                </pic:pic>
              </a:graphicData>
            </a:graphic>
          </wp:inline>
        </w:drawing>
      </w:r>
    </w:p>
    <w:p w14:paraId="5A38C44B" w14:textId="66D39024" w:rsidR="007A05AD" w:rsidRPr="00B76A73" w:rsidRDefault="007A05AD" w:rsidP="007A05AD">
      <w:r w:rsidRPr="00B76A73">
        <w:t>The Capacity Utilization Index</w:t>
      </w:r>
      <w:r w:rsidRPr="00B76A73">
        <w:rPr>
          <w:rStyle w:val="FootnoteReference"/>
        </w:rPr>
        <w:footnoteReference w:id="10"/>
      </w:r>
      <w:r w:rsidRPr="00B76A73">
        <w:t xml:space="preserve">, which attempts to capture industrial output as a percentage of the economy’s maximum production capacity, </w:t>
      </w:r>
      <w:r w:rsidR="00491F40">
        <w:t>ended</w:t>
      </w:r>
      <w:r w:rsidR="00137248" w:rsidRPr="00B76A73">
        <w:t xml:space="preserve"> the </w:t>
      </w:r>
      <w:r w:rsidR="00A42997">
        <w:t>2</w:t>
      </w:r>
      <w:r w:rsidR="00A42997" w:rsidRPr="00A42997">
        <w:rPr>
          <w:vertAlign w:val="superscript"/>
        </w:rPr>
        <w:t>nd</w:t>
      </w:r>
      <w:r w:rsidR="00A42997">
        <w:t xml:space="preserve"> </w:t>
      </w:r>
      <w:r w:rsidR="00137248" w:rsidRPr="00B76A73">
        <w:t>quarter</w:t>
      </w:r>
      <w:r w:rsidR="00953DF2" w:rsidRPr="00B76A73">
        <w:t xml:space="preserve"> of 202</w:t>
      </w:r>
      <w:r w:rsidR="00491F40">
        <w:t>3 at 7</w:t>
      </w:r>
      <w:r w:rsidR="00A42997">
        <w:t>8.0</w:t>
      </w:r>
      <w:r w:rsidR="00A42997" w:rsidRPr="00B76A73">
        <w:t xml:space="preserve"> </w:t>
      </w:r>
      <w:r w:rsidR="00491F40" w:rsidRPr="00B76A73">
        <w:t>%</w:t>
      </w:r>
      <w:r w:rsidRPr="00B76A73">
        <w:t xml:space="preserve">. </w:t>
      </w:r>
      <w:r w:rsidR="00A42997">
        <w:t>June</w:t>
      </w:r>
      <w:r w:rsidR="00491F40">
        <w:t xml:space="preserve"> 2023’s </w:t>
      </w:r>
      <w:r w:rsidR="00273DCA" w:rsidRPr="00B76A73">
        <w:t xml:space="preserve">level was </w:t>
      </w:r>
      <w:r w:rsidR="00F750FA">
        <w:t>above</w:t>
      </w:r>
      <w:r w:rsidR="00E93558">
        <w:t xml:space="preserve"> </w:t>
      </w:r>
      <w:r w:rsidR="00273DCA" w:rsidRPr="00B76A73">
        <w:t>the</w:t>
      </w:r>
      <w:r w:rsidRPr="00B76A73">
        <w:t xml:space="preserve"> </w:t>
      </w:r>
      <w:r w:rsidR="00953DF2" w:rsidRPr="00B76A73">
        <w:t>30-year average</w:t>
      </w:r>
      <w:r w:rsidR="00273DCA" w:rsidRPr="00B76A73">
        <w:t xml:space="preserve"> of 76.</w:t>
      </w:r>
      <w:r w:rsidR="00720F25" w:rsidRPr="00B76A73">
        <w:t>9</w:t>
      </w:r>
      <w:r w:rsidR="00273DCA" w:rsidRPr="00B76A73">
        <w:t>%</w:t>
      </w:r>
      <w:r w:rsidRPr="00B76A73">
        <w:t xml:space="preserve"> for th</w:t>
      </w:r>
      <w:r w:rsidR="00273DCA" w:rsidRPr="00B76A73">
        <w:t>is</w:t>
      </w:r>
      <w:r w:rsidRPr="00B76A73">
        <w:t xml:space="preserve"> metric</w:t>
      </w:r>
      <w:r w:rsidR="00E93558">
        <w:t>,</w:t>
      </w:r>
      <w:r w:rsidR="00B66C70" w:rsidRPr="00B76A73">
        <w:t xml:space="preserve"> </w:t>
      </w:r>
      <w:r w:rsidR="00F750FA">
        <w:t xml:space="preserve">and </w:t>
      </w:r>
      <w:r w:rsidR="00A42997">
        <w:t>0.2</w:t>
      </w:r>
      <w:r w:rsidR="00F750FA">
        <w:t>% higher</w:t>
      </w:r>
      <w:r w:rsidR="00B66C70" w:rsidRPr="00B76A73">
        <w:t xml:space="preserve"> than </w:t>
      </w:r>
      <w:r w:rsidR="003058BA" w:rsidRPr="00B76A73">
        <w:t>the previous quarter</w:t>
      </w:r>
      <w:r w:rsidRPr="00B76A73">
        <w:t>.</w:t>
      </w:r>
    </w:p>
    <w:p w14:paraId="2B52197D" w14:textId="7E422555" w:rsidR="007A05AD" w:rsidRPr="00B76A73" w:rsidRDefault="0033144B" w:rsidP="00BA7A2C">
      <w:pPr>
        <w:jc w:val="center"/>
      </w:pPr>
      <w:r>
        <w:rPr>
          <w:noProof/>
        </w:rPr>
        <w:drawing>
          <wp:inline distT="0" distB="0" distL="0" distR="0" wp14:anchorId="2B0CD203" wp14:editId="3DB25A62">
            <wp:extent cx="3816350" cy="2646045"/>
            <wp:effectExtent l="0" t="0" r="0" b="1905"/>
            <wp:docPr id="7046055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6350" cy="2646045"/>
                    </a:xfrm>
                    <a:prstGeom prst="rect">
                      <a:avLst/>
                    </a:prstGeom>
                    <a:noFill/>
                  </pic:spPr>
                </pic:pic>
              </a:graphicData>
            </a:graphic>
          </wp:inline>
        </w:drawing>
      </w:r>
    </w:p>
    <w:p w14:paraId="149D5F20" w14:textId="72147876" w:rsidR="00005111" w:rsidRPr="00B76A73" w:rsidRDefault="00005111" w:rsidP="005261C1">
      <w:pPr>
        <w:pStyle w:val="Heading1"/>
      </w:pPr>
      <w:r w:rsidRPr="00B76A73">
        <w:t>Interest Rates</w:t>
      </w:r>
    </w:p>
    <w:p w14:paraId="472CBB47" w14:textId="131A3C08" w:rsidR="00A96A6A" w:rsidRPr="00B76A73" w:rsidRDefault="004005A4" w:rsidP="00952E0A">
      <w:pPr>
        <w:rPr>
          <w:color w:val="000000" w:themeColor="text1"/>
        </w:rPr>
      </w:pPr>
      <w:r w:rsidRPr="00B76A73">
        <w:t>T</w:t>
      </w:r>
      <w:r w:rsidR="00231BB2" w:rsidRPr="00B76A73">
        <w:t xml:space="preserve">he effective </w:t>
      </w:r>
      <w:r w:rsidR="00814E45" w:rsidRPr="00B76A73">
        <w:t>federal f</w:t>
      </w:r>
      <w:r w:rsidR="00231BB2" w:rsidRPr="00B76A73">
        <w:t>unds rate</w:t>
      </w:r>
      <w:r w:rsidR="00814E45" w:rsidRPr="00B76A73">
        <w:rPr>
          <w:rStyle w:val="FootnoteReference"/>
        </w:rPr>
        <w:footnoteReference w:id="11"/>
      </w:r>
      <w:r w:rsidR="00231BB2" w:rsidRPr="00B76A73">
        <w:t xml:space="preserve"> </w:t>
      </w:r>
      <w:r w:rsidR="00D03C98" w:rsidRPr="00B76A73">
        <w:t xml:space="preserve">rose </w:t>
      </w:r>
      <w:r w:rsidR="004C17A1">
        <w:t>0.</w:t>
      </w:r>
      <w:r w:rsidR="00FE6DD6">
        <w:t>43</w:t>
      </w:r>
      <w:r w:rsidR="00D03C98" w:rsidRPr="00B76A73">
        <w:t xml:space="preserve"> percentage point</w:t>
      </w:r>
      <w:r w:rsidR="00C17572">
        <w:t>s</w:t>
      </w:r>
      <w:r w:rsidR="00D03C98" w:rsidRPr="00B76A73">
        <w:t xml:space="preserve"> to </w:t>
      </w:r>
      <w:r w:rsidR="00FE6DD6">
        <w:t>5.08</w:t>
      </w:r>
      <w:r w:rsidR="00D03C98" w:rsidRPr="00B76A73">
        <w:t xml:space="preserve">% during the </w:t>
      </w:r>
      <w:r w:rsidR="00FE6DD6">
        <w:t>2</w:t>
      </w:r>
      <w:r w:rsidR="00FE6DD6" w:rsidRPr="00FE6DD6">
        <w:rPr>
          <w:vertAlign w:val="superscript"/>
        </w:rPr>
        <w:t>nd</w:t>
      </w:r>
      <w:r w:rsidR="00FE6DD6">
        <w:t xml:space="preserve"> </w:t>
      </w:r>
      <w:r w:rsidR="00D03C98" w:rsidRPr="00B76A73">
        <w:t>quarter</w:t>
      </w:r>
      <w:r w:rsidR="005A5095" w:rsidRPr="00B76A73">
        <w:t>, continuing</w:t>
      </w:r>
      <w:r w:rsidR="00D03C98" w:rsidRPr="00B76A73">
        <w:t xml:space="preserve"> the climb from near-zero levels </w:t>
      </w:r>
      <w:r w:rsidR="005A5095" w:rsidRPr="00B76A73">
        <w:t xml:space="preserve">that began </w:t>
      </w:r>
      <w:r w:rsidR="00FE6DD6">
        <w:t>in</w:t>
      </w:r>
      <w:r w:rsidR="00D03C98" w:rsidRPr="00B76A73">
        <w:t xml:space="preserve"> March</w:t>
      </w:r>
      <w:r w:rsidR="00FE6DD6">
        <w:t xml:space="preserve"> 2022</w:t>
      </w:r>
      <w:r w:rsidR="00814E45" w:rsidRPr="00B76A73">
        <w:t xml:space="preserve">. </w:t>
      </w:r>
      <w:r w:rsidR="00E64295">
        <w:t>T</w:t>
      </w:r>
      <w:r w:rsidR="00231BB2" w:rsidRPr="00B76A73">
        <w:t xml:space="preserve">reasury </w:t>
      </w:r>
      <w:r w:rsidR="003F4CDB" w:rsidRPr="00B76A73">
        <w:t>bond yields</w:t>
      </w:r>
      <w:r w:rsidR="005A0EC4" w:rsidRPr="00B76A73">
        <w:rPr>
          <w:rStyle w:val="FootnoteReference"/>
        </w:rPr>
        <w:footnoteReference w:id="12"/>
      </w:r>
      <w:r w:rsidR="00A73A66" w:rsidRPr="00B76A73">
        <w:t xml:space="preserve"> </w:t>
      </w:r>
      <w:r w:rsidR="00451F5B">
        <w:t xml:space="preserve">for </w:t>
      </w:r>
      <w:r w:rsidR="00451F5B">
        <w:lastRenderedPageBreak/>
        <w:t xml:space="preserve">periods </w:t>
      </w:r>
      <w:r w:rsidR="00764632">
        <w:t>one</w:t>
      </w:r>
      <w:r w:rsidR="00451F5B">
        <w:t xml:space="preserve"> year and up </w:t>
      </w:r>
      <w:r w:rsidR="00E64295">
        <w:t>rose</w:t>
      </w:r>
      <w:r w:rsidR="00A14458" w:rsidRPr="00B76A73">
        <w:t xml:space="preserve"> during the </w:t>
      </w:r>
      <w:r w:rsidR="00E64295">
        <w:t>2</w:t>
      </w:r>
      <w:r w:rsidR="00E64295" w:rsidRPr="00E64295">
        <w:rPr>
          <w:vertAlign w:val="superscript"/>
        </w:rPr>
        <w:t>nd</w:t>
      </w:r>
      <w:r w:rsidR="00E64295">
        <w:t xml:space="preserve"> </w:t>
      </w:r>
      <w:r w:rsidR="00A14458" w:rsidRPr="00B76A73">
        <w:t>quarter</w:t>
      </w:r>
      <w:r w:rsidR="004C17A1">
        <w:t>. T</w:t>
      </w:r>
      <w:r w:rsidR="007B69AE">
        <w:t>he yield curve remained inverted as l</w:t>
      </w:r>
      <w:r w:rsidR="00A14458" w:rsidRPr="00B76A73">
        <w:t xml:space="preserve">ong-term treasury yields </w:t>
      </w:r>
      <w:r w:rsidR="00E64295">
        <w:t>fell further behind</w:t>
      </w:r>
      <w:r w:rsidR="007B69AE">
        <w:t xml:space="preserve"> shorter-term yields</w:t>
      </w:r>
      <w:r w:rsidR="00231BB2" w:rsidRPr="00B76A73">
        <w:t>.</w:t>
      </w:r>
      <w:r w:rsidR="00455043" w:rsidRPr="00B76A73">
        <w:t xml:space="preserve"> T</w:t>
      </w:r>
      <w:r w:rsidR="00032178" w:rsidRPr="00B76A73">
        <w:t>he</w:t>
      </w:r>
      <w:r w:rsidR="00376778" w:rsidRPr="00B76A73">
        <w:t xml:space="preserve"> </w:t>
      </w:r>
      <w:r w:rsidR="00981FF8" w:rsidRPr="00B76A73">
        <w:t>closely watched</w:t>
      </w:r>
      <w:r w:rsidR="00635C43" w:rsidRPr="00B76A73">
        <w:t xml:space="preserve"> </w:t>
      </w:r>
      <w:r w:rsidR="00376778" w:rsidRPr="00B76A73">
        <w:t xml:space="preserve">two- and ten-year rates </w:t>
      </w:r>
      <w:r w:rsidR="00697A66">
        <w:t xml:space="preserve">have been </w:t>
      </w:r>
      <w:r w:rsidR="00032178" w:rsidRPr="00B76A73">
        <w:t xml:space="preserve">inverted </w:t>
      </w:r>
      <w:r w:rsidR="00697A66">
        <w:t xml:space="preserve">since </w:t>
      </w:r>
      <w:r w:rsidR="00032178" w:rsidRPr="00B76A73">
        <w:t xml:space="preserve">early in </w:t>
      </w:r>
      <w:r w:rsidR="00981FF8" w:rsidRPr="00B76A73">
        <w:t>July</w:t>
      </w:r>
      <w:r w:rsidR="00032178" w:rsidRPr="00B76A73">
        <w:t xml:space="preserve"> </w:t>
      </w:r>
      <w:r w:rsidR="00764632">
        <w:t>2022</w:t>
      </w:r>
      <w:r w:rsidR="005E1BD2" w:rsidRPr="00B76A73">
        <w:t xml:space="preserve">. </w:t>
      </w:r>
      <w:r w:rsidR="003F4CDB" w:rsidRPr="00B76A73">
        <w:t>The</w:t>
      </w:r>
      <w:r w:rsidR="008844A2" w:rsidRPr="00B76A73">
        <w:t xml:space="preserve"> 1</w:t>
      </w:r>
      <w:r w:rsidR="005E7A94" w:rsidRPr="00B76A73">
        <w:t xml:space="preserve">-year and 2-year annual treasury yields </w:t>
      </w:r>
      <w:r w:rsidR="00B65667" w:rsidRPr="00B76A73">
        <w:t xml:space="preserve">ended the </w:t>
      </w:r>
      <w:r w:rsidR="00E64295">
        <w:t>2</w:t>
      </w:r>
      <w:r w:rsidR="00E64295" w:rsidRPr="00E64295">
        <w:rPr>
          <w:vertAlign w:val="superscript"/>
        </w:rPr>
        <w:t>nd</w:t>
      </w:r>
      <w:r w:rsidR="00E64295">
        <w:t xml:space="preserve"> </w:t>
      </w:r>
      <w:r w:rsidR="00B65667" w:rsidRPr="00B76A73">
        <w:t>quarter</w:t>
      </w:r>
      <w:r w:rsidR="005E7A94" w:rsidRPr="00B76A73">
        <w:t xml:space="preserve"> at </w:t>
      </w:r>
      <w:r w:rsidR="00E64295">
        <w:t>5.40</w:t>
      </w:r>
      <w:r w:rsidR="005E7A94" w:rsidRPr="00B76A73">
        <w:t>%</w:t>
      </w:r>
      <w:r w:rsidR="008844A2" w:rsidRPr="00B76A73">
        <w:t xml:space="preserve"> and </w:t>
      </w:r>
      <w:r w:rsidR="00981FF8" w:rsidRPr="00B76A73">
        <w:t>4.</w:t>
      </w:r>
      <w:r w:rsidR="00E64295">
        <w:t>87</w:t>
      </w:r>
      <w:r w:rsidR="006E6EAA" w:rsidRPr="00B76A73">
        <w:t>%, respectively</w:t>
      </w:r>
      <w:r w:rsidR="005E7A94" w:rsidRPr="00B76A73">
        <w:t>.</w:t>
      </w:r>
      <w:r w:rsidR="00231BB2" w:rsidRPr="00B76A73">
        <w:t xml:space="preserve"> The </w:t>
      </w:r>
      <w:r w:rsidR="005E7A94" w:rsidRPr="00B76A73">
        <w:t xml:space="preserve">benchmark </w:t>
      </w:r>
      <w:r w:rsidR="00022BB4" w:rsidRPr="00B76A73">
        <w:t>1</w:t>
      </w:r>
      <w:r w:rsidR="0061080D" w:rsidRPr="00B76A73">
        <w:t xml:space="preserve">0-year treasury </w:t>
      </w:r>
      <w:r w:rsidR="005E7A94" w:rsidRPr="00B76A73">
        <w:t>yielded</w:t>
      </w:r>
      <w:r w:rsidR="0061080D" w:rsidRPr="00B76A73">
        <w:t xml:space="preserve"> </w:t>
      </w:r>
      <w:r w:rsidR="00981FF8" w:rsidRPr="00B76A73">
        <w:t>3.</w:t>
      </w:r>
      <w:r w:rsidR="00E64295">
        <w:t>81</w:t>
      </w:r>
      <w:r w:rsidR="0061080D" w:rsidRPr="00B76A73">
        <w:t>%</w:t>
      </w:r>
      <w:r w:rsidR="005E7A94" w:rsidRPr="00B76A73">
        <w:t xml:space="preserve"> at the</w:t>
      </w:r>
      <w:r w:rsidR="00B65667" w:rsidRPr="00B76A73">
        <w:t xml:space="preserve"> end of </w:t>
      </w:r>
      <w:r w:rsidR="008844A2" w:rsidRPr="00B76A73">
        <w:t>the quarter</w:t>
      </w:r>
      <w:r w:rsidR="005E7A94" w:rsidRPr="00B76A73">
        <w:t xml:space="preserve">, while </w:t>
      </w:r>
      <w:r w:rsidR="00D851AB" w:rsidRPr="00B76A73">
        <w:t xml:space="preserve">the </w:t>
      </w:r>
      <w:r w:rsidR="00022BB4" w:rsidRPr="00B76A73">
        <w:t>3</w:t>
      </w:r>
      <w:r w:rsidR="00D851AB" w:rsidRPr="00B76A73">
        <w:t xml:space="preserve">0-year treasury </w:t>
      </w:r>
      <w:r w:rsidR="00B65667" w:rsidRPr="00B76A73">
        <w:t>yielded</w:t>
      </w:r>
      <w:r w:rsidR="00D851AB" w:rsidRPr="00B76A73">
        <w:t xml:space="preserve"> </w:t>
      </w:r>
      <w:r w:rsidR="00635C43" w:rsidRPr="00B76A73">
        <w:t>3.</w:t>
      </w:r>
      <w:r w:rsidR="00E64295">
        <w:t>85</w:t>
      </w:r>
      <w:r w:rsidR="00D851AB" w:rsidRPr="00B76A73">
        <w:t>%</w:t>
      </w:r>
      <w:r w:rsidR="00AE64EF" w:rsidRPr="00B76A73">
        <w:rPr>
          <w:color w:val="000000" w:themeColor="text1"/>
        </w:rPr>
        <w:t>.</w:t>
      </w:r>
      <w:r w:rsidR="002301AB" w:rsidRPr="00B76A73">
        <w:rPr>
          <w:color w:val="000000" w:themeColor="text1"/>
        </w:rPr>
        <w:t xml:space="preserve"> See </w:t>
      </w:r>
      <w:r w:rsidR="002301AB" w:rsidRPr="00B76A73">
        <w:rPr>
          <w:i/>
          <w:iCs/>
          <w:color w:val="000000" w:themeColor="text1"/>
        </w:rPr>
        <w:t>Appendix – Selected Interest Rates</w:t>
      </w:r>
      <w:r w:rsidR="002301AB" w:rsidRPr="00B76A73">
        <w:rPr>
          <w:color w:val="000000" w:themeColor="text1"/>
        </w:rPr>
        <w:t xml:space="preserve"> for detailed interest rate data. </w:t>
      </w:r>
    </w:p>
    <w:p w14:paraId="0614E8BB" w14:textId="61DCDABA" w:rsidR="004D1C9D" w:rsidRPr="00B76A73" w:rsidRDefault="0033144B" w:rsidP="005117CA">
      <w:pPr>
        <w:jc w:val="center"/>
      </w:pPr>
      <w:r>
        <w:rPr>
          <w:noProof/>
        </w:rPr>
        <w:drawing>
          <wp:inline distT="0" distB="0" distL="0" distR="0" wp14:anchorId="091E20DE" wp14:editId="61A3BED5">
            <wp:extent cx="3493135" cy="2664460"/>
            <wp:effectExtent l="0" t="0" r="0" b="2540"/>
            <wp:docPr id="5606251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3135" cy="2664460"/>
                    </a:xfrm>
                    <a:prstGeom prst="rect">
                      <a:avLst/>
                    </a:prstGeom>
                    <a:noFill/>
                  </pic:spPr>
                </pic:pic>
              </a:graphicData>
            </a:graphic>
          </wp:inline>
        </w:drawing>
      </w:r>
    </w:p>
    <w:p w14:paraId="031CA932" w14:textId="4C543668" w:rsidR="00B00681" w:rsidRPr="00B76A73" w:rsidRDefault="00171C8E" w:rsidP="00005111">
      <w:r w:rsidRPr="00B76A73">
        <w:t xml:space="preserve">In </w:t>
      </w:r>
      <w:r w:rsidR="00B34926" w:rsidRPr="00B76A73">
        <w:t xml:space="preserve">the </w:t>
      </w:r>
      <w:r w:rsidR="00AA3A84">
        <w:t>2</w:t>
      </w:r>
      <w:r w:rsidR="00AA3A84" w:rsidRPr="00AA3A84">
        <w:rPr>
          <w:vertAlign w:val="superscript"/>
        </w:rPr>
        <w:t>nd</w:t>
      </w:r>
      <w:r w:rsidR="00AA3A84">
        <w:t xml:space="preserve"> </w:t>
      </w:r>
      <w:r w:rsidR="00B34926" w:rsidRPr="00B76A73">
        <w:t>quarter of 202</w:t>
      </w:r>
      <w:r w:rsidR="00BB286D">
        <w:t>3</w:t>
      </w:r>
      <w:r w:rsidR="00FE4D42" w:rsidRPr="00B76A73">
        <w:t>,</w:t>
      </w:r>
      <w:r w:rsidRPr="00B76A73">
        <w:t xml:space="preserve"> the Federal Reserve </w:t>
      </w:r>
      <w:r w:rsidR="00D55A04">
        <w:t>slowed</w:t>
      </w:r>
      <w:r w:rsidR="00635C43" w:rsidRPr="00B76A73">
        <w:t xml:space="preserve"> the</w:t>
      </w:r>
      <w:r w:rsidR="00981FF8" w:rsidRPr="00B76A73">
        <w:t>ir</w:t>
      </w:r>
      <w:r w:rsidR="00635C43" w:rsidRPr="00B76A73">
        <w:t xml:space="preserve"> series of</w:t>
      </w:r>
      <w:r w:rsidR="00D851AB" w:rsidRPr="00B76A73">
        <w:t xml:space="preserve"> federal funds target rate</w:t>
      </w:r>
      <w:r w:rsidR="003A4C56" w:rsidRPr="00B76A73">
        <w:rPr>
          <w:rStyle w:val="FootnoteReference"/>
        </w:rPr>
        <w:footnoteReference w:id="13"/>
      </w:r>
      <w:r w:rsidR="00740863" w:rsidRPr="00B76A73">
        <w:t xml:space="preserve"> </w:t>
      </w:r>
      <w:r w:rsidR="005E1BD2" w:rsidRPr="00B76A73">
        <w:t>hike</w:t>
      </w:r>
      <w:r w:rsidR="00635C43" w:rsidRPr="00B76A73">
        <w:t>s</w:t>
      </w:r>
      <w:r w:rsidR="00D55A04">
        <w:t>, enacting one</w:t>
      </w:r>
      <w:r w:rsidR="00981FF8" w:rsidRPr="00B76A73">
        <w:t xml:space="preserve"> increase </w:t>
      </w:r>
      <w:r w:rsidR="00D55A04">
        <w:t>of 25</w:t>
      </w:r>
      <w:r w:rsidR="00981FF8" w:rsidRPr="00B76A73">
        <w:t xml:space="preserve"> basis points</w:t>
      </w:r>
      <w:r w:rsidR="00D55A04">
        <w:t>. The target rate</w:t>
      </w:r>
      <w:r w:rsidR="00981FF8" w:rsidRPr="00B76A73">
        <w:t xml:space="preserve"> end</w:t>
      </w:r>
      <w:r w:rsidR="00D55A04">
        <w:t>ed</w:t>
      </w:r>
      <w:r w:rsidR="00981FF8" w:rsidRPr="00B76A73">
        <w:t xml:space="preserve"> the quarter at a</w:t>
      </w:r>
      <w:r w:rsidR="00365998">
        <w:t xml:space="preserve"> 17</w:t>
      </w:r>
      <w:r w:rsidR="00EF1379">
        <w:t>-year</w:t>
      </w:r>
      <w:r w:rsidR="00D55A04">
        <w:t>-</w:t>
      </w:r>
      <w:r w:rsidR="00EF1379">
        <w:t>high</w:t>
      </w:r>
      <w:r w:rsidR="00981FF8" w:rsidRPr="00B76A73">
        <w:t xml:space="preserve"> range of </w:t>
      </w:r>
      <w:r w:rsidR="00D55A04">
        <w:t>5.00</w:t>
      </w:r>
      <w:r w:rsidR="00981FF8" w:rsidRPr="00B76A73">
        <w:t xml:space="preserve">% to </w:t>
      </w:r>
      <w:r w:rsidR="00BB286D">
        <w:t>5.</w:t>
      </w:r>
      <w:r w:rsidR="00D55A04">
        <w:t>25</w:t>
      </w:r>
      <w:r w:rsidR="00981FF8" w:rsidRPr="00B76A73">
        <w:t>%</w:t>
      </w:r>
      <w:r w:rsidR="00455D78" w:rsidRPr="00B76A73">
        <w:t>.</w:t>
      </w:r>
      <w:r w:rsidR="000B0583" w:rsidRPr="00B76A73">
        <w:t xml:space="preserve"> </w:t>
      </w:r>
      <w:r w:rsidR="00B0120F">
        <w:t>After ten consecutive rate hikes beginning in March 2022, t</w:t>
      </w:r>
      <w:r w:rsidR="00C5430F" w:rsidRPr="00B76A73">
        <w:t xml:space="preserve">he committee </w:t>
      </w:r>
      <w:r w:rsidR="00B0120F">
        <w:t>paused in June to reassess the economic landscape</w:t>
      </w:r>
      <w:r w:rsidR="00B90547">
        <w:t>.</w:t>
      </w:r>
      <w:r w:rsidR="00B0120F">
        <w:t xml:space="preserve"> Still, committee members revised their “dot plot” projections upward, pushing the median interest rate expectation for the end of 2023 to 5.6% and </w:t>
      </w:r>
      <w:r w:rsidR="00742ADB">
        <w:t>predicting</w:t>
      </w:r>
      <w:r w:rsidR="00B0120F">
        <w:t xml:space="preserve"> two additional rate hikes in 2023.</w:t>
      </w:r>
      <w:r w:rsidR="00B90547">
        <w:t xml:space="preserve"> </w:t>
      </w:r>
    </w:p>
    <w:p w14:paraId="515AD2F7" w14:textId="47CD8026" w:rsidR="004D1C9D" w:rsidRPr="00B76A73" w:rsidRDefault="0033144B" w:rsidP="00166C08">
      <w:pPr>
        <w:jc w:val="center"/>
      </w:pPr>
      <w:r>
        <w:rPr>
          <w:noProof/>
        </w:rPr>
        <w:lastRenderedPageBreak/>
        <w:drawing>
          <wp:inline distT="0" distB="0" distL="0" distR="0" wp14:anchorId="081DCDAC" wp14:editId="41CBF046">
            <wp:extent cx="3493135" cy="2651760"/>
            <wp:effectExtent l="0" t="0" r="0" b="0"/>
            <wp:docPr id="10372535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3135" cy="2651760"/>
                    </a:xfrm>
                    <a:prstGeom prst="rect">
                      <a:avLst/>
                    </a:prstGeom>
                    <a:noFill/>
                  </pic:spPr>
                </pic:pic>
              </a:graphicData>
            </a:graphic>
          </wp:inline>
        </w:drawing>
      </w:r>
    </w:p>
    <w:p w14:paraId="54113481" w14:textId="77777777" w:rsidR="00B7512F" w:rsidRPr="00B76A73" w:rsidRDefault="00B7512F" w:rsidP="00166C08">
      <w:pPr>
        <w:jc w:val="center"/>
      </w:pPr>
    </w:p>
    <w:p w14:paraId="7D026DBE" w14:textId="70E2A3DF" w:rsidR="004D1C9D" w:rsidRPr="00B76A73" w:rsidRDefault="005117CA" w:rsidP="005261C1">
      <w:r w:rsidRPr="00B76A73">
        <w:t>T</w:t>
      </w:r>
      <w:r w:rsidR="002978F9" w:rsidRPr="00B76A73">
        <w:t xml:space="preserve">he yield on the </w:t>
      </w:r>
      <w:r w:rsidR="0039196F" w:rsidRPr="00B76A73">
        <w:t xml:space="preserve">benchmark </w:t>
      </w:r>
      <w:r w:rsidR="002978F9" w:rsidRPr="00B76A73">
        <w:t>10-year U.S. treasury</w:t>
      </w:r>
      <w:r w:rsidR="004759DB" w:rsidRPr="00B76A73">
        <w:rPr>
          <w:rStyle w:val="FootnoteReference"/>
        </w:rPr>
        <w:footnoteReference w:id="14"/>
      </w:r>
      <w:r w:rsidR="002978F9" w:rsidRPr="00B76A73">
        <w:t xml:space="preserve"> </w:t>
      </w:r>
      <w:r w:rsidR="00455D78" w:rsidRPr="00B76A73">
        <w:t xml:space="preserve">ended the </w:t>
      </w:r>
      <w:r w:rsidR="00742ADB">
        <w:t>2</w:t>
      </w:r>
      <w:r w:rsidR="00742ADB" w:rsidRPr="00742ADB">
        <w:rPr>
          <w:vertAlign w:val="superscript"/>
        </w:rPr>
        <w:t>nd</w:t>
      </w:r>
      <w:r w:rsidR="00742ADB">
        <w:t xml:space="preserve"> </w:t>
      </w:r>
      <w:r w:rsidRPr="00B76A73">
        <w:t>quarter</w:t>
      </w:r>
      <w:r w:rsidR="00A73A66" w:rsidRPr="00B76A73">
        <w:t xml:space="preserve"> </w:t>
      </w:r>
      <w:r w:rsidR="00455D78" w:rsidRPr="00B76A73">
        <w:t>at</w:t>
      </w:r>
      <w:r w:rsidR="00A73A66" w:rsidRPr="00B76A73">
        <w:t xml:space="preserve"> </w:t>
      </w:r>
      <w:r w:rsidR="00B7512F" w:rsidRPr="00B76A73">
        <w:t>3.</w:t>
      </w:r>
      <w:r w:rsidR="00742ADB">
        <w:t>81</w:t>
      </w:r>
      <w:r w:rsidR="00A73A66" w:rsidRPr="00B76A73">
        <w:t xml:space="preserve">%, </w:t>
      </w:r>
      <w:r w:rsidR="00742ADB">
        <w:t>up</w:t>
      </w:r>
      <w:r w:rsidR="0028240F">
        <w:t xml:space="preserve"> 0.</w:t>
      </w:r>
      <w:r w:rsidR="00742ADB">
        <w:t>33</w:t>
      </w:r>
      <w:r w:rsidR="00C5430F" w:rsidRPr="00B76A73">
        <w:t xml:space="preserve"> percentage points</w:t>
      </w:r>
      <w:r w:rsidR="00455D78" w:rsidRPr="00B76A73">
        <w:t xml:space="preserve"> from the previous quarter</w:t>
      </w:r>
      <w:r w:rsidR="00742ADB">
        <w:t xml:space="preserve">, yet </w:t>
      </w:r>
      <w:r w:rsidR="00071875" w:rsidRPr="00B76A73">
        <w:t xml:space="preserve">below the average yield of </w:t>
      </w:r>
      <w:r w:rsidR="003A4C56" w:rsidRPr="00B76A73">
        <w:t>3.</w:t>
      </w:r>
      <w:r w:rsidR="0028240F">
        <w:t>8</w:t>
      </w:r>
      <w:r w:rsidR="00DE4A5F">
        <w:t>7</w:t>
      </w:r>
      <w:r w:rsidR="004965CE" w:rsidRPr="00B76A73">
        <w:t>% over the last 30 years</w:t>
      </w:r>
      <w:r w:rsidR="00CB629F" w:rsidRPr="00B76A73">
        <w:t>.</w:t>
      </w:r>
      <w:r w:rsidR="00A73A66" w:rsidRPr="00B76A73">
        <w:t xml:space="preserve"> </w:t>
      </w:r>
    </w:p>
    <w:p w14:paraId="67433862" w14:textId="3ED068E9" w:rsidR="004D1C9D" w:rsidRPr="00B76A73" w:rsidRDefault="0033144B" w:rsidP="005117CA">
      <w:pPr>
        <w:jc w:val="center"/>
      </w:pPr>
      <w:r>
        <w:rPr>
          <w:noProof/>
        </w:rPr>
        <w:drawing>
          <wp:inline distT="0" distB="0" distL="0" distR="0" wp14:anchorId="4F6C04AF" wp14:editId="2F96949F">
            <wp:extent cx="3499485" cy="2651760"/>
            <wp:effectExtent l="0" t="0" r="5715" b="0"/>
            <wp:docPr id="19387730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9485" cy="2651760"/>
                    </a:xfrm>
                    <a:prstGeom prst="rect">
                      <a:avLst/>
                    </a:prstGeom>
                    <a:noFill/>
                  </pic:spPr>
                </pic:pic>
              </a:graphicData>
            </a:graphic>
          </wp:inline>
        </w:drawing>
      </w:r>
    </w:p>
    <w:p w14:paraId="75A11124" w14:textId="46FF72C2" w:rsidR="001945EC" w:rsidRPr="00B76A73" w:rsidRDefault="00F02B3A" w:rsidP="00460436">
      <w:r w:rsidRPr="00B76A73">
        <w:t>Moody’s Baa Corpor</w:t>
      </w:r>
      <w:r w:rsidR="00102080" w:rsidRPr="00B76A73">
        <w:t xml:space="preserve">ate Bond Yield </w:t>
      </w:r>
      <w:r w:rsidR="004E3393" w:rsidRPr="00B76A73">
        <w:t>Index</w:t>
      </w:r>
      <w:r w:rsidR="004E5EC0" w:rsidRPr="00B76A73">
        <w:rPr>
          <w:rStyle w:val="FootnoteReference"/>
        </w:rPr>
        <w:footnoteReference w:id="15"/>
      </w:r>
      <w:r w:rsidR="004E3393" w:rsidRPr="00B76A73">
        <w:t xml:space="preserve"> </w:t>
      </w:r>
      <w:r w:rsidR="009D42AA" w:rsidRPr="00B76A73">
        <w:t xml:space="preserve">ended the </w:t>
      </w:r>
      <w:r w:rsidR="00742ADB">
        <w:t>2</w:t>
      </w:r>
      <w:r w:rsidR="00742ADB" w:rsidRPr="00742ADB">
        <w:rPr>
          <w:vertAlign w:val="superscript"/>
        </w:rPr>
        <w:t>nd</w:t>
      </w:r>
      <w:r w:rsidR="00742ADB">
        <w:t xml:space="preserve"> </w:t>
      </w:r>
      <w:r w:rsidR="009D42AA" w:rsidRPr="00B76A73">
        <w:t xml:space="preserve">quarter </w:t>
      </w:r>
      <w:r w:rsidR="00551CFE" w:rsidRPr="00B76A73">
        <w:t>of 202</w:t>
      </w:r>
      <w:r w:rsidR="0028240F">
        <w:t>3</w:t>
      </w:r>
      <w:r w:rsidR="00551CFE" w:rsidRPr="00B76A73">
        <w:t xml:space="preserve"> </w:t>
      </w:r>
      <w:r w:rsidR="009D42AA" w:rsidRPr="00B76A73">
        <w:t xml:space="preserve">at </w:t>
      </w:r>
      <w:r w:rsidR="00742ADB">
        <w:t>5.69</w:t>
      </w:r>
      <w:r w:rsidR="009D42AA" w:rsidRPr="00B76A73">
        <w:t>%</w:t>
      </w:r>
      <w:r w:rsidR="00F72263" w:rsidRPr="00B76A73">
        <w:t>,</w:t>
      </w:r>
      <w:r w:rsidR="009D42AA" w:rsidRPr="00B76A73">
        <w:t xml:space="preserve"> </w:t>
      </w:r>
      <w:r w:rsidR="00742ADB">
        <w:t>up</w:t>
      </w:r>
      <w:r w:rsidR="00412C1A" w:rsidRPr="00B76A73">
        <w:t xml:space="preserve"> </w:t>
      </w:r>
      <w:r w:rsidR="00D61DD3" w:rsidRPr="00B76A73">
        <w:t>0.</w:t>
      </w:r>
      <w:r w:rsidR="00742ADB">
        <w:t>10</w:t>
      </w:r>
      <w:r w:rsidR="00D61DD3" w:rsidRPr="00B76A73">
        <w:t xml:space="preserve"> percentage points</w:t>
      </w:r>
      <w:r w:rsidR="00412C1A" w:rsidRPr="00B76A73">
        <w:t xml:space="preserve"> since the previous </w:t>
      </w:r>
      <w:r w:rsidR="009D42AA" w:rsidRPr="00B76A73">
        <w:t>quarter</w:t>
      </w:r>
      <w:r w:rsidR="00823E2B" w:rsidRPr="00B76A73">
        <w:t xml:space="preserve">. </w:t>
      </w:r>
      <w:r w:rsidR="00261A6E" w:rsidRPr="00B76A73">
        <w:t xml:space="preserve">Moody’s </w:t>
      </w:r>
      <w:r w:rsidR="00536AD4" w:rsidRPr="00B76A73">
        <w:t xml:space="preserve">less-risky </w:t>
      </w:r>
      <w:proofErr w:type="spellStart"/>
      <w:r w:rsidR="00261A6E" w:rsidRPr="00B76A73">
        <w:t>Aaa</w:t>
      </w:r>
      <w:proofErr w:type="spellEnd"/>
      <w:r w:rsidR="009D42AA" w:rsidRPr="00B76A73">
        <w:rPr>
          <w:rStyle w:val="FootnoteReference"/>
        </w:rPr>
        <w:footnoteReference w:id="16"/>
      </w:r>
      <w:r w:rsidR="00261A6E" w:rsidRPr="00B76A73">
        <w:t xml:space="preserve"> Index </w:t>
      </w:r>
      <w:r w:rsidR="00742ADB">
        <w:t>rose 0.2</w:t>
      </w:r>
      <w:r w:rsidR="00F7477C">
        <w:t>2</w:t>
      </w:r>
      <w:r w:rsidR="00D61DD3" w:rsidRPr="00B76A73">
        <w:t xml:space="preserve"> percentage points</w:t>
      </w:r>
      <w:r w:rsidR="00551CFE" w:rsidRPr="00B76A73">
        <w:t xml:space="preserve"> during the quarter to a level of </w:t>
      </w:r>
      <w:r w:rsidR="007D42CD" w:rsidRPr="00B76A73">
        <w:t>4.</w:t>
      </w:r>
      <w:r w:rsidR="00742ADB">
        <w:t>60</w:t>
      </w:r>
      <w:r w:rsidR="00261A6E" w:rsidRPr="00B76A73">
        <w:t>%.</w:t>
      </w:r>
    </w:p>
    <w:p w14:paraId="7CE57D35" w14:textId="3F6A06C0" w:rsidR="005117CA" w:rsidRPr="00B76A73" w:rsidRDefault="0033144B" w:rsidP="005117CA">
      <w:pPr>
        <w:jc w:val="center"/>
      </w:pPr>
      <w:r>
        <w:rPr>
          <w:noProof/>
        </w:rPr>
        <w:lastRenderedPageBreak/>
        <w:drawing>
          <wp:inline distT="0" distB="0" distL="0" distR="0" wp14:anchorId="44596C16" wp14:editId="1921C407">
            <wp:extent cx="3499485" cy="2932430"/>
            <wp:effectExtent l="0" t="0" r="5715" b="1270"/>
            <wp:docPr id="15546938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9485" cy="2932430"/>
                    </a:xfrm>
                    <a:prstGeom prst="rect">
                      <a:avLst/>
                    </a:prstGeom>
                    <a:noFill/>
                  </pic:spPr>
                </pic:pic>
              </a:graphicData>
            </a:graphic>
          </wp:inline>
        </w:drawing>
      </w:r>
    </w:p>
    <w:p w14:paraId="149D5F2F" w14:textId="479C442E" w:rsidR="00005111" w:rsidRPr="00B76A73" w:rsidRDefault="00005111" w:rsidP="005261C1">
      <w:pPr>
        <w:pStyle w:val="Heading1"/>
      </w:pPr>
      <w:r w:rsidRPr="00B76A73">
        <w:t>Employment</w:t>
      </w:r>
    </w:p>
    <w:p w14:paraId="6A12E6BF" w14:textId="6DBB384C" w:rsidR="003412DA" w:rsidRPr="00B76A73" w:rsidRDefault="003412DA" w:rsidP="003412DA">
      <w:r w:rsidRPr="00B76A73">
        <w:t>The official unemployment rate</w:t>
      </w:r>
      <w:r w:rsidR="009D7CB0" w:rsidRPr="00B76A73">
        <w:rPr>
          <w:rStyle w:val="FootnoteReference"/>
        </w:rPr>
        <w:footnoteReference w:id="17"/>
      </w:r>
      <w:r w:rsidRPr="00B76A73">
        <w:t xml:space="preserve"> </w:t>
      </w:r>
      <w:r w:rsidR="001B4D24">
        <w:t xml:space="preserve">ended the </w:t>
      </w:r>
      <w:r w:rsidR="002930DF">
        <w:t>2</w:t>
      </w:r>
      <w:r w:rsidR="002930DF" w:rsidRPr="002930DF">
        <w:rPr>
          <w:vertAlign w:val="superscript"/>
        </w:rPr>
        <w:t>nd</w:t>
      </w:r>
      <w:r w:rsidR="002930DF">
        <w:t xml:space="preserve"> </w:t>
      </w:r>
      <w:r w:rsidR="001B4D24">
        <w:t>quarter at</w:t>
      </w:r>
      <w:r w:rsidR="00CE5A3E" w:rsidRPr="00B76A73">
        <w:t xml:space="preserve"> 3.</w:t>
      </w:r>
      <w:r w:rsidR="002930DF">
        <w:t>6</w:t>
      </w:r>
      <w:r w:rsidR="00CE5A3E" w:rsidRPr="00B76A73">
        <w:t xml:space="preserve">%, </w:t>
      </w:r>
      <w:r w:rsidR="002930DF">
        <w:t>up slightly</w:t>
      </w:r>
      <w:r w:rsidR="001B4D24">
        <w:t xml:space="preserve"> from the prior quarter. The rate</w:t>
      </w:r>
      <w:r w:rsidR="002930DF">
        <w:t>, still near</w:t>
      </w:r>
      <w:r w:rsidR="00CE5A3E" w:rsidRPr="00B76A73">
        <w:t xml:space="preserve"> its pre-pandemic </w:t>
      </w:r>
      <w:r w:rsidR="009E6751">
        <w:t xml:space="preserve">(February 2020) </w:t>
      </w:r>
      <w:r w:rsidR="00CE5A3E" w:rsidRPr="00B76A73">
        <w:t>level</w:t>
      </w:r>
      <w:r w:rsidR="002930DF">
        <w:t>,</w:t>
      </w:r>
      <w:r w:rsidR="00F8588F" w:rsidRPr="00B76A73">
        <w:t xml:space="preserve"> </w:t>
      </w:r>
      <w:r w:rsidR="001B4D24">
        <w:t xml:space="preserve">stood </w:t>
      </w:r>
      <w:r w:rsidR="00CE5A3E" w:rsidRPr="00B76A73">
        <w:t>well below the 30-year historical average of 5.</w:t>
      </w:r>
      <w:r w:rsidR="006816F7">
        <w:t>7</w:t>
      </w:r>
      <w:r w:rsidR="00CE5A3E" w:rsidRPr="00B76A73">
        <w:t>%. T</w:t>
      </w:r>
      <w:r w:rsidR="0004341A" w:rsidRPr="00B76A73">
        <w:t>he labor force</w:t>
      </w:r>
      <w:r w:rsidR="007B4191" w:rsidRPr="00B76A73">
        <w:rPr>
          <w:rStyle w:val="FootnoteReference"/>
        </w:rPr>
        <w:footnoteReference w:id="18"/>
      </w:r>
      <w:r w:rsidR="0004341A" w:rsidRPr="00B76A73">
        <w:t xml:space="preserve"> </w:t>
      </w:r>
      <w:r w:rsidR="00CE5A3E" w:rsidRPr="00B76A73">
        <w:t xml:space="preserve">expanded by </w:t>
      </w:r>
      <w:r w:rsidR="000D2357">
        <w:t>0.2</w:t>
      </w:r>
      <w:r w:rsidR="00CE5A3E" w:rsidRPr="00B76A73">
        <w:t xml:space="preserve"> million workers during the quarter. </w:t>
      </w:r>
      <w:r w:rsidR="000D2357">
        <w:t>T</w:t>
      </w:r>
      <w:r w:rsidR="004D3A04" w:rsidRPr="00B76A73">
        <w:t xml:space="preserve">he </w:t>
      </w:r>
      <w:r w:rsidR="006859BA" w:rsidRPr="00B76A73">
        <w:t>labor force participation rate</w:t>
      </w:r>
      <w:r w:rsidR="006859BA" w:rsidRPr="00B76A73">
        <w:rPr>
          <w:rStyle w:val="FootnoteReference"/>
        </w:rPr>
        <w:footnoteReference w:id="19"/>
      </w:r>
      <w:r w:rsidR="006859BA" w:rsidRPr="00B76A73">
        <w:t xml:space="preserve"> </w:t>
      </w:r>
      <w:r w:rsidR="000D2357">
        <w:t>held steady throughout the quarter at</w:t>
      </w:r>
      <w:r w:rsidR="00CE5A3E" w:rsidRPr="00B76A73">
        <w:t xml:space="preserve"> 62.</w:t>
      </w:r>
      <w:r w:rsidR="006816F7">
        <w:t>6</w:t>
      </w:r>
      <w:r w:rsidR="00CE5A3E" w:rsidRPr="00B76A73">
        <w:t>%</w:t>
      </w:r>
      <w:r w:rsidR="001B4D24">
        <w:t>,</w:t>
      </w:r>
      <w:r w:rsidR="006816F7">
        <w:t xml:space="preserve"> 0.7</w:t>
      </w:r>
      <w:r w:rsidR="00CE5A3E" w:rsidRPr="00B76A73">
        <w:t xml:space="preserve"> percentage point</w:t>
      </w:r>
      <w:r w:rsidR="00C17572">
        <w:t>s</w:t>
      </w:r>
      <w:r w:rsidR="00CE5A3E" w:rsidRPr="00B76A73">
        <w:t xml:space="preserve"> below its pre-pandemic level. </w:t>
      </w:r>
      <w:r w:rsidR="00D62169" w:rsidRPr="00B76A73">
        <w:t>E</w:t>
      </w:r>
      <w:r w:rsidRPr="00B76A73">
        <w:t xml:space="preserve">conomists </w:t>
      </w:r>
      <w:r w:rsidR="006859BA" w:rsidRPr="00B76A73">
        <w:t>polled by</w:t>
      </w:r>
      <w:r w:rsidR="00D62169" w:rsidRPr="00B76A73">
        <w:t xml:space="preserve"> </w:t>
      </w:r>
      <w:r w:rsidRPr="00B76A73">
        <w:t xml:space="preserve">the Livingston Survey </w:t>
      </w:r>
      <w:r w:rsidR="004D3A04" w:rsidRPr="00B76A73">
        <w:t xml:space="preserve">in </w:t>
      </w:r>
      <w:r w:rsidR="000D2357">
        <w:t>June 2023</w:t>
      </w:r>
      <w:r w:rsidR="00B3045C">
        <w:t xml:space="preserve"> </w:t>
      </w:r>
      <w:r w:rsidR="004D3A04" w:rsidRPr="00B76A73">
        <w:t xml:space="preserve">projected an unemployment rate of </w:t>
      </w:r>
      <w:r w:rsidR="00B3045C">
        <w:t>4.</w:t>
      </w:r>
      <w:r w:rsidR="000D2357">
        <w:t>1</w:t>
      </w:r>
      <w:r w:rsidR="004D3A04" w:rsidRPr="00B76A73">
        <w:t xml:space="preserve">% in </w:t>
      </w:r>
      <w:r w:rsidR="000D2357">
        <w:t>December</w:t>
      </w:r>
      <w:r w:rsidR="00B3045C">
        <w:t xml:space="preserve"> 2023</w:t>
      </w:r>
      <w:r w:rsidR="004D3A04" w:rsidRPr="00B76A73">
        <w:t xml:space="preserve">, </w:t>
      </w:r>
      <w:r w:rsidR="00DB5054">
        <w:t>rising</w:t>
      </w:r>
      <w:r w:rsidR="004D3A04" w:rsidRPr="00B76A73">
        <w:t xml:space="preserve"> to </w:t>
      </w:r>
      <w:r w:rsidR="00DB5054">
        <w:t>4.</w:t>
      </w:r>
      <w:r w:rsidR="000D2357">
        <w:t>6</w:t>
      </w:r>
      <w:r w:rsidR="004D3A04" w:rsidRPr="00B76A73">
        <w:t xml:space="preserve">% in </w:t>
      </w:r>
      <w:r w:rsidR="000D2357">
        <w:t>June</w:t>
      </w:r>
      <w:r w:rsidR="004D3A04" w:rsidRPr="00B76A73">
        <w:t xml:space="preserve"> of 202</w:t>
      </w:r>
      <w:r w:rsidR="000D2357">
        <w:t>4</w:t>
      </w:r>
      <w:r w:rsidRPr="00B76A73">
        <w:t xml:space="preserve">. </w:t>
      </w:r>
    </w:p>
    <w:p w14:paraId="4B4FCC94" w14:textId="4DD03CDC" w:rsidR="00D029B3" w:rsidRPr="00B76A73" w:rsidRDefault="009E7A0A" w:rsidP="003412DA">
      <w:r w:rsidRPr="00B76A73">
        <w:t xml:space="preserve">In </w:t>
      </w:r>
      <w:r w:rsidR="004564C6">
        <w:t>Ma</w:t>
      </w:r>
      <w:r w:rsidR="000D2357">
        <w:t>y</w:t>
      </w:r>
      <w:r w:rsidR="004564C6">
        <w:t xml:space="preserve"> 2023</w:t>
      </w:r>
      <w:r w:rsidRPr="00B76A73">
        <w:t>, n</w:t>
      </w:r>
      <w:r w:rsidR="00D029B3" w:rsidRPr="00B76A73">
        <w:t>onfarm worker quits</w:t>
      </w:r>
      <w:r w:rsidR="00D029B3" w:rsidRPr="00B76A73">
        <w:rPr>
          <w:rStyle w:val="FootnoteReference"/>
        </w:rPr>
        <w:footnoteReference w:id="20"/>
      </w:r>
      <w:r w:rsidR="00D029B3" w:rsidRPr="00B76A73">
        <w:t xml:space="preserve"> </w:t>
      </w:r>
      <w:r w:rsidR="005505E0" w:rsidRPr="00B76A73">
        <w:t xml:space="preserve">stood at </w:t>
      </w:r>
      <w:r w:rsidR="000D2357">
        <w:t>4.0</w:t>
      </w:r>
      <w:r w:rsidR="00CE5A3E" w:rsidRPr="00B76A73">
        <w:t xml:space="preserve"> million, </w:t>
      </w:r>
      <w:r w:rsidR="00DB5054">
        <w:t xml:space="preserve">down </w:t>
      </w:r>
      <w:r w:rsidR="0077416E">
        <w:t>1</w:t>
      </w:r>
      <w:r w:rsidR="000D2357">
        <w:t>0.8</w:t>
      </w:r>
      <w:r w:rsidR="00CE5A3E" w:rsidRPr="00B76A73">
        <w:t xml:space="preserve">% </w:t>
      </w:r>
      <w:r w:rsidR="00DB5054">
        <w:t>from their record high in</w:t>
      </w:r>
      <w:r w:rsidR="00CE5A3E" w:rsidRPr="00B76A73">
        <w:t xml:space="preserve"> </w:t>
      </w:r>
      <w:r w:rsidR="00DB5054">
        <w:t>November</w:t>
      </w:r>
      <w:r w:rsidR="00CE5A3E" w:rsidRPr="00B76A73">
        <w:t xml:space="preserve"> 2021</w:t>
      </w:r>
      <w:r w:rsidR="00B008FE">
        <w:t xml:space="preserve"> </w:t>
      </w:r>
      <w:r w:rsidR="004564C6">
        <w:t>yet still</w:t>
      </w:r>
      <w:r w:rsidR="00B008FE">
        <w:t xml:space="preserve"> </w:t>
      </w:r>
      <w:r w:rsidR="0077416E">
        <w:t>1</w:t>
      </w:r>
      <w:r w:rsidR="000D2357">
        <w:t>5.0</w:t>
      </w:r>
      <w:r w:rsidR="00B008FE">
        <w:t>%</w:t>
      </w:r>
      <w:r w:rsidR="00CE5A3E" w:rsidRPr="00B76A73">
        <w:t xml:space="preserve"> higher than </w:t>
      </w:r>
      <w:r w:rsidR="00B008FE">
        <w:t>their</w:t>
      </w:r>
      <w:r w:rsidR="00CE5A3E" w:rsidRPr="00B76A73">
        <w:t xml:space="preserve"> pre-pandemic level. </w:t>
      </w:r>
      <w:r w:rsidR="007E4EA0" w:rsidRPr="00C70D00">
        <w:t>Despite an uptick in May, the</w:t>
      </w:r>
      <w:r w:rsidR="00CE5A3E" w:rsidRPr="00C70D00">
        <w:t xml:space="preserve"> elevated level of quits</w:t>
      </w:r>
      <w:r w:rsidR="00757148" w:rsidRPr="00C70D00">
        <w:t xml:space="preserve"> (</w:t>
      </w:r>
      <w:r w:rsidR="00CE5A3E" w:rsidRPr="00C70D00">
        <w:t>sometimes referred to as The Great Resignation</w:t>
      </w:r>
      <w:r w:rsidR="00757148" w:rsidRPr="00C70D00">
        <w:t>)</w:t>
      </w:r>
      <w:r w:rsidR="00CE5A3E" w:rsidRPr="00C70D00">
        <w:t>,</w:t>
      </w:r>
      <w:r w:rsidR="002803D6" w:rsidRPr="00C70D00">
        <w:t xml:space="preserve"> </w:t>
      </w:r>
      <w:r w:rsidR="00757148" w:rsidRPr="00C70D00">
        <w:t>which has primarily affected</w:t>
      </w:r>
      <w:r w:rsidR="00A70971" w:rsidRPr="00C70D00">
        <w:t xml:space="preserve"> the leisure and hospitality industry</w:t>
      </w:r>
      <w:r w:rsidR="00757148" w:rsidRPr="00C70D00">
        <w:t>, appears to be waning</w:t>
      </w:r>
      <w:r w:rsidR="00CE5A3E" w:rsidRPr="00C70D00">
        <w:t>.</w:t>
      </w:r>
      <w:r w:rsidR="00CE5A3E" w:rsidRPr="00B76A73">
        <w:t xml:space="preserve"> </w:t>
      </w:r>
      <w:r w:rsidR="00757148">
        <w:t xml:space="preserve">The quit rate in the leisure and hospitality industry fell </w:t>
      </w:r>
      <w:r w:rsidR="007E4EA0">
        <w:t>9.6</w:t>
      </w:r>
      <w:r w:rsidR="00757148">
        <w:t xml:space="preserve"> percentage points during the year ended </w:t>
      </w:r>
      <w:r w:rsidR="007E4EA0">
        <w:t>May</w:t>
      </w:r>
      <w:r w:rsidR="00757148">
        <w:t xml:space="preserve"> 2023. </w:t>
      </w:r>
      <w:r w:rsidR="007A4A4B" w:rsidRPr="00B76A73">
        <w:t>Job openings</w:t>
      </w:r>
      <w:r w:rsidR="007A4A4B" w:rsidRPr="00B76A73">
        <w:rPr>
          <w:rStyle w:val="FootnoteReference"/>
        </w:rPr>
        <w:footnoteReference w:id="21"/>
      </w:r>
      <w:r w:rsidR="007A4A4B" w:rsidRPr="00B76A73">
        <w:t xml:space="preserve"> totaled </w:t>
      </w:r>
      <w:r w:rsidR="00757148">
        <w:t>9.</w:t>
      </w:r>
      <w:r w:rsidR="007E4EA0">
        <w:t>8</w:t>
      </w:r>
      <w:r w:rsidR="00CE5A3E" w:rsidRPr="00B76A73">
        <w:t xml:space="preserve"> million in </w:t>
      </w:r>
      <w:r w:rsidR="007E4EA0">
        <w:t>May</w:t>
      </w:r>
      <w:r w:rsidR="00757148">
        <w:t xml:space="preserve"> 2023</w:t>
      </w:r>
      <w:r w:rsidR="00CE5A3E" w:rsidRPr="00B76A73">
        <w:t xml:space="preserve">, </w:t>
      </w:r>
      <w:r w:rsidR="00757148">
        <w:t>2</w:t>
      </w:r>
      <w:r w:rsidR="00CE5A3E" w:rsidRPr="00B76A73">
        <w:t>.</w:t>
      </w:r>
      <w:r w:rsidR="007E4EA0">
        <w:t>2</w:t>
      </w:r>
      <w:r w:rsidR="00CE5A3E" w:rsidRPr="00B76A73">
        <w:t xml:space="preserve"> million below their record high in March 2022 and 2.</w:t>
      </w:r>
      <w:r w:rsidR="007E4EA0">
        <w:t>4</w:t>
      </w:r>
      <w:r w:rsidR="00CE5A3E" w:rsidRPr="00B76A73">
        <w:t xml:space="preserve"> times the number of resignations</w:t>
      </w:r>
      <w:r w:rsidR="007A4A4B" w:rsidRPr="00B76A73">
        <w:t>.</w:t>
      </w:r>
      <w:r w:rsidR="007A4A4B" w:rsidRPr="00B76A73">
        <w:rPr>
          <w:rStyle w:val="CommentReference"/>
        </w:rPr>
        <w:t xml:space="preserve"> </w:t>
      </w:r>
    </w:p>
    <w:p w14:paraId="799A9D83" w14:textId="29A0FCE0" w:rsidR="009526E8" w:rsidRPr="00B76A73" w:rsidRDefault="0033144B" w:rsidP="009526E8">
      <w:pPr>
        <w:jc w:val="center"/>
      </w:pPr>
      <w:r>
        <w:rPr>
          <w:noProof/>
        </w:rPr>
        <w:lastRenderedPageBreak/>
        <w:drawing>
          <wp:inline distT="0" distB="0" distL="0" distR="0" wp14:anchorId="6E883A63" wp14:editId="102D018B">
            <wp:extent cx="3493135" cy="2651760"/>
            <wp:effectExtent l="0" t="0" r="0" b="0"/>
            <wp:docPr id="3780457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3135" cy="2651760"/>
                    </a:xfrm>
                    <a:prstGeom prst="rect">
                      <a:avLst/>
                    </a:prstGeom>
                    <a:noFill/>
                  </pic:spPr>
                </pic:pic>
              </a:graphicData>
            </a:graphic>
          </wp:inline>
        </w:drawing>
      </w:r>
    </w:p>
    <w:p w14:paraId="51205F54" w14:textId="00A75CBB" w:rsidR="007A4896" w:rsidRPr="00B76A73" w:rsidRDefault="007A4896" w:rsidP="007A4896">
      <w:r w:rsidRPr="00B76A73">
        <w:t xml:space="preserve">The U-6 </w:t>
      </w:r>
      <w:r w:rsidR="00895002" w:rsidRPr="00B76A73">
        <w:t xml:space="preserve">unemployment </w:t>
      </w:r>
      <w:r w:rsidRPr="00B76A73">
        <w:t>rate</w:t>
      </w:r>
      <w:r w:rsidR="009D7CB0" w:rsidRPr="00B76A73">
        <w:rPr>
          <w:rStyle w:val="FootnoteReference"/>
        </w:rPr>
        <w:footnoteReference w:id="22"/>
      </w:r>
      <w:r w:rsidRPr="00B76A73">
        <w:t xml:space="preserve"> is an alternative measure of unemployment with a broader definition, </w:t>
      </w:r>
      <w:r w:rsidR="001F297B" w:rsidRPr="00B76A73">
        <w:t>including such groups</w:t>
      </w:r>
      <w:r w:rsidRPr="00B76A73">
        <w:t xml:space="preserve"> as discouraged workers who are not actively searching for jobs but want full-time work and part-time workers who want full-time work. The U</w:t>
      </w:r>
      <w:r w:rsidRPr="00B76A73">
        <w:noBreakHyphen/>
        <w:t xml:space="preserve">6 </w:t>
      </w:r>
      <w:r w:rsidR="00895002" w:rsidRPr="00B76A73">
        <w:t xml:space="preserve">unemployment </w:t>
      </w:r>
      <w:r w:rsidRPr="00B76A73">
        <w:t xml:space="preserve">rate </w:t>
      </w:r>
      <w:r w:rsidR="00CE5A3E" w:rsidRPr="00B76A73">
        <w:t xml:space="preserve">has generally followed the same pattern as the official </w:t>
      </w:r>
      <w:r w:rsidR="004564C6" w:rsidRPr="00B76A73">
        <w:t>rate and</w:t>
      </w:r>
      <w:r w:rsidR="00CE5A3E" w:rsidRPr="00B76A73">
        <w:t xml:space="preserve"> stood</w:t>
      </w:r>
      <w:r w:rsidR="00985656" w:rsidRPr="00B76A73">
        <w:t xml:space="preserve"> at</w:t>
      </w:r>
      <w:r w:rsidR="00CE5A3E" w:rsidRPr="00B76A73">
        <w:t xml:space="preserve"> 6.</w:t>
      </w:r>
      <w:r w:rsidR="00281B1D">
        <w:t>9</w:t>
      </w:r>
      <w:r w:rsidR="00CE5A3E" w:rsidRPr="00B76A73">
        <w:t xml:space="preserve">% in </w:t>
      </w:r>
      <w:r w:rsidR="00281B1D">
        <w:t>June</w:t>
      </w:r>
      <w:r w:rsidR="00F86BB9">
        <w:t xml:space="preserve"> 2023</w:t>
      </w:r>
      <w:r w:rsidRPr="00B76A73">
        <w:t>.</w:t>
      </w:r>
    </w:p>
    <w:p w14:paraId="6B09010C" w14:textId="4DC13CDC" w:rsidR="007A4896" w:rsidRPr="00B76A73" w:rsidRDefault="0033144B" w:rsidP="004846E4">
      <w:pPr>
        <w:jc w:val="center"/>
      </w:pPr>
      <w:r>
        <w:rPr>
          <w:noProof/>
        </w:rPr>
        <w:drawing>
          <wp:inline distT="0" distB="0" distL="0" distR="0" wp14:anchorId="5A872D25" wp14:editId="776A8D72">
            <wp:extent cx="3493135" cy="2651760"/>
            <wp:effectExtent l="0" t="0" r="0" b="0"/>
            <wp:docPr id="17926481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3135" cy="2651760"/>
                    </a:xfrm>
                    <a:prstGeom prst="rect">
                      <a:avLst/>
                    </a:prstGeom>
                    <a:noFill/>
                  </pic:spPr>
                </pic:pic>
              </a:graphicData>
            </a:graphic>
          </wp:inline>
        </w:drawing>
      </w:r>
    </w:p>
    <w:p w14:paraId="2A158EAA" w14:textId="7714CDC4" w:rsidR="003412DA" w:rsidRPr="00B76A73" w:rsidRDefault="009D7CB0" w:rsidP="00E45DC1">
      <w:r w:rsidRPr="00B76A73">
        <w:t>Nonfarm p</w:t>
      </w:r>
      <w:r w:rsidR="003412DA" w:rsidRPr="00B76A73">
        <w:t>ayrolls</w:t>
      </w:r>
      <w:r w:rsidRPr="00B76A73">
        <w:rPr>
          <w:rStyle w:val="FootnoteReference"/>
        </w:rPr>
        <w:footnoteReference w:id="23"/>
      </w:r>
      <w:r w:rsidR="003412DA" w:rsidRPr="00B76A73">
        <w:t xml:space="preserve"> </w:t>
      </w:r>
      <w:r w:rsidR="00281B1D">
        <w:t>grew</w:t>
      </w:r>
      <w:r w:rsidR="003412DA" w:rsidRPr="00B76A73">
        <w:t xml:space="preserve"> by </w:t>
      </w:r>
      <w:r w:rsidR="00A25362">
        <w:t>0.</w:t>
      </w:r>
      <w:r w:rsidR="00281B1D">
        <w:t>7</w:t>
      </w:r>
      <w:r w:rsidR="003412DA" w:rsidRPr="00B76A73">
        <w:t xml:space="preserve"> million jobs in </w:t>
      </w:r>
      <w:r w:rsidR="008A7107" w:rsidRPr="00B76A73">
        <w:t xml:space="preserve">the </w:t>
      </w:r>
      <w:r w:rsidR="00281B1D">
        <w:t>2</w:t>
      </w:r>
      <w:r w:rsidR="00281B1D" w:rsidRPr="00281B1D">
        <w:rPr>
          <w:vertAlign w:val="superscript"/>
        </w:rPr>
        <w:t>nd</w:t>
      </w:r>
      <w:r w:rsidR="00281B1D">
        <w:t xml:space="preserve"> </w:t>
      </w:r>
      <w:r w:rsidR="008A7107" w:rsidRPr="00B76A73">
        <w:t xml:space="preserve">quarter. </w:t>
      </w:r>
      <w:r w:rsidR="00BD4FA3" w:rsidRPr="00B76A73">
        <w:t>U.S.</w:t>
      </w:r>
      <w:r w:rsidR="008A7107" w:rsidRPr="00B76A73">
        <w:t xml:space="preserve"> nonfarm payrolls </w:t>
      </w:r>
      <w:r w:rsidR="00F72263" w:rsidRPr="00B76A73">
        <w:t xml:space="preserve">in </w:t>
      </w:r>
      <w:r w:rsidR="00281B1D">
        <w:t>June</w:t>
      </w:r>
      <w:r w:rsidR="00F86BB9">
        <w:t xml:space="preserve"> 2023</w:t>
      </w:r>
      <w:r w:rsidR="00F72263" w:rsidRPr="00B76A73">
        <w:t xml:space="preserve"> totaled</w:t>
      </w:r>
      <w:r w:rsidR="008A7107" w:rsidRPr="00B76A73">
        <w:t xml:space="preserve"> </w:t>
      </w:r>
      <w:r w:rsidR="0022416D" w:rsidRPr="00B76A73">
        <w:t>15</w:t>
      </w:r>
      <w:r w:rsidR="00281B1D">
        <w:t>6</w:t>
      </w:r>
      <w:r w:rsidR="00746558" w:rsidRPr="00B76A73">
        <w:t>.</w:t>
      </w:r>
      <w:r w:rsidR="00281B1D">
        <w:t>2</w:t>
      </w:r>
      <w:r w:rsidR="00204969" w:rsidRPr="00B76A73">
        <w:t xml:space="preserve"> million</w:t>
      </w:r>
      <w:r w:rsidR="00175A46" w:rsidRPr="00B76A73">
        <w:t xml:space="preserve"> jobs</w:t>
      </w:r>
      <w:r w:rsidR="008A7107" w:rsidRPr="00B76A73">
        <w:t>, up</w:t>
      </w:r>
      <w:r w:rsidR="00A14C86" w:rsidRPr="00B76A73">
        <w:t xml:space="preserve"> </w:t>
      </w:r>
      <w:r w:rsidR="00281B1D">
        <w:t>3.8</w:t>
      </w:r>
      <w:r w:rsidR="00A14C86" w:rsidRPr="00B76A73">
        <w:t xml:space="preserve"> million </w:t>
      </w:r>
      <w:r w:rsidR="00567138">
        <w:t xml:space="preserve">from the prior </w:t>
      </w:r>
      <w:r w:rsidR="00281B1D">
        <w:t>June</w:t>
      </w:r>
      <w:r w:rsidR="00B46091">
        <w:t>. The jobs count also stood</w:t>
      </w:r>
      <w:r w:rsidR="00204969" w:rsidRPr="00B76A73">
        <w:t xml:space="preserve"> </w:t>
      </w:r>
      <w:r w:rsidR="00E45DC1">
        <w:t>3.</w:t>
      </w:r>
      <w:r w:rsidR="00B46091">
        <w:t>8</w:t>
      </w:r>
      <w:r w:rsidR="00567138">
        <w:t xml:space="preserve"> million above</w:t>
      </w:r>
      <w:r w:rsidR="00204969" w:rsidRPr="00B76A73">
        <w:t xml:space="preserve"> </w:t>
      </w:r>
      <w:r w:rsidR="00B46091">
        <w:t>its</w:t>
      </w:r>
      <w:r w:rsidR="008A7107" w:rsidRPr="00B76A73">
        <w:t xml:space="preserve"> pre-pandemic (</w:t>
      </w:r>
      <w:r w:rsidR="00F72263" w:rsidRPr="00B76A73">
        <w:t>Feb</w:t>
      </w:r>
      <w:r w:rsidR="008A7107" w:rsidRPr="00B76A73">
        <w:t>r</w:t>
      </w:r>
      <w:r w:rsidR="00F72263" w:rsidRPr="00B76A73">
        <w:t>uary</w:t>
      </w:r>
      <w:r w:rsidR="008A7107" w:rsidRPr="00B76A73">
        <w:t xml:space="preserve"> 2020) level</w:t>
      </w:r>
      <w:r w:rsidR="00B542EC" w:rsidRPr="00B76A73">
        <w:t xml:space="preserve">. </w:t>
      </w:r>
      <w:r w:rsidR="00281B1D">
        <w:t>June’s</w:t>
      </w:r>
      <w:r w:rsidR="00E45DC1">
        <w:t xml:space="preserve"> </w:t>
      </w:r>
      <w:r w:rsidR="009E6751">
        <w:t>job market growth</w:t>
      </w:r>
      <w:r w:rsidR="00B77A7E">
        <w:t xml:space="preserve">, while </w:t>
      </w:r>
      <w:r w:rsidR="00B77A7E">
        <w:lastRenderedPageBreak/>
        <w:t>adequate from a historical standpoint,</w:t>
      </w:r>
      <w:r w:rsidR="009E6751">
        <w:t xml:space="preserve"> </w:t>
      </w:r>
      <w:r w:rsidR="00281B1D">
        <w:t>underperformed</w:t>
      </w:r>
      <w:r w:rsidR="00B77A7E">
        <w:t xml:space="preserve"> investor</w:t>
      </w:r>
      <w:r w:rsidR="00281B1D">
        <w:t xml:space="preserve"> expectations and </w:t>
      </w:r>
      <w:r w:rsidR="009E6751">
        <w:t xml:space="preserve">was </w:t>
      </w:r>
      <w:r w:rsidR="00E45DC1">
        <w:t>the smallest since December 2020</w:t>
      </w:r>
      <w:r w:rsidR="00B77A7E">
        <w:t>.</w:t>
      </w:r>
      <w:r w:rsidR="00E45DC1">
        <w:t xml:space="preserve"> </w:t>
      </w:r>
      <w:r w:rsidR="00B77A7E">
        <w:t xml:space="preserve">The </w:t>
      </w:r>
      <w:r w:rsidR="00B77A7E" w:rsidRPr="00B77A7E">
        <w:t>government, health care, social assistance, and construction</w:t>
      </w:r>
      <w:r w:rsidR="00B77A7E">
        <w:t xml:space="preserve"> industries led June’s job gains</w:t>
      </w:r>
      <w:r w:rsidR="00E16DF8" w:rsidRPr="00B76A73">
        <w:t>.</w:t>
      </w:r>
    </w:p>
    <w:p w14:paraId="1926EEEC" w14:textId="15E98846" w:rsidR="0017576B" w:rsidRPr="00B76A73" w:rsidRDefault="0033144B" w:rsidP="009526E8">
      <w:pPr>
        <w:jc w:val="center"/>
      </w:pPr>
      <w:r>
        <w:rPr>
          <w:noProof/>
        </w:rPr>
        <w:drawing>
          <wp:inline distT="0" distB="0" distL="0" distR="0" wp14:anchorId="637FC869" wp14:editId="608CD58E">
            <wp:extent cx="3877310" cy="2651760"/>
            <wp:effectExtent l="0" t="0" r="8890" b="0"/>
            <wp:docPr id="20017181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7310" cy="2651760"/>
                    </a:xfrm>
                    <a:prstGeom prst="rect">
                      <a:avLst/>
                    </a:prstGeom>
                    <a:noFill/>
                  </pic:spPr>
                </pic:pic>
              </a:graphicData>
            </a:graphic>
          </wp:inline>
        </w:drawing>
      </w:r>
    </w:p>
    <w:p w14:paraId="149D5F38" w14:textId="77777777" w:rsidR="00005111" w:rsidRPr="00B76A73" w:rsidRDefault="00005111" w:rsidP="001475FF">
      <w:pPr>
        <w:pStyle w:val="Heading1"/>
      </w:pPr>
      <w:r w:rsidRPr="00B76A73">
        <w:t>Inflation</w:t>
      </w:r>
    </w:p>
    <w:p w14:paraId="042F9DA5" w14:textId="7A01677E" w:rsidR="00FB70B1" w:rsidRDefault="00587D0C" w:rsidP="00005111">
      <w:r>
        <w:t>I</w:t>
      </w:r>
      <w:r w:rsidR="00E37D74" w:rsidRPr="00E37D74">
        <w:t xml:space="preserve">n the </w:t>
      </w:r>
      <w:r>
        <w:t>2</w:t>
      </w:r>
      <w:r w:rsidRPr="00587D0C">
        <w:rPr>
          <w:vertAlign w:val="superscript"/>
        </w:rPr>
        <w:t>nd</w:t>
      </w:r>
      <w:r>
        <w:t xml:space="preserve"> </w:t>
      </w:r>
      <w:r w:rsidR="001E1516">
        <w:t>quarter of 2023</w:t>
      </w:r>
      <w:r w:rsidR="00E37D74" w:rsidRPr="00E37D74">
        <w:t xml:space="preserve">, </w:t>
      </w:r>
      <w:r>
        <w:t xml:space="preserve">inflation continued to rise at a more moderate pace than much of 2021 and 2022; the cooling </w:t>
      </w:r>
      <w:r w:rsidR="00E37D74" w:rsidRPr="00E37D74">
        <w:t>largely reflect</w:t>
      </w:r>
      <w:r>
        <w:t>s</w:t>
      </w:r>
      <w:r w:rsidR="00E37D74" w:rsidRPr="00E37D74">
        <w:t xml:space="preserve"> lower </w:t>
      </w:r>
      <w:r w:rsidR="00273406">
        <w:t xml:space="preserve">costs for </w:t>
      </w:r>
      <w:r w:rsidR="00E37D74" w:rsidRPr="00E37D74">
        <w:t>energy</w:t>
      </w:r>
      <w:r w:rsidR="00273406">
        <w:t xml:space="preserve">, </w:t>
      </w:r>
      <w:r w:rsidR="006B48FA">
        <w:t>airline fares</w:t>
      </w:r>
      <w:r w:rsidR="00422961">
        <w:t>, and vehicles</w:t>
      </w:r>
      <w:r w:rsidR="00C867ED">
        <w:t xml:space="preserve">. </w:t>
      </w:r>
      <w:r w:rsidR="00661AA7" w:rsidRPr="00B76A73">
        <w:t>The Consumer Price Index</w:t>
      </w:r>
      <w:r w:rsidR="009B52AF" w:rsidRPr="00B76A73">
        <w:rPr>
          <w:rStyle w:val="FootnoteReference"/>
        </w:rPr>
        <w:footnoteReference w:id="24"/>
      </w:r>
      <w:r w:rsidR="00661AA7" w:rsidRPr="00B76A73">
        <w:t xml:space="preserve"> </w:t>
      </w:r>
      <w:r w:rsidR="007A46C7">
        <w:t xml:space="preserve">for all items </w:t>
      </w:r>
      <w:r w:rsidR="004E1574" w:rsidRPr="00B76A73">
        <w:t>rose</w:t>
      </w:r>
      <w:r w:rsidR="000D4AF1" w:rsidRPr="00B76A73">
        <w:t xml:space="preserve"> </w:t>
      </w:r>
      <w:r w:rsidR="000773EC">
        <w:t>3.1</w:t>
      </w:r>
      <w:r w:rsidR="000D4AF1" w:rsidRPr="00B76A73">
        <w:t xml:space="preserve">% year-over-year in </w:t>
      </w:r>
      <w:r w:rsidR="000773EC">
        <w:t>June</w:t>
      </w:r>
      <w:r w:rsidR="00E66555">
        <w:t xml:space="preserve"> 2023</w:t>
      </w:r>
      <w:r w:rsidR="00B36811" w:rsidRPr="00B76A73">
        <w:t xml:space="preserve">, </w:t>
      </w:r>
      <w:r w:rsidR="000F02FB" w:rsidRPr="00B76A73">
        <w:t xml:space="preserve">down from its </w:t>
      </w:r>
      <w:r w:rsidR="001E1516">
        <w:t>more-than-</w:t>
      </w:r>
      <w:r w:rsidR="000F02FB" w:rsidRPr="00B76A73">
        <w:t xml:space="preserve">40-year high of </w:t>
      </w:r>
      <w:r w:rsidR="001E1516">
        <w:t>8.9</w:t>
      </w:r>
      <w:r w:rsidR="000F02FB" w:rsidRPr="00B76A73">
        <w:t>% in June</w:t>
      </w:r>
      <w:r w:rsidR="00E66555">
        <w:t xml:space="preserve"> 2022</w:t>
      </w:r>
      <w:r w:rsidR="002E0F29" w:rsidRPr="00B76A73">
        <w:t>. Excluding volatile energy prices</w:t>
      </w:r>
      <w:r w:rsidR="00EF1F20" w:rsidRPr="00B76A73">
        <w:rPr>
          <w:rStyle w:val="FootnoteReference"/>
        </w:rPr>
        <w:footnoteReference w:id="25"/>
      </w:r>
      <w:r w:rsidR="002E0F29" w:rsidRPr="00B76A73">
        <w:t xml:space="preserve">, the </w:t>
      </w:r>
      <w:r w:rsidR="000F02FB" w:rsidRPr="00B76A73">
        <w:t>annual increase was</w:t>
      </w:r>
      <w:r w:rsidR="003A2900" w:rsidRPr="00B76A73">
        <w:t xml:space="preserve"> </w:t>
      </w:r>
      <w:r w:rsidR="00C24FE2">
        <w:t>5</w:t>
      </w:r>
      <w:r w:rsidR="00FF3D19">
        <w:t>.</w:t>
      </w:r>
      <w:r w:rsidR="007C25F4">
        <w:t>0</w:t>
      </w:r>
      <w:r w:rsidR="00FF3D19">
        <w:t>%</w:t>
      </w:r>
      <w:r w:rsidR="000D4AF1" w:rsidRPr="00B76A73">
        <w:t xml:space="preserve">. </w:t>
      </w:r>
      <w:r w:rsidR="000F02FB" w:rsidRPr="00B76A73">
        <w:t>The average</w:t>
      </w:r>
      <w:r w:rsidR="000D4AF1" w:rsidRPr="00B76A73">
        <w:t xml:space="preserve"> price</w:t>
      </w:r>
      <w:r w:rsidR="005C22CA" w:rsidRPr="00B76A73">
        <w:t xml:space="preserve"> of a gallon of gas</w:t>
      </w:r>
      <w:r w:rsidR="003A2900" w:rsidRPr="00B76A73">
        <w:rPr>
          <w:rStyle w:val="FootnoteReference"/>
        </w:rPr>
        <w:footnoteReference w:id="26"/>
      </w:r>
      <w:r w:rsidR="005C22CA" w:rsidRPr="00B76A73">
        <w:t xml:space="preserve"> </w:t>
      </w:r>
      <w:r w:rsidR="000F02FB" w:rsidRPr="00B76A73">
        <w:t xml:space="preserve">in the U.S. </w:t>
      </w:r>
      <w:r w:rsidR="003B3369">
        <w:t>was $3.</w:t>
      </w:r>
      <w:r w:rsidR="00C24FE2">
        <w:t>71</w:t>
      </w:r>
      <w:r w:rsidR="003B3369">
        <w:t xml:space="preserve"> in </w:t>
      </w:r>
      <w:r w:rsidR="00C24FE2">
        <w:t>June</w:t>
      </w:r>
      <w:r w:rsidR="007C25F4">
        <w:t xml:space="preserve"> 2023</w:t>
      </w:r>
      <w:r w:rsidR="003B3369">
        <w:t xml:space="preserve">, </w:t>
      </w:r>
      <w:r w:rsidR="009577F1">
        <w:t xml:space="preserve">up 10.6% from its December 2002 trough but still </w:t>
      </w:r>
      <w:r w:rsidR="00C24FE2">
        <w:t>26</w:t>
      </w:r>
      <w:r w:rsidR="007C25F4">
        <w:t>.6</w:t>
      </w:r>
      <w:r w:rsidR="003B3369">
        <w:t xml:space="preserve">% lower than </w:t>
      </w:r>
      <w:r w:rsidR="009577F1">
        <w:t>its</w:t>
      </w:r>
      <w:r w:rsidR="003B3369">
        <w:t xml:space="preserve"> record</w:t>
      </w:r>
      <w:r w:rsidR="009577F1">
        <w:t xml:space="preserve"> </w:t>
      </w:r>
      <w:r w:rsidR="003B3369">
        <w:t>high</w:t>
      </w:r>
      <w:r w:rsidR="009577F1">
        <w:t xml:space="preserve"> of</w:t>
      </w:r>
      <w:r w:rsidR="003B3369">
        <w:t xml:space="preserve"> $5.06 in June</w:t>
      </w:r>
      <w:r w:rsidR="007C25F4">
        <w:t xml:space="preserve"> 2022</w:t>
      </w:r>
      <w:r w:rsidR="008B3356" w:rsidRPr="00B76A73">
        <w:t>.</w:t>
      </w:r>
    </w:p>
    <w:p w14:paraId="52A0C1E8" w14:textId="4C668B2F" w:rsidR="00176F91" w:rsidRPr="00B76A73" w:rsidRDefault="000F02FB" w:rsidP="00005111">
      <w:r w:rsidRPr="00B76A73">
        <w:t xml:space="preserve">In the month of </w:t>
      </w:r>
      <w:r w:rsidR="00F33A6B">
        <w:t>June</w:t>
      </w:r>
      <w:r w:rsidR="007C25F4">
        <w:t xml:space="preserve"> 2023</w:t>
      </w:r>
      <w:r w:rsidRPr="00B76A73">
        <w:t xml:space="preserve">, </w:t>
      </w:r>
      <w:r w:rsidR="007C25F4">
        <w:t>higher prices</w:t>
      </w:r>
      <w:r w:rsidR="004335C3">
        <w:t xml:space="preserve"> for shelter</w:t>
      </w:r>
      <w:r w:rsidR="00D072A9">
        <w:t xml:space="preserve"> </w:t>
      </w:r>
      <w:r w:rsidR="00F33A6B">
        <w:t xml:space="preserve">and motor vehicle insurance </w:t>
      </w:r>
      <w:r w:rsidR="007C25F4">
        <w:t xml:space="preserve">led the consumer price index to a </w:t>
      </w:r>
      <w:r w:rsidR="00EE7EE8">
        <w:t>relatively temperate</w:t>
      </w:r>
      <w:r w:rsidR="007C25F4">
        <w:t xml:space="preserve"> increase</w:t>
      </w:r>
      <w:r w:rsidR="00156E24" w:rsidRPr="00B76A73">
        <w:t>.</w:t>
      </w:r>
      <w:r w:rsidR="000D76D6">
        <w:t xml:space="preserve"> Price outcomes for major energy components were mixed in June</w:t>
      </w:r>
      <w:r w:rsidR="00EE7EE8">
        <w:t xml:space="preserve">, with gasoline and electricity </w:t>
      </w:r>
      <w:r w:rsidR="006B48FA">
        <w:t xml:space="preserve">costs up over the month but natural gas and </w:t>
      </w:r>
      <w:r w:rsidR="004534D1">
        <w:t>fuel oil and other fuels</w:t>
      </w:r>
      <w:r w:rsidR="006B48FA">
        <w:t xml:space="preserve"> down</w:t>
      </w:r>
      <w:r w:rsidR="000D76D6">
        <w:t>.</w:t>
      </w:r>
      <w:r w:rsidR="00156E24" w:rsidRPr="00B76A73">
        <w:t xml:space="preserve"> </w:t>
      </w:r>
      <w:r w:rsidR="000D4AF1" w:rsidRPr="00B76A73">
        <w:t>The Federal Reserve</w:t>
      </w:r>
      <w:r w:rsidR="00350673" w:rsidRPr="00B76A73">
        <w:t xml:space="preserve"> has </w:t>
      </w:r>
      <w:r w:rsidRPr="00B76A73">
        <w:t>been</w:t>
      </w:r>
      <w:r w:rsidR="00350673" w:rsidRPr="00B76A73">
        <w:t xml:space="preserve"> taking </w:t>
      </w:r>
      <w:r w:rsidR="007C25F4">
        <w:t xml:space="preserve">aggressive </w:t>
      </w:r>
      <w:r w:rsidR="00350673" w:rsidRPr="00B76A73">
        <w:t>action to curb inflatio</w:t>
      </w:r>
      <w:r w:rsidR="00F151F3" w:rsidRPr="00B76A73">
        <w:t xml:space="preserve">n </w:t>
      </w:r>
      <w:r w:rsidRPr="00B76A73">
        <w:t xml:space="preserve">with a series of target interest rate hikes totaling </w:t>
      </w:r>
      <w:r w:rsidR="000D76D6">
        <w:t>5.00</w:t>
      </w:r>
      <w:r w:rsidR="00091209" w:rsidRPr="00B76A73">
        <w:t xml:space="preserve"> percentage points</w:t>
      </w:r>
      <w:r w:rsidRPr="00B76A73">
        <w:t xml:space="preserve"> since March 2022</w:t>
      </w:r>
      <w:r w:rsidR="007C25F4">
        <w:t xml:space="preserve">. </w:t>
      </w:r>
      <w:r w:rsidR="000D76D6">
        <w:t>T</w:t>
      </w:r>
      <w:r w:rsidR="007C25F4">
        <w:t xml:space="preserve">he Fed </w:t>
      </w:r>
      <w:r w:rsidR="000D76D6">
        <w:t>paused its</w:t>
      </w:r>
      <w:r w:rsidR="007C25F4">
        <w:t xml:space="preserve"> rate hike</w:t>
      </w:r>
      <w:r w:rsidR="00AC0986">
        <w:t>s</w:t>
      </w:r>
      <w:r w:rsidR="000D76D6">
        <w:t xml:space="preserve"> in June</w:t>
      </w:r>
      <w:r w:rsidR="00AC0986">
        <w:t xml:space="preserve"> </w:t>
      </w:r>
      <w:r w:rsidR="000D76D6">
        <w:t>but indicated</w:t>
      </w:r>
      <w:r w:rsidR="00AC0986">
        <w:t xml:space="preserve"> that </w:t>
      </w:r>
      <w:r w:rsidR="000D76D6">
        <w:t>further increases were expected in 2023</w:t>
      </w:r>
      <w:r w:rsidR="007C25F4">
        <w:t>.</w:t>
      </w:r>
    </w:p>
    <w:p w14:paraId="3ED812A9" w14:textId="2D1BF270" w:rsidR="00176F91" w:rsidRPr="00B76A73" w:rsidRDefault="0033144B" w:rsidP="009526E8">
      <w:pPr>
        <w:jc w:val="center"/>
      </w:pPr>
      <w:r>
        <w:rPr>
          <w:noProof/>
        </w:rPr>
        <w:lastRenderedPageBreak/>
        <w:drawing>
          <wp:inline distT="0" distB="0" distL="0" distR="0" wp14:anchorId="4EB95F8B" wp14:editId="52053701">
            <wp:extent cx="3499485" cy="2651760"/>
            <wp:effectExtent l="0" t="0" r="5715" b="0"/>
            <wp:docPr id="1509229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9485" cy="2651760"/>
                    </a:xfrm>
                    <a:prstGeom prst="rect">
                      <a:avLst/>
                    </a:prstGeom>
                    <a:noFill/>
                  </pic:spPr>
                </pic:pic>
              </a:graphicData>
            </a:graphic>
          </wp:inline>
        </w:drawing>
      </w:r>
    </w:p>
    <w:p w14:paraId="149D5F3E" w14:textId="549118AE" w:rsidR="00A11CAC" w:rsidRPr="00B76A73" w:rsidRDefault="005B67F4" w:rsidP="006F7FB2">
      <w:r>
        <w:t xml:space="preserve">Wholesale inflation has been quicker to regulate than consumer inflation. </w:t>
      </w:r>
      <w:r w:rsidR="00A17C3A" w:rsidRPr="00B76A73">
        <w:t>The Producer Price Index</w:t>
      </w:r>
      <w:r w:rsidR="009B52AF" w:rsidRPr="00B76A73">
        <w:rPr>
          <w:rStyle w:val="FootnoteReference"/>
        </w:rPr>
        <w:footnoteReference w:id="27"/>
      </w:r>
      <w:r w:rsidR="00A17C3A" w:rsidRPr="00B76A73">
        <w:t xml:space="preserve"> </w:t>
      </w:r>
      <w:r w:rsidR="00E37D74">
        <w:t xml:space="preserve">fell </w:t>
      </w:r>
      <w:r w:rsidR="00332C5D">
        <w:t>1.</w:t>
      </w:r>
      <w:r w:rsidR="009C2041">
        <w:t>3</w:t>
      </w:r>
      <w:r w:rsidR="00A94F52" w:rsidRPr="00B76A73">
        <w:t xml:space="preserve">% in </w:t>
      </w:r>
      <w:r w:rsidR="009C2041">
        <w:t xml:space="preserve">the </w:t>
      </w:r>
      <w:r w:rsidR="00332C5D">
        <w:t>2</w:t>
      </w:r>
      <w:r w:rsidR="00332C5D" w:rsidRPr="00332C5D">
        <w:rPr>
          <w:vertAlign w:val="superscript"/>
        </w:rPr>
        <w:t>nd</w:t>
      </w:r>
      <w:r w:rsidR="00332C5D">
        <w:t xml:space="preserve"> </w:t>
      </w:r>
      <w:r w:rsidR="009C2041">
        <w:t>quarter</w:t>
      </w:r>
      <w:r w:rsidR="004940F1" w:rsidRPr="00B76A73">
        <w:t xml:space="preserve"> </w:t>
      </w:r>
      <w:r w:rsidR="00B5639B">
        <w:t xml:space="preserve">and </w:t>
      </w:r>
      <w:r w:rsidR="00332C5D">
        <w:t>9.5</w:t>
      </w:r>
      <w:r w:rsidR="00235B28" w:rsidRPr="00B76A73">
        <w:t xml:space="preserve">% </w:t>
      </w:r>
      <w:r w:rsidR="00B5639B">
        <w:t>since</w:t>
      </w:r>
      <w:r w:rsidR="00235B28" w:rsidRPr="00B76A73">
        <w:t xml:space="preserve"> </w:t>
      </w:r>
      <w:r w:rsidR="00332C5D">
        <w:t>June</w:t>
      </w:r>
      <w:r w:rsidR="00B5639B">
        <w:t xml:space="preserve"> 2022. T</w:t>
      </w:r>
      <w:r w:rsidR="00235B28" w:rsidRPr="00B76A73">
        <w:t>he average annual increase over the last 30 years</w:t>
      </w:r>
      <w:r w:rsidR="00B5639B">
        <w:t xml:space="preserve"> was </w:t>
      </w:r>
      <w:r w:rsidR="00B9425C">
        <w:t>2.9%</w:t>
      </w:r>
      <w:r w:rsidR="00235B28" w:rsidRPr="00B76A73">
        <w:t>.</w:t>
      </w:r>
      <w:r w:rsidR="00332C5D">
        <w:t xml:space="preserve"> </w:t>
      </w:r>
    </w:p>
    <w:p w14:paraId="149D5F40" w14:textId="574FE065" w:rsidR="00B94E68" w:rsidRPr="00B76A73" w:rsidRDefault="0033144B" w:rsidP="00166C08">
      <w:pPr>
        <w:jc w:val="center"/>
      </w:pPr>
      <w:r>
        <w:rPr>
          <w:noProof/>
        </w:rPr>
        <w:drawing>
          <wp:inline distT="0" distB="0" distL="0" distR="0" wp14:anchorId="0DF51BE5" wp14:editId="3A93E89F">
            <wp:extent cx="3493135" cy="2651760"/>
            <wp:effectExtent l="0" t="0" r="0" b="0"/>
            <wp:docPr id="8477467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3135" cy="2651760"/>
                    </a:xfrm>
                    <a:prstGeom prst="rect">
                      <a:avLst/>
                    </a:prstGeom>
                    <a:noFill/>
                  </pic:spPr>
                </pic:pic>
              </a:graphicData>
            </a:graphic>
          </wp:inline>
        </w:drawing>
      </w:r>
    </w:p>
    <w:p w14:paraId="49137979" w14:textId="2E0F3A14" w:rsidR="00661AA7" w:rsidRPr="00B76A73" w:rsidRDefault="00661AA7" w:rsidP="00661AA7">
      <w:pPr>
        <w:rPr>
          <w:color w:val="000000" w:themeColor="text1"/>
        </w:rPr>
      </w:pPr>
      <w:r w:rsidRPr="00B76A73">
        <w:rPr>
          <w:color w:val="000000" w:themeColor="text1"/>
        </w:rPr>
        <w:t xml:space="preserve">The 5-year </w:t>
      </w:r>
      <w:r w:rsidR="00031DA4" w:rsidRPr="00B76A73">
        <w:rPr>
          <w:color w:val="000000" w:themeColor="text1"/>
        </w:rPr>
        <w:t>breakeven</w:t>
      </w:r>
      <w:r w:rsidRPr="00B76A73">
        <w:rPr>
          <w:color w:val="000000" w:themeColor="text1"/>
        </w:rPr>
        <w:t xml:space="preserve"> inflation rate</w:t>
      </w:r>
      <w:r w:rsidRPr="00B76A73">
        <w:rPr>
          <w:rStyle w:val="FootnoteReference"/>
          <w:color w:val="000000" w:themeColor="text1"/>
        </w:rPr>
        <w:footnoteReference w:id="28"/>
      </w:r>
      <w:r w:rsidRPr="00B76A73">
        <w:rPr>
          <w:color w:val="000000" w:themeColor="text1"/>
        </w:rPr>
        <w:t xml:space="preserve">, an indicator for the market’s inflation expectations for the period, </w:t>
      </w:r>
      <w:r w:rsidR="005B67F4">
        <w:rPr>
          <w:color w:val="000000" w:themeColor="text1"/>
        </w:rPr>
        <w:t>fell</w:t>
      </w:r>
      <w:r w:rsidR="00B92E54" w:rsidRPr="00B76A73">
        <w:rPr>
          <w:color w:val="000000" w:themeColor="text1"/>
        </w:rPr>
        <w:t xml:space="preserve"> </w:t>
      </w:r>
      <w:r w:rsidR="00502627">
        <w:rPr>
          <w:color w:val="000000" w:themeColor="text1"/>
        </w:rPr>
        <w:t>to</w:t>
      </w:r>
      <w:r w:rsidR="00502627" w:rsidRPr="00B76A73">
        <w:rPr>
          <w:color w:val="000000" w:themeColor="text1"/>
        </w:rPr>
        <w:t xml:space="preserve"> 2.</w:t>
      </w:r>
      <w:r w:rsidR="004534D1">
        <w:rPr>
          <w:color w:val="000000" w:themeColor="text1"/>
        </w:rPr>
        <w:t>18</w:t>
      </w:r>
      <w:r w:rsidR="00502627" w:rsidRPr="00B76A73">
        <w:rPr>
          <w:color w:val="000000" w:themeColor="text1"/>
        </w:rPr>
        <w:t xml:space="preserve">% </w:t>
      </w:r>
      <w:r w:rsidR="00502627">
        <w:rPr>
          <w:color w:val="000000" w:themeColor="text1"/>
        </w:rPr>
        <w:t>at the end of the</w:t>
      </w:r>
      <w:r w:rsidR="00502627" w:rsidRPr="00B76A73">
        <w:rPr>
          <w:color w:val="000000" w:themeColor="text1"/>
        </w:rPr>
        <w:t xml:space="preserve"> </w:t>
      </w:r>
      <w:r w:rsidR="005B67F4">
        <w:rPr>
          <w:color w:val="000000" w:themeColor="text1"/>
        </w:rPr>
        <w:t>2</w:t>
      </w:r>
      <w:r w:rsidR="005B67F4" w:rsidRPr="005B67F4">
        <w:rPr>
          <w:color w:val="000000" w:themeColor="text1"/>
          <w:vertAlign w:val="superscript"/>
        </w:rPr>
        <w:t>nd</w:t>
      </w:r>
      <w:r w:rsidR="005B67F4">
        <w:rPr>
          <w:color w:val="000000" w:themeColor="text1"/>
        </w:rPr>
        <w:t xml:space="preserve"> </w:t>
      </w:r>
      <w:r w:rsidR="00502627" w:rsidRPr="00B76A73">
        <w:rPr>
          <w:color w:val="000000" w:themeColor="text1"/>
        </w:rPr>
        <w:t xml:space="preserve">quarter </w:t>
      </w:r>
      <w:r w:rsidR="00D8327E" w:rsidRPr="00B76A73">
        <w:rPr>
          <w:color w:val="000000" w:themeColor="text1"/>
        </w:rPr>
        <w:t xml:space="preserve">from </w:t>
      </w:r>
      <w:r w:rsidR="00AD19F0">
        <w:rPr>
          <w:color w:val="000000" w:themeColor="text1"/>
        </w:rPr>
        <w:t>2.</w:t>
      </w:r>
      <w:r w:rsidR="005B67F4">
        <w:rPr>
          <w:color w:val="000000" w:themeColor="text1"/>
        </w:rPr>
        <w:t>40</w:t>
      </w:r>
      <w:r w:rsidR="00D44E28" w:rsidRPr="00B76A73">
        <w:rPr>
          <w:color w:val="000000" w:themeColor="text1"/>
        </w:rPr>
        <w:t xml:space="preserve">% </w:t>
      </w:r>
      <w:r w:rsidR="00502627">
        <w:rPr>
          <w:color w:val="000000" w:themeColor="text1"/>
        </w:rPr>
        <w:t xml:space="preserve">at the end of the </w:t>
      </w:r>
      <w:r w:rsidR="005B67F4">
        <w:rPr>
          <w:color w:val="000000" w:themeColor="text1"/>
        </w:rPr>
        <w:t>1</w:t>
      </w:r>
      <w:r w:rsidR="005B67F4" w:rsidRPr="005B67F4">
        <w:rPr>
          <w:color w:val="000000" w:themeColor="text1"/>
          <w:vertAlign w:val="superscript"/>
        </w:rPr>
        <w:t>st</w:t>
      </w:r>
      <w:r w:rsidR="005B67F4">
        <w:rPr>
          <w:color w:val="000000" w:themeColor="text1"/>
        </w:rPr>
        <w:t xml:space="preserve"> </w:t>
      </w:r>
      <w:r w:rsidR="002A496C">
        <w:rPr>
          <w:color w:val="000000" w:themeColor="text1"/>
        </w:rPr>
        <w:t>quarter</w:t>
      </w:r>
      <w:r w:rsidR="00AD19F0">
        <w:rPr>
          <w:color w:val="000000" w:themeColor="text1"/>
        </w:rPr>
        <w:t xml:space="preserve"> 202</w:t>
      </w:r>
      <w:r w:rsidR="005B67F4">
        <w:rPr>
          <w:color w:val="000000" w:themeColor="text1"/>
        </w:rPr>
        <w:t>3</w:t>
      </w:r>
      <w:r w:rsidR="002A496C">
        <w:rPr>
          <w:color w:val="000000" w:themeColor="text1"/>
        </w:rPr>
        <w:t>.</w:t>
      </w:r>
    </w:p>
    <w:p w14:paraId="2FA7F119" w14:textId="2B2FF801" w:rsidR="00A83597" w:rsidRPr="00B76A73" w:rsidRDefault="0033144B" w:rsidP="00A83597">
      <w:pPr>
        <w:jc w:val="center"/>
      </w:pPr>
      <w:r>
        <w:rPr>
          <w:noProof/>
        </w:rPr>
        <w:lastRenderedPageBreak/>
        <w:drawing>
          <wp:inline distT="0" distB="0" distL="0" distR="0" wp14:anchorId="032EAE3B" wp14:editId="1AB4F537">
            <wp:extent cx="3493135" cy="2651760"/>
            <wp:effectExtent l="0" t="0" r="0" b="0"/>
            <wp:docPr id="9684869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3135" cy="2651760"/>
                    </a:xfrm>
                    <a:prstGeom prst="rect">
                      <a:avLst/>
                    </a:prstGeom>
                    <a:noFill/>
                  </pic:spPr>
                </pic:pic>
              </a:graphicData>
            </a:graphic>
          </wp:inline>
        </w:drawing>
      </w:r>
    </w:p>
    <w:p w14:paraId="491A6E5E" w14:textId="2F447D45" w:rsidR="00F03302" w:rsidRPr="00B76A73" w:rsidRDefault="0074137C" w:rsidP="00A83597">
      <w:r w:rsidRPr="00B76A73">
        <w:t>U.S. crude oil</w:t>
      </w:r>
      <w:r w:rsidRPr="00B76A73">
        <w:rPr>
          <w:rStyle w:val="FootnoteReference"/>
        </w:rPr>
        <w:footnoteReference w:id="29"/>
      </w:r>
      <w:r w:rsidRPr="00B76A73">
        <w:t xml:space="preserve"> </w:t>
      </w:r>
      <w:r w:rsidR="00660C7A" w:rsidRPr="00B76A73">
        <w:t xml:space="preserve">prices </w:t>
      </w:r>
      <w:r w:rsidR="004534D1">
        <w:t>have fallen in three of the last four quarters</w:t>
      </w:r>
      <w:r w:rsidR="007870C8">
        <w:t xml:space="preserve">, </w:t>
      </w:r>
      <w:r w:rsidR="00D12309">
        <w:t xml:space="preserve">constrained </w:t>
      </w:r>
      <w:r w:rsidR="004534D1">
        <w:t xml:space="preserve">most recently </w:t>
      </w:r>
      <w:r w:rsidR="00D12309">
        <w:t>by rising interest rates among major economic players and sluggish growth in the global economy, particularly China</w:t>
      </w:r>
      <w:r w:rsidR="00374F21">
        <w:t xml:space="preserve">. </w:t>
      </w:r>
      <w:r w:rsidR="00B6639B" w:rsidRPr="00B76A73">
        <w:t xml:space="preserve">Crude prices ended the </w:t>
      </w:r>
      <w:r w:rsidR="007870C8">
        <w:t>2</w:t>
      </w:r>
      <w:r w:rsidR="007870C8" w:rsidRPr="007870C8">
        <w:rPr>
          <w:vertAlign w:val="superscript"/>
        </w:rPr>
        <w:t>nd</w:t>
      </w:r>
      <w:r w:rsidR="007870C8">
        <w:t xml:space="preserve"> </w:t>
      </w:r>
      <w:r w:rsidR="00A43008" w:rsidRPr="00B76A73">
        <w:t>quarter</w:t>
      </w:r>
      <w:r w:rsidR="00F03302" w:rsidRPr="00B76A73">
        <w:t xml:space="preserve"> at </w:t>
      </w:r>
      <w:r w:rsidRPr="00B76A73">
        <w:t>$</w:t>
      </w:r>
      <w:r w:rsidR="00AD19F0">
        <w:t>7</w:t>
      </w:r>
      <w:r w:rsidR="007870C8">
        <w:t>0</w:t>
      </w:r>
      <w:r w:rsidR="00AD19F0">
        <w:t>.6</w:t>
      </w:r>
      <w:r w:rsidR="007870C8">
        <w:t>6</w:t>
      </w:r>
      <w:r w:rsidRPr="00B76A73">
        <w:t xml:space="preserve"> </w:t>
      </w:r>
      <w:r w:rsidR="00F03302" w:rsidRPr="00B76A73">
        <w:t>per barrel</w:t>
      </w:r>
      <w:r w:rsidR="00B6639B" w:rsidRPr="00B76A73">
        <w:t xml:space="preserve">, </w:t>
      </w:r>
      <w:r w:rsidR="00AD19F0">
        <w:t xml:space="preserve">down </w:t>
      </w:r>
      <w:r w:rsidR="007870C8">
        <w:t>6</w:t>
      </w:r>
      <w:r w:rsidR="00AD19F0">
        <w:t>.6</w:t>
      </w:r>
      <w:r w:rsidR="00B6639B" w:rsidRPr="00B76A73">
        <w:t xml:space="preserve">% </w:t>
      </w:r>
      <w:r w:rsidR="00AD19F0">
        <w:t>from</w:t>
      </w:r>
      <w:r w:rsidR="00B6639B" w:rsidRPr="00B76A73">
        <w:t xml:space="preserve"> </w:t>
      </w:r>
      <w:r w:rsidR="00AD19F0">
        <w:t xml:space="preserve">the prior quarter and </w:t>
      </w:r>
      <w:r w:rsidR="007870C8">
        <w:t>34.4</w:t>
      </w:r>
      <w:r w:rsidR="00AD19F0">
        <w:t>% over one year</w:t>
      </w:r>
      <w:r w:rsidR="002E3E26" w:rsidRPr="00B76A73">
        <w:t xml:space="preserve">. </w:t>
      </w:r>
    </w:p>
    <w:p w14:paraId="51050840" w14:textId="307C7C9E" w:rsidR="00F03302" w:rsidRPr="00B76A73" w:rsidRDefault="0033144B" w:rsidP="00166C08">
      <w:pPr>
        <w:jc w:val="center"/>
      </w:pPr>
      <w:r>
        <w:rPr>
          <w:noProof/>
        </w:rPr>
        <w:drawing>
          <wp:inline distT="0" distB="0" distL="0" distR="0" wp14:anchorId="6A068EE3" wp14:editId="01C2FD4F">
            <wp:extent cx="3609340" cy="2651760"/>
            <wp:effectExtent l="0" t="0" r="0" b="0"/>
            <wp:docPr id="4196843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9340" cy="2651760"/>
                    </a:xfrm>
                    <a:prstGeom prst="rect">
                      <a:avLst/>
                    </a:prstGeom>
                    <a:noFill/>
                  </pic:spPr>
                </pic:pic>
              </a:graphicData>
            </a:graphic>
          </wp:inline>
        </w:drawing>
      </w:r>
    </w:p>
    <w:p w14:paraId="149D5F41" w14:textId="77777777" w:rsidR="00005111" w:rsidRPr="00B76A73" w:rsidRDefault="00005111" w:rsidP="001475FF">
      <w:pPr>
        <w:pStyle w:val="Heading1"/>
      </w:pPr>
      <w:r w:rsidRPr="00B76A73">
        <w:t>Housing</w:t>
      </w:r>
    </w:p>
    <w:p w14:paraId="7135DBE1" w14:textId="42C3CDC5" w:rsidR="00A96A6A" w:rsidRPr="00B76A73" w:rsidRDefault="00A141EE">
      <w:r w:rsidRPr="00A141EE">
        <w:t>High interest rates and a lack of available inventory have plagued the housing market in the first half of 2023</w:t>
      </w:r>
      <w:r w:rsidR="00E82192" w:rsidRPr="00A141EE">
        <w:t xml:space="preserve">. </w:t>
      </w:r>
      <w:r w:rsidR="0009284F" w:rsidRPr="00A141EE">
        <w:t>Price</w:t>
      </w:r>
      <w:r w:rsidR="00A45AD4" w:rsidRPr="00A141EE">
        <w:t xml:space="preserve"> growth</w:t>
      </w:r>
      <w:r w:rsidR="0009284F" w:rsidRPr="00A141EE">
        <w:t xml:space="preserve"> in </w:t>
      </w:r>
      <w:r w:rsidR="00D70994" w:rsidRPr="00A141EE">
        <w:t>ma</w:t>
      </w:r>
      <w:r w:rsidR="0009284F" w:rsidRPr="00A141EE">
        <w:t xml:space="preserve">jor cities </w:t>
      </w:r>
      <w:r w:rsidR="00A45AD4" w:rsidRPr="00A141EE">
        <w:t>has slowed</w:t>
      </w:r>
      <w:r w:rsidR="0009284F" w:rsidRPr="00A141EE">
        <w:t xml:space="preserve">, </w:t>
      </w:r>
      <w:r w:rsidR="00D70994" w:rsidRPr="00A141EE">
        <w:t>with a growing number of cities experiencing annual price declines</w:t>
      </w:r>
      <w:r w:rsidR="00370D64" w:rsidRPr="00A141EE">
        <w:t xml:space="preserve">. Home sales continued to slide as mortgage rates remained </w:t>
      </w:r>
      <w:r w:rsidR="00370D64" w:rsidRPr="00A141EE">
        <w:lastRenderedPageBreak/>
        <w:t xml:space="preserve">near </w:t>
      </w:r>
      <w:r w:rsidRPr="00A141EE">
        <w:t>the 20</w:t>
      </w:r>
      <w:r w:rsidR="00370D64" w:rsidRPr="00A141EE">
        <w:t>-year high</w:t>
      </w:r>
      <w:r w:rsidRPr="00A141EE">
        <w:t xml:space="preserve"> reached in late 2022</w:t>
      </w:r>
      <w:r w:rsidR="00D413F8" w:rsidRPr="00A141EE">
        <w:t>.</w:t>
      </w:r>
      <w:r w:rsidR="00D413F8">
        <w:t xml:space="preserve"> </w:t>
      </w:r>
      <w:r w:rsidR="003F007D" w:rsidRPr="00B76A73">
        <w:t>New</w:t>
      </w:r>
      <w:r w:rsidR="00B0395F" w:rsidRPr="00B76A73">
        <w:t xml:space="preserve"> home starts</w:t>
      </w:r>
      <w:r w:rsidR="00C828B0" w:rsidRPr="00B76A73">
        <w:rPr>
          <w:rStyle w:val="FootnoteReference"/>
        </w:rPr>
        <w:footnoteReference w:id="30"/>
      </w:r>
      <w:r w:rsidR="00B0395F" w:rsidRPr="00B76A73">
        <w:t xml:space="preserve"> </w:t>
      </w:r>
      <w:r w:rsidR="00306EFA">
        <w:t>rose 3</w:t>
      </w:r>
      <w:r w:rsidR="0052479C">
        <w:t>.9</w:t>
      </w:r>
      <w:r w:rsidR="00306EFA">
        <w:t>% during the first quarter</w:t>
      </w:r>
      <w:r w:rsidR="00F13C1C" w:rsidRPr="00B76A73">
        <w:t xml:space="preserve"> to</w:t>
      </w:r>
      <w:r w:rsidR="00BC04D5" w:rsidRPr="00B76A73">
        <w:t xml:space="preserve"> </w:t>
      </w:r>
      <w:r w:rsidR="00306EFA">
        <w:t xml:space="preserve">a level of </w:t>
      </w:r>
      <w:r w:rsidR="00BC04D5" w:rsidRPr="00B76A73">
        <w:t>1.</w:t>
      </w:r>
      <w:r w:rsidR="002A496C">
        <w:t>4</w:t>
      </w:r>
      <w:r w:rsidR="0052479C">
        <w:t>3</w:t>
      </w:r>
      <w:r w:rsidR="003F007D" w:rsidRPr="00B76A73">
        <w:t xml:space="preserve"> </w:t>
      </w:r>
      <w:r w:rsidR="00B0395F" w:rsidRPr="00B76A73">
        <w:t>million</w:t>
      </w:r>
      <w:r w:rsidR="00675122" w:rsidRPr="00B76A73">
        <w:t xml:space="preserve"> in </w:t>
      </w:r>
      <w:r w:rsidR="0052479C">
        <w:t>June</w:t>
      </w:r>
      <w:r w:rsidR="00CC1275" w:rsidRPr="00B76A73">
        <w:t>;</w:t>
      </w:r>
      <w:r w:rsidR="002B6581">
        <w:t xml:space="preserve"> the increase was concentrated in </w:t>
      </w:r>
      <w:r w:rsidR="00CC1275" w:rsidRPr="00B76A73">
        <w:t>single-family home</w:t>
      </w:r>
      <w:r w:rsidR="008B088E" w:rsidRPr="00B76A73">
        <w:t xml:space="preserve">s </w:t>
      </w:r>
      <w:r w:rsidR="0042797E">
        <w:t xml:space="preserve">while </w:t>
      </w:r>
      <w:r w:rsidR="00660739">
        <w:t>starts for</w:t>
      </w:r>
      <w:r w:rsidR="00CC1275" w:rsidRPr="00B76A73">
        <w:t xml:space="preserve"> </w:t>
      </w:r>
      <w:r w:rsidR="008B088E" w:rsidRPr="00B76A73">
        <w:t xml:space="preserve">multifamily buildings with 5 or more units </w:t>
      </w:r>
      <w:r w:rsidR="00BC3ABE">
        <w:t>fell</w:t>
      </w:r>
      <w:r w:rsidR="00660739">
        <w:t xml:space="preserve"> </w:t>
      </w:r>
      <w:r w:rsidR="00CC1275" w:rsidRPr="00B76A73">
        <w:t>over the quarter</w:t>
      </w:r>
      <w:r w:rsidR="00341282" w:rsidRPr="00B76A73">
        <w:t xml:space="preserve">. </w:t>
      </w:r>
      <w:r w:rsidR="00894434" w:rsidRPr="00B76A73">
        <w:t xml:space="preserve">Total new home starts were </w:t>
      </w:r>
      <w:r w:rsidR="00306EFA">
        <w:t xml:space="preserve">down </w:t>
      </w:r>
      <w:r w:rsidR="0052479C">
        <w:t>8.1</w:t>
      </w:r>
      <w:r w:rsidR="005D3FB8" w:rsidRPr="00B76A73">
        <w:t xml:space="preserve">% </w:t>
      </w:r>
      <w:r w:rsidR="009C2041">
        <w:t>year-over</w:t>
      </w:r>
      <w:r w:rsidR="0052479C">
        <w:t>-</w:t>
      </w:r>
      <w:r w:rsidR="005D3FB8" w:rsidRPr="00B76A73">
        <w:t>year</w:t>
      </w:r>
      <w:r w:rsidR="00306EFA">
        <w:t xml:space="preserve"> but</w:t>
      </w:r>
      <w:r w:rsidR="00835D9E" w:rsidRPr="00B76A73">
        <w:t xml:space="preserve"> </w:t>
      </w:r>
      <w:r w:rsidR="00306EFA">
        <w:t xml:space="preserve">remained </w:t>
      </w:r>
      <w:r w:rsidR="005D3FB8" w:rsidRPr="00B76A73">
        <w:t>above their 30-year average of 1.3</w:t>
      </w:r>
      <w:r w:rsidR="00306EFA">
        <w:t>4</w:t>
      </w:r>
      <w:r w:rsidR="005D3FB8" w:rsidRPr="00B76A73">
        <w:t xml:space="preserve"> million.</w:t>
      </w:r>
      <w:r w:rsidR="00D413F8">
        <w:t xml:space="preserve"> </w:t>
      </w:r>
    </w:p>
    <w:p w14:paraId="149D5F44" w14:textId="123B13C0" w:rsidR="00B5315D" w:rsidRPr="00B76A73" w:rsidRDefault="0033144B" w:rsidP="001B4B76">
      <w:pPr>
        <w:jc w:val="center"/>
      </w:pPr>
      <w:r>
        <w:rPr>
          <w:noProof/>
        </w:rPr>
        <w:drawing>
          <wp:inline distT="0" distB="0" distL="0" distR="0" wp14:anchorId="2FAF9553" wp14:editId="1DCE6666">
            <wp:extent cx="3816350" cy="2651760"/>
            <wp:effectExtent l="0" t="0" r="0" b="0"/>
            <wp:docPr id="388592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6350" cy="2651760"/>
                    </a:xfrm>
                    <a:prstGeom prst="rect">
                      <a:avLst/>
                    </a:prstGeom>
                    <a:noFill/>
                  </pic:spPr>
                </pic:pic>
              </a:graphicData>
            </a:graphic>
          </wp:inline>
        </w:drawing>
      </w:r>
    </w:p>
    <w:p w14:paraId="149D5F46" w14:textId="009673DD" w:rsidR="00A96795" w:rsidRPr="00B76A73" w:rsidRDefault="00A223EC" w:rsidP="000A1224">
      <w:r w:rsidRPr="00B76A73">
        <w:t xml:space="preserve">The cost </w:t>
      </w:r>
      <w:r w:rsidR="00BC00A7" w:rsidRPr="00B76A73">
        <w:t xml:space="preserve">of financing </w:t>
      </w:r>
      <w:r w:rsidRPr="00B76A73">
        <w:t xml:space="preserve">for </w:t>
      </w:r>
      <w:r w:rsidR="001B4B76" w:rsidRPr="00B76A73">
        <w:t xml:space="preserve">would-be homebuyers </w:t>
      </w:r>
      <w:r w:rsidR="0052479C">
        <w:t>rose during the 2</w:t>
      </w:r>
      <w:r w:rsidR="0052479C" w:rsidRPr="0052479C">
        <w:rPr>
          <w:vertAlign w:val="superscript"/>
        </w:rPr>
        <w:t>nd</w:t>
      </w:r>
      <w:r w:rsidR="0052479C">
        <w:t xml:space="preserve"> </w:t>
      </w:r>
      <w:r w:rsidR="00CC1275" w:rsidRPr="00B76A73">
        <w:t>quarter</w:t>
      </w:r>
      <w:r w:rsidR="00B403A1" w:rsidRPr="00B76A73">
        <w:t xml:space="preserve">, with </w:t>
      </w:r>
      <w:r w:rsidR="001B4B76" w:rsidRPr="00B76A73">
        <w:t>the 30-year fixed-rate mortgage</w:t>
      </w:r>
      <w:r w:rsidR="00250313" w:rsidRPr="00B76A73">
        <w:rPr>
          <w:rStyle w:val="FootnoteReference"/>
        </w:rPr>
        <w:footnoteReference w:id="31"/>
      </w:r>
      <w:r w:rsidR="0081792D" w:rsidRPr="00B76A73">
        <w:t xml:space="preserve"> </w:t>
      </w:r>
      <w:r w:rsidR="00B403A1" w:rsidRPr="00B76A73">
        <w:t xml:space="preserve">ending </w:t>
      </w:r>
      <w:r w:rsidR="0052479C">
        <w:t>June</w:t>
      </w:r>
      <w:r w:rsidR="00BC3ABE">
        <w:t xml:space="preserve"> 2023</w:t>
      </w:r>
      <w:r w:rsidR="00B403A1" w:rsidRPr="00B76A73">
        <w:t xml:space="preserve"> at</w:t>
      </w:r>
      <w:r w:rsidR="0055033B" w:rsidRPr="00B76A73">
        <w:t xml:space="preserve"> </w:t>
      </w:r>
      <w:r w:rsidR="00720495">
        <w:t xml:space="preserve">an average of </w:t>
      </w:r>
      <w:r w:rsidR="009550AF" w:rsidRPr="00B76A73">
        <w:t>6</w:t>
      </w:r>
      <w:r w:rsidR="00234C71" w:rsidRPr="00B76A73">
        <w:t>.</w:t>
      </w:r>
      <w:r w:rsidR="0052479C">
        <w:t>71</w:t>
      </w:r>
      <w:r w:rsidR="0055033B" w:rsidRPr="00B76A73">
        <w:t>%</w:t>
      </w:r>
      <w:r w:rsidR="0052479C">
        <w:t xml:space="preserve">, 0.37 percentage points below its </w:t>
      </w:r>
      <w:r w:rsidR="00720495">
        <w:t xml:space="preserve">20-year high </w:t>
      </w:r>
      <w:r w:rsidR="0052479C">
        <w:t xml:space="preserve">in </w:t>
      </w:r>
      <w:r w:rsidR="00A141EE">
        <w:t>the fall of</w:t>
      </w:r>
      <w:r w:rsidR="0052479C">
        <w:t xml:space="preserve"> 2022</w:t>
      </w:r>
      <w:r w:rsidR="001B4B76" w:rsidRPr="00B76A73">
        <w:t>.</w:t>
      </w:r>
      <w:r w:rsidR="00A730DC" w:rsidRPr="00B76A73">
        <w:t xml:space="preserve"> </w:t>
      </w:r>
    </w:p>
    <w:p w14:paraId="0D0A69F6" w14:textId="23819A33" w:rsidR="00A96A6A" w:rsidRPr="00B76A73" w:rsidRDefault="0033144B" w:rsidP="00453708">
      <w:pPr>
        <w:jc w:val="center"/>
      </w:pPr>
      <w:r>
        <w:rPr>
          <w:noProof/>
        </w:rPr>
        <w:drawing>
          <wp:inline distT="0" distB="0" distL="0" distR="0" wp14:anchorId="75513932" wp14:editId="1F9B4A64">
            <wp:extent cx="3816350" cy="2651760"/>
            <wp:effectExtent l="0" t="0" r="0" b="0"/>
            <wp:docPr id="426745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6350" cy="2651760"/>
                    </a:xfrm>
                    <a:prstGeom prst="rect">
                      <a:avLst/>
                    </a:prstGeom>
                    <a:noFill/>
                  </pic:spPr>
                </pic:pic>
              </a:graphicData>
            </a:graphic>
          </wp:inline>
        </w:drawing>
      </w:r>
    </w:p>
    <w:p w14:paraId="1D2DE37C" w14:textId="3B1F88B2" w:rsidR="00A96A6A" w:rsidRPr="00B76A73" w:rsidRDefault="00B767AE" w:rsidP="00773B5B">
      <w:r w:rsidRPr="00BC7261">
        <w:lastRenderedPageBreak/>
        <w:t>The S&amp;</w:t>
      </w:r>
      <w:r w:rsidR="00BD1AF4" w:rsidRPr="00BC7261">
        <w:t>P Case-Shiller Home Price Index (20-city)</w:t>
      </w:r>
      <w:r w:rsidR="00B2585A" w:rsidRPr="00BC7261">
        <w:rPr>
          <w:rStyle w:val="FootnoteReference"/>
        </w:rPr>
        <w:footnoteReference w:id="32"/>
      </w:r>
      <w:r w:rsidR="00BD1AF4" w:rsidRPr="00BC7261">
        <w:t xml:space="preserve"> </w:t>
      </w:r>
      <w:r w:rsidR="00BC3ABE">
        <w:t xml:space="preserve">was </w:t>
      </w:r>
      <w:r w:rsidR="00A45AD4">
        <w:t>1</w:t>
      </w:r>
      <w:r w:rsidR="00722380">
        <w:t>.0</w:t>
      </w:r>
      <w:r w:rsidR="00A45AD4">
        <w:t xml:space="preserve">% higher from </w:t>
      </w:r>
      <w:r w:rsidR="00722380">
        <w:t>April to May but was down</w:t>
      </w:r>
      <w:r w:rsidR="00A45AD4">
        <w:t xml:space="preserve"> </w:t>
      </w:r>
      <w:r w:rsidR="00722380">
        <w:t>1</w:t>
      </w:r>
      <w:r w:rsidR="00BC3ABE">
        <w:t>.</w:t>
      </w:r>
      <w:r w:rsidR="00722380">
        <w:t>8</w:t>
      </w:r>
      <w:r w:rsidR="0057468C" w:rsidRPr="00BC7261">
        <w:t xml:space="preserve">% since </w:t>
      </w:r>
      <w:r w:rsidR="00722380">
        <w:t>May</w:t>
      </w:r>
      <w:r w:rsidR="00A45AD4">
        <w:t xml:space="preserve"> </w:t>
      </w:r>
      <w:r w:rsidR="0057468C" w:rsidRPr="00BC7261">
        <w:t>202</w:t>
      </w:r>
      <w:r w:rsidR="00BC3ABE">
        <w:t>2</w:t>
      </w:r>
      <w:r w:rsidR="00877F82" w:rsidRPr="00BC7261">
        <w:t>.</w:t>
      </w:r>
      <w:r w:rsidR="009550AF" w:rsidRPr="00BC7261">
        <w:t xml:space="preserve"> </w:t>
      </w:r>
      <w:r w:rsidR="00722380">
        <w:t xml:space="preserve">Led by two Midwestern cities, </w:t>
      </w:r>
      <w:proofErr w:type="gramStart"/>
      <w:r w:rsidR="00722380">
        <w:t>Chicago</w:t>
      </w:r>
      <w:proofErr w:type="gramEnd"/>
      <w:r w:rsidR="00722380">
        <w:t xml:space="preserve"> and Cleveland, 10</w:t>
      </w:r>
      <w:r w:rsidR="006C5DCC">
        <w:t xml:space="preserve"> of the 20</w:t>
      </w:r>
      <w:r w:rsidR="009550AF" w:rsidRPr="00BC7261">
        <w:t xml:space="preserve"> cities continued to report </w:t>
      </w:r>
      <w:r w:rsidR="00877F82" w:rsidRPr="00BC7261">
        <w:t xml:space="preserve">one-year </w:t>
      </w:r>
      <w:r w:rsidR="009550AF" w:rsidRPr="00BC7261">
        <w:t>price increases</w:t>
      </w:r>
      <w:r w:rsidR="00722380">
        <w:t>. Meanwhile</w:t>
      </w:r>
      <w:r w:rsidR="00D750B7">
        <w:t>,</w:t>
      </w:r>
      <w:r w:rsidR="00722380">
        <w:t xml:space="preserve"> Seattle and San Francisco posted double-digit declines; </w:t>
      </w:r>
      <w:r w:rsidR="00114EE2">
        <w:t xml:space="preserve">in all, </w:t>
      </w:r>
      <w:r w:rsidR="004C7928">
        <w:t xml:space="preserve">7 of the </w:t>
      </w:r>
      <w:r w:rsidR="00722380">
        <w:t>10</w:t>
      </w:r>
      <w:r w:rsidR="004C7928">
        <w:t xml:space="preserve"> cities with over-the-year price declines </w:t>
      </w:r>
      <w:r w:rsidR="00E261F7">
        <w:t>were in</w:t>
      </w:r>
      <w:r w:rsidR="004C7928">
        <w:t xml:space="preserve"> the West</w:t>
      </w:r>
      <w:r w:rsidR="004306FA">
        <w:t xml:space="preserve"> region</w:t>
      </w:r>
      <w:r w:rsidR="00B432FD" w:rsidRPr="00BC7261">
        <w:t>.</w:t>
      </w:r>
      <w:r w:rsidR="006A656A" w:rsidRPr="00B76A73">
        <w:t xml:space="preserve"> </w:t>
      </w:r>
    </w:p>
    <w:p w14:paraId="149D5F4C" w14:textId="5CAE96DC" w:rsidR="0064538F" w:rsidRPr="00B76A73" w:rsidRDefault="0033144B" w:rsidP="002775DB">
      <w:pPr>
        <w:jc w:val="center"/>
      </w:pPr>
      <w:r>
        <w:rPr>
          <w:noProof/>
        </w:rPr>
        <w:drawing>
          <wp:inline distT="0" distB="0" distL="0" distR="0" wp14:anchorId="07CB1B56" wp14:editId="3F5C8D89">
            <wp:extent cx="3493135" cy="2651760"/>
            <wp:effectExtent l="0" t="0" r="0" b="0"/>
            <wp:docPr id="19620912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3135" cy="2651760"/>
                    </a:xfrm>
                    <a:prstGeom prst="rect">
                      <a:avLst/>
                    </a:prstGeom>
                    <a:noFill/>
                  </pic:spPr>
                </pic:pic>
              </a:graphicData>
            </a:graphic>
          </wp:inline>
        </w:drawing>
      </w:r>
    </w:p>
    <w:p w14:paraId="149D5F4D" w14:textId="52E84594" w:rsidR="00005111" w:rsidRPr="00B76A73" w:rsidRDefault="0079609A" w:rsidP="001475FF">
      <w:pPr>
        <w:pStyle w:val="Heading1"/>
      </w:pPr>
      <w:r w:rsidRPr="00B76A73">
        <w:t>Consumer Spending</w:t>
      </w:r>
    </w:p>
    <w:p w14:paraId="149D5F51" w14:textId="11B2D382" w:rsidR="0079609A" w:rsidRPr="00B76A73" w:rsidRDefault="0079609A" w:rsidP="00A04AD3">
      <w:r w:rsidRPr="00B76A73">
        <w:t>Personal Consumption Expenditures (PCE)</w:t>
      </w:r>
      <w:r w:rsidR="00421F60" w:rsidRPr="00B76A73">
        <w:rPr>
          <w:rStyle w:val="FootnoteReference"/>
        </w:rPr>
        <w:footnoteReference w:id="33"/>
      </w:r>
      <w:r w:rsidRPr="00B76A73">
        <w:t xml:space="preserve"> </w:t>
      </w:r>
      <w:r w:rsidR="00282C6E" w:rsidRPr="00B76A73">
        <w:t xml:space="preserve">rose </w:t>
      </w:r>
      <w:r w:rsidR="00D213F9">
        <w:t>1.3</w:t>
      </w:r>
      <w:r w:rsidR="00282C6E" w:rsidRPr="00B76A73">
        <w:t xml:space="preserve">% in the </w:t>
      </w:r>
      <w:r w:rsidR="00D213F9">
        <w:t>2</w:t>
      </w:r>
      <w:r w:rsidR="00D213F9" w:rsidRPr="00D213F9">
        <w:rPr>
          <w:vertAlign w:val="superscript"/>
        </w:rPr>
        <w:t>nd</w:t>
      </w:r>
      <w:r w:rsidR="00370D64">
        <w:t xml:space="preserve"> </w:t>
      </w:r>
      <w:r w:rsidR="00282C6E" w:rsidRPr="00B76A73">
        <w:t>quarter to</w:t>
      </w:r>
      <w:r w:rsidR="00381A81" w:rsidRPr="00B76A73">
        <w:t xml:space="preserve"> </w:t>
      </w:r>
      <w:r w:rsidR="00AA74C1" w:rsidRPr="00B76A73">
        <w:t>$1</w:t>
      </w:r>
      <w:r w:rsidR="00370D64">
        <w:t>8.</w:t>
      </w:r>
      <w:r w:rsidR="00D213F9">
        <w:t>4</w:t>
      </w:r>
      <w:r w:rsidR="00AA74C1" w:rsidRPr="00B76A73">
        <w:t xml:space="preserve"> trillion</w:t>
      </w:r>
      <w:r w:rsidR="00E37950" w:rsidRPr="00B76A73">
        <w:t xml:space="preserve">. PCE </w:t>
      </w:r>
      <w:r w:rsidR="006A656A" w:rsidRPr="00B76A73">
        <w:t xml:space="preserve">were up </w:t>
      </w:r>
      <w:r w:rsidR="00D213F9">
        <w:t>5.4</w:t>
      </w:r>
      <w:r w:rsidR="0081792D" w:rsidRPr="00B76A73">
        <w:t xml:space="preserve">% </w:t>
      </w:r>
      <w:r w:rsidR="00282C6E" w:rsidRPr="00B76A73">
        <w:t xml:space="preserve">since the </w:t>
      </w:r>
      <w:r w:rsidR="00D213F9">
        <w:t>2</w:t>
      </w:r>
      <w:r w:rsidR="00D213F9" w:rsidRPr="00D213F9">
        <w:rPr>
          <w:vertAlign w:val="superscript"/>
        </w:rPr>
        <w:t>nd</w:t>
      </w:r>
      <w:r w:rsidR="00D213F9">
        <w:t xml:space="preserve"> </w:t>
      </w:r>
      <w:r w:rsidR="006A656A" w:rsidRPr="00B76A73">
        <w:t>quarter</w:t>
      </w:r>
      <w:r w:rsidR="0081792D" w:rsidRPr="00B76A73">
        <w:t xml:space="preserve"> </w:t>
      </w:r>
      <w:r w:rsidR="00AA74C1" w:rsidRPr="00B76A73">
        <w:t>last yea</w:t>
      </w:r>
      <w:r w:rsidR="0081792D" w:rsidRPr="00B76A73">
        <w:t>r</w:t>
      </w:r>
      <w:r w:rsidR="002A0B80" w:rsidRPr="00B76A73">
        <w:t>.</w:t>
      </w:r>
      <w:r w:rsidR="00F04BC9" w:rsidRPr="00B76A73">
        <w:t xml:space="preserve"> </w:t>
      </w:r>
      <w:r w:rsidR="00D477E7">
        <w:t>S</w:t>
      </w:r>
      <w:r w:rsidR="00282C6E" w:rsidRPr="00B76A73">
        <w:t xml:space="preserve">pending </w:t>
      </w:r>
      <w:r w:rsidR="00D477E7">
        <w:t xml:space="preserve">increased </w:t>
      </w:r>
      <w:r w:rsidR="00D213F9">
        <w:t xml:space="preserve">in June </w:t>
      </w:r>
      <w:r w:rsidR="00973948">
        <w:t>for services such as financial services and insurance, housing and utilities, and recreational services</w:t>
      </w:r>
      <w:r w:rsidR="00282C6E" w:rsidRPr="00B76A73">
        <w:t>.</w:t>
      </w:r>
      <w:r w:rsidR="00973948">
        <w:t xml:space="preserve"> Goods spending also increased, led by motor vehicles and parts as well as gasoline and other energy goods.</w:t>
      </w:r>
    </w:p>
    <w:p w14:paraId="419D69CE" w14:textId="425C8BB4" w:rsidR="00A96A6A" w:rsidRPr="00B76A73" w:rsidRDefault="0033144B" w:rsidP="00CF06AE">
      <w:pPr>
        <w:jc w:val="center"/>
      </w:pPr>
      <w:r>
        <w:rPr>
          <w:noProof/>
        </w:rPr>
        <w:lastRenderedPageBreak/>
        <w:drawing>
          <wp:inline distT="0" distB="0" distL="0" distR="0" wp14:anchorId="280C7683" wp14:editId="280AD365">
            <wp:extent cx="3493135" cy="2651760"/>
            <wp:effectExtent l="0" t="0" r="0" b="0"/>
            <wp:docPr id="9064466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3135" cy="2651760"/>
                    </a:xfrm>
                    <a:prstGeom prst="rect">
                      <a:avLst/>
                    </a:prstGeom>
                    <a:noFill/>
                  </pic:spPr>
                </pic:pic>
              </a:graphicData>
            </a:graphic>
          </wp:inline>
        </w:drawing>
      </w:r>
    </w:p>
    <w:p w14:paraId="149D5F53" w14:textId="2F615B6F" w:rsidR="0079609A" w:rsidRPr="00B76A73" w:rsidRDefault="00D148FE" w:rsidP="00F92FD1">
      <w:r w:rsidRPr="00B76A73">
        <w:t xml:space="preserve">Auto manufacturers </w:t>
      </w:r>
      <w:r w:rsidR="00695980" w:rsidRPr="00B76A73">
        <w:t xml:space="preserve">reported </w:t>
      </w:r>
      <w:r w:rsidR="0079609A" w:rsidRPr="00B76A73">
        <w:t>autos and light trucks sold</w:t>
      </w:r>
      <w:r w:rsidR="00933E80" w:rsidRPr="00B76A73">
        <w:rPr>
          <w:rStyle w:val="FootnoteReference"/>
        </w:rPr>
        <w:footnoteReference w:id="34"/>
      </w:r>
      <w:r w:rsidR="0079609A" w:rsidRPr="00B76A73">
        <w:t xml:space="preserve"> </w:t>
      </w:r>
      <w:r w:rsidR="0099207D">
        <w:t xml:space="preserve">at an annual rate of </w:t>
      </w:r>
      <w:r w:rsidR="0099207D" w:rsidRPr="00B76A73">
        <w:t>1</w:t>
      </w:r>
      <w:r w:rsidR="0099207D">
        <w:t>5</w:t>
      </w:r>
      <w:r w:rsidR="0099207D" w:rsidRPr="00B76A73">
        <w:t>.</w:t>
      </w:r>
      <w:r w:rsidR="0099207D">
        <w:t>7</w:t>
      </w:r>
      <w:r w:rsidR="0099207D" w:rsidRPr="00B76A73">
        <w:t xml:space="preserve"> million </w:t>
      </w:r>
      <w:r w:rsidR="0079609A" w:rsidRPr="00B76A73">
        <w:t xml:space="preserve">in </w:t>
      </w:r>
      <w:r w:rsidR="006F67DF">
        <w:t>June</w:t>
      </w:r>
      <w:r w:rsidR="007679B8">
        <w:t xml:space="preserve"> 2023</w:t>
      </w:r>
      <w:r w:rsidR="008B3E4E" w:rsidRPr="00B76A73">
        <w:t>,</w:t>
      </w:r>
      <w:r w:rsidR="005B40E5" w:rsidRPr="00B76A73">
        <w:t xml:space="preserve"> </w:t>
      </w:r>
      <w:r w:rsidR="007679B8">
        <w:t xml:space="preserve">up </w:t>
      </w:r>
      <w:r w:rsidR="006F67DF">
        <w:t>5</w:t>
      </w:r>
      <w:r w:rsidR="007679B8">
        <w:t xml:space="preserve">.0% from </w:t>
      </w:r>
      <w:r w:rsidR="006F67DF">
        <w:t>March</w:t>
      </w:r>
      <w:r w:rsidR="00140B44" w:rsidRPr="00B76A73">
        <w:t xml:space="preserve">. </w:t>
      </w:r>
      <w:r w:rsidR="00B0457A" w:rsidRPr="00B76A73">
        <w:t>N</w:t>
      </w:r>
      <w:r w:rsidR="00D822BB" w:rsidRPr="00B76A73">
        <w:t>ew vehicle prices</w:t>
      </w:r>
      <w:r w:rsidR="00D822BB" w:rsidRPr="00B76A73">
        <w:rPr>
          <w:rStyle w:val="FootnoteReference"/>
        </w:rPr>
        <w:footnoteReference w:id="35"/>
      </w:r>
      <w:r w:rsidR="00D822BB" w:rsidRPr="00B76A73">
        <w:t xml:space="preserve"> </w:t>
      </w:r>
      <w:r w:rsidR="00B0457A" w:rsidRPr="00B76A73">
        <w:t>built on their</w:t>
      </w:r>
      <w:r w:rsidR="00D822BB" w:rsidRPr="00B76A73">
        <w:t xml:space="preserve"> </w:t>
      </w:r>
      <w:r w:rsidR="00CF63FE" w:rsidRPr="00B76A73">
        <w:t>record</w:t>
      </w:r>
      <w:r w:rsidR="00D822BB" w:rsidRPr="00B76A73">
        <w:t xml:space="preserve"> high </w:t>
      </w:r>
      <w:r w:rsidR="00CF63FE" w:rsidRPr="00B76A73">
        <w:t>by a further</w:t>
      </w:r>
      <w:r w:rsidR="006F67DF">
        <w:t xml:space="preserve"> 0.7</w:t>
      </w:r>
      <w:r w:rsidR="00CF63FE" w:rsidRPr="00B76A73">
        <w:t xml:space="preserve">% during the </w:t>
      </w:r>
      <w:r w:rsidR="006F67DF">
        <w:t>2</w:t>
      </w:r>
      <w:r w:rsidR="006F67DF" w:rsidRPr="006F67DF">
        <w:rPr>
          <w:vertAlign w:val="superscript"/>
        </w:rPr>
        <w:t>nd</w:t>
      </w:r>
      <w:r w:rsidR="006F67DF">
        <w:t xml:space="preserve"> </w:t>
      </w:r>
      <w:r w:rsidR="00CF63FE" w:rsidRPr="00B76A73">
        <w:t>quarter</w:t>
      </w:r>
      <w:r w:rsidR="006F67DF">
        <w:t>. U</w:t>
      </w:r>
      <w:r w:rsidR="002530D7" w:rsidRPr="00B76A73">
        <w:t>sed car</w:t>
      </w:r>
      <w:r w:rsidR="00340262" w:rsidRPr="00B76A73">
        <w:t xml:space="preserve"> prices</w:t>
      </w:r>
      <w:r w:rsidR="002530D7" w:rsidRPr="00B76A73">
        <w:rPr>
          <w:rStyle w:val="FootnoteReference"/>
        </w:rPr>
        <w:footnoteReference w:id="36"/>
      </w:r>
      <w:r w:rsidR="008C2435" w:rsidRPr="00B76A73">
        <w:t xml:space="preserve"> </w:t>
      </w:r>
      <w:r w:rsidR="006F67DF">
        <w:t>rebounded after two quarters of decline, up 8.6</w:t>
      </w:r>
      <w:r w:rsidR="00CF63FE" w:rsidRPr="00B76A73">
        <w:t xml:space="preserve">% </w:t>
      </w:r>
      <w:r w:rsidR="00E82D66">
        <w:t>over</w:t>
      </w:r>
      <w:r w:rsidR="00B0457A" w:rsidRPr="00B76A73">
        <w:t xml:space="preserve"> the quarter</w:t>
      </w:r>
      <w:r w:rsidR="002530D7" w:rsidRPr="00B76A73">
        <w:t xml:space="preserve">. </w:t>
      </w:r>
    </w:p>
    <w:p w14:paraId="571A905C" w14:textId="521E56F3" w:rsidR="002E3647" w:rsidRPr="00B76A73" w:rsidRDefault="0033144B" w:rsidP="003A679B">
      <w:pPr>
        <w:jc w:val="center"/>
      </w:pPr>
      <w:r>
        <w:rPr>
          <w:noProof/>
        </w:rPr>
        <w:drawing>
          <wp:inline distT="0" distB="0" distL="0" distR="0" wp14:anchorId="120B0CDB" wp14:editId="6F4C030F">
            <wp:extent cx="4090670" cy="2651760"/>
            <wp:effectExtent l="0" t="0" r="5080" b="0"/>
            <wp:docPr id="12872768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0670" cy="2651760"/>
                    </a:xfrm>
                    <a:prstGeom prst="rect">
                      <a:avLst/>
                    </a:prstGeom>
                    <a:noFill/>
                  </pic:spPr>
                </pic:pic>
              </a:graphicData>
            </a:graphic>
          </wp:inline>
        </w:drawing>
      </w:r>
    </w:p>
    <w:p w14:paraId="59B475FF" w14:textId="77777287" w:rsidR="002E3647" w:rsidRPr="00B76A73" w:rsidRDefault="008A581A" w:rsidP="00354195">
      <w:r w:rsidRPr="00B76A73">
        <w:t xml:space="preserve">The </w:t>
      </w:r>
      <w:r w:rsidR="00661AA7" w:rsidRPr="00B76A73">
        <w:t xml:space="preserve">University of Michigan’s </w:t>
      </w:r>
      <w:r w:rsidRPr="00B76A73">
        <w:t>c</w:t>
      </w:r>
      <w:r w:rsidR="008C5503" w:rsidRPr="00B76A73">
        <w:t>onsumer sentiment</w:t>
      </w:r>
      <w:r w:rsidR="00661AA7" w:rsidRPr="00B76A73">
        <w:t xml:space="preserve"> index</w:t>
      </w:r>
      <w:r w:rsidR="00291FFB" w:rsidRPr="00B76A73">
        <w:rPr>
          <w:rStyle w:val="FootnoteReference"/>
        </w:rPr>
        <w:footnoteReference w:id="37"/>
      </w:r>
      <w:r w:rsidR="00B745AA">
        <w:t xml:space="preserve"> </w:t>
      </w:r>
      <w:r w:rsidR="006F67DF">
        <w:t>rose to 64.4 in June 2023, continuing</w:t>
      </w:r>
      <w:r w:rsidR="00B745AA">
        <w:t xml:space="preserve"> </w:t>
      </w:r>
      <w:r w:rsidR="006F67DF">
        <w:t>the</w:t>
      </w:r>
      <w:r w:rsidR="00B745AA">
        <w:t xml:space="preserve"> rebound from </w:t>
      </w:r>
      <w:r w:rsidR="005233AB">
        <w:t>its</w:t>
      </w:r>
      <w:r w:rsidR="00B745AA">
        <w:t xml:space="preserve"> all</w:t>
      </w:r>
      <w:r w:rsidR="005233AB">
        <w:t>-</w:t>
      </w:r>
      <w:r w:rsidR="00B745AA">
        <w:t>time low of 50.0</w:t>
      </w:r>
      <w:r w:rsidR="005233AB">
        <w:t xml:space="preserve"> in</w:t>
      </w:r>
      <w:r w:rsidR="006F67DF">
        <w:t xml:space="preserve"> the previous</w:t>
      </w:r>
      <w:r w:rsidR="005233AB">
        <w:t xml:space="preserve"> June</w:t>
      </w:r>
      <w:r w:rsidR="007679B8">
        <w:t xml:space="preserve">. The index was up </w:t>
      </w:r>
      <w:r w:rsidR="0015736C">
        <w:t>28.8</w:t>
      </w:r>
      <w:r w:rsidR="007679B8">
        <w:t xml:space="preserve">% in the </w:t>
      </w:r>
      <w:r w:rsidR="007679B8">
        <w:lastRenderedPageBreak/>
        <w:t xml:space="preserve">year ended </w:t>
      </w:r>
      <w:r w:rsidR="0015736C">
        <w:t>June</w:t>
      </w:r>
      <w:r w:rsidR="007679B8">
        <w:t xml:space="preserve"> 2023</w:t>
      </w:r>
      <w:r w:rsidR="005233AB">
        <w:t xml:space="preserve"> yet </w:t>
      </w:r>
      <w:r w:rsidR="000022F6">
        <w:t>still</w:t>
      </w:r>
      <w:r w:rsidR="005233AB">
        <w:t xml:space="preserve"> </w:t>
      </w:r>
      <w:r w:rsidR="005233AB" w:rsidRPr="00B76A73">
        <w:t>well below its 30-year average of 8</w:t>
      </w:r>
      <w:r w:rsidR="00EF0010">
        <w:t>6.</w:t>
      </w:r>
      <w:r w:rsidR="0015736C">
        <w:t>6</w:t>
      </w:r>
      <w:r w:rsidR="002F6613" w:rsidRPr="00B76A73">
        <w:t>.</w:t>
      </w:r>
      <w:r w:rsidR="00B1397B" w:rsidRPr="00B76A73">
        <w:t xml:space="preserve"> </w:t>
      </w:r>
      <w:r w:rsidR="0015736C">
        <w:t>June’s</w:t>
      </w:r>
      <w:r w:rsidR="000022F6">
        <w:t xml:space="preserve"> </w:t>
      </w:r>
      <w:r w:rsidR="000C722D">
        <w:t>boost in sentiment can be credited largely to easing inflation and the evasion of a debt ceiling crisis</w:t>
      </w:r>
      <w:r w:rsidR="000022F6">
        <w:t xml:space="preserve">. The </w:t>
      </w:r>
      <w:r w:rsidR="000C722D">
        <w:t>upturn</w:t>
      </w:r>
      <w:r w:rsidR="000022F6">
        <w:t xml:space="preserve"> was </w:t>
      </w:r>
      <w:r w:rsidR="000C722D">
        <w:t xml:space="preserve">widespread across demographic groups </w:t>
      </w:r>
      <w:r w:rsidR="0062704B">
        <w:t>except for</w:t>
      </w:r>
      <w:r w:rsidR="000C722D">
        <w:t xml:space="preserve"> the youngest consumers</w:t>
      </w:r>
      <w:r w:rsidR="00D467A8">
        <w:t>.</w:t>
      </w:r>
    </w:p>
    <w:p w14:paraId="182CF22B" w14:textId="65A8FC4A" w:rsidR="000D5719" w:rsidRPr="00B76A73" w:rsidRDefault="0033144B" w:rsidP="002E3647">
      <w:pPr>
        <w:jc w:val="center"/>
      </w:pPr>
      <w:r>
        <w:rPr>
          <w:noProof/>
        </w:rPr>
        <w:drawing>
          <wp:inline distT="0" distB="0" distL="0" distR="0" wp14:anchorId="5F940FB6" wp14:editId="2FE0FF25">
            <wp:extent cx="4090670" cy="2651760"/>
            <wp:effectExtent l="0" t="0" r="5080" b="0"/>
            <wp:docPr id="6210594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0670" cy="2651760"/>
                    </a:xfrm>
                    <a:prstGeom prst="rect">
                      <a:avLst/>
                    </a:prstGeom>
                    <a:noFill/>
                  </pic:spPr>
                </pic:pic>
              </a:graphicData>
            </a:graphic>
          </wp:inline>
        </w:drawing>
      </w:r>
    </w:p>
    <w:p w14:paraId="149D5F56" w14:textId="77777777" w:rsidR="0091664E" w:rsidRPr="00B76A73" w:rsidRDefault="0091664E" w:rsidP="0091664E">
      <w:pPr>
        <w:pStyle w:val="Heading1"/>
      </w:pPr>
      <w:r w:rsidRPr="00B76A73">
        <w:t>Capital Markets</w:t>
      </w:r>
    </w:p>
    <w:p w14:paraId="0E0EEED4" w14:textId="76566A38" w:rsidR="008A3D99" w:rsidRDefault="003D1D39" w:rsidP="00B875CA">
      <w:pPr>
        <w:rPr>
          <w:noProof/>
        </w:rPr>
      </w:pPr>
      <w:r w:rsidRPr="000E1968">
        <w:rPr>
          <w:noProof/>
        </w:rPr>
        <w:t xml:space="preserve">The table below shows the </w:t>
      </w:r>
      <w:r w:rsidR="00C427E3" w:rsidRPr="000E1968">
        <w:rPr>
          <w:noProof/>
        </w:rPr>
        <w:t>quarterly, year-to-date,</w:t>
      </w:r>
      <w:r w:rsidRPr="000E1968">
        <w:rPr>
          <w:noProof/>
        </w:rPr>
        <w:t xml:space="preserve"> and 12-month performance of major </w:t>
      </w:r>
      <w:r w:rsidR="00BD4FA3" w:rsidRPr="000E1968">
        <w:rPr>
          <w:noProof/>
        </w:rPr>
        <w:t>U.S.</w:t>
      </w:r>
      <w:r w:rsidRPr="000E1968">
        <w:rPr>
          <w:noProof/>
        </w:rPr>
        <w:t xml:space="preserve"> equity indices. </w:t>
      </w:r>
      <w:r w:rsidR="007929C4" w:rsidRPr="000E1968">
        <w:rPr>
          <w:noProof/>
        </w:rPr>
        <w:t>Capital markets</w:t>
      </w:r>
      <w:r w:rsidR="00A41749">
        <w:rPr>
          <w:noProof/>
        </w:rPr>
        <w:t xml:space="preserve"> </w:t>
      </w:r>
      <w:r w:rsidR="0062704B">
        <w:rPr>
          <w:noProof/>
        </w:rPr>
        <w:t xml:space="preserve">rebounded </w:t>
      </w:r>
      <w:r w:rsidR="00075FA5">
        <w:rPr>
          <w:noProof/>
        </w:rPr>
        <w:t xml:space="preserve">in the first half of 2023 after a difficult </w:t>
      </w:r>
      <w:r w:rsidR="00A41749">
        <w:rPr>
          <w:noProof/>
        </w:rPr>
        <w:t xml:space="preserve">2022 </w:t>
      </w:r>
      <w:r w:rsidR="0034740B">
        <w:rPr>
          <w:noProof/>
        </w:rPr>
        <w:t>characterized by threats such as</w:t>
      </w:r>
      <w:r w:rsidR="00A41749">
        <w:rPr>
          <w:noProof/>
        </w:rPr>
        <w:t xml:space="preserve"> the war on Ukraine and </w:t>
      </w:r>
      <w:r w:rsidR="0034740B">
        <w:rPr>
          <w:noProof/>
        </w:rPr>
        <w:t>hawkish monetary policy</w:t>
      </w:r>
      <w:r w:rsidR="007929C4" w:rsidRPr="007B132C">
        <w:rPr>
          <w:noProof/>
        </w:rPr>
        <w:t>.</w:t>
      </w:r>
      <w:r w:rsidRPr="007B132C">
        <w:rPr>
          <w:noProof/>
        </w:rPr>
        <w:t xml:space="preserve"> </w:t>
      </w:r>
      <w:r w:rsidR="0034740B">
        <w:rPr>
          <w:noProof/>
        </w:rPr>
        <w:t xml:space="preserve">The infusion of energy came to capital markets with reports of abating inflation, continued strength in the jobs market, and mass-market artificial intelligence </w:t>
      </w:r>
      <w:r w:rsidR="00C42A2D">
        <w:rPr>
          <w:noProof/>
        </w:rPr>
        <w:t>ringing in</w:t>
      </w:r>
      <w:r w:rsidR="0034740B">
        <w:rPr>
          <w:noProof/>
        </w:rPr>
        <w:t xml:space="preserve"> a new frontier in tech</w:t>
      </w:r>
      <w:r w:rsidR="00A41749">
        <w:rPr>
          <w:noProof/>
        </w:rPr>
        <w:t>.</w:t>
      </w:r>
      <w:r w:rsidR="007D3E70">
        <w:rPr>
          <w:noProof/>
        </w:rPr>
        <w:t xml:space="preserve"> </w:t>
      </w:r>
      <w:r w:rsidR="00923BA7">
        <w:rPr>
          <w:noProof/>
        </w:rPr>
        <w:t>Tech stocks</w:t>
      </w:r>
      <w:r w:rsidR="0034740B">
        <w:rPr>
          <w:noProof/>
        </w:rPr>
        <w:t xml:space="preserve"> were the major winners</w:t>
      </w:r>
      <w:r w:rsidR="00923BA7">
        <w:rPr>
          <w:noProof/>
        </w:rPr>
        <w:t>; the NASDAQ composite rose 1</w:t>
      </w:r>
      <w:r w:rsidR="00075FA5">
        <w:rPr>
          <w:noProof/>
        </w:rPr>
        <w:t>2</w:t>
      </w:r>
      <w:r w:rsidR="00923BA7">
        <w:rPr>
          <w:noProof/>
        </w:rPr>
        <w:t xml:space="preserve">.8% during the </w:t>
      </w:r>
      <w:r w:rsidR="00075FA5">
        <w:rPr>
          <w:noProof/>
        </w:rPr>
        <w:t>2</w:t>
      </w:r>
      <w:r w:rsidR="00075FA5" w:rsidRPr="00075FA5">
        <w:rPr>
          <w:noProof/>
          <w:vertAlign w:val="superscript"/>
        </w:rPr>
        <w:t>nd</w:t>
      </w:r>
      <w:r w:rsidR="00075FA5">
        <w:rPr>
          <w:noProof/>
        </w:rPr>
        <w:t xml:space="preserve"> </w:t>
      </w:r>
      <w:r w:rsidR="00923BA7">
        <w:rPr>
          <w:noProof/>
        </w:rPr>
        <w:t>quarter</w:t>
      </w:r>
      <w:r w:rsidR="0034740B">
        <w:rPr>
          <w:noProof/>
        </w:rPr>
        <w:t xml:space="preserve"> of 2023</w:t>
      </w:r>
      <w:r w:rsidR="00923BA7">
        <w:rPr>
          <w:noProof/>
        </w:rPr>
        <w:t>. T</w:t>
      </w:r>
      <w:r w:rsidR="007D3E70">
        <w:rPr>
          <w:noProof/>
        </w:rPr>
        <w:t xml:space="preserve">he </w:t>
      </w:r>
      <w:r w:rsidR="0034740B">
        <w:rPr>
          <w:noProof/>
        </w:rPr>
        <w:t>S&amp;P 500</w:t>
      </w:r>
      <w:r w:rsidR="007D3E70" w:rsidRPr="000E1968">
        <w:rPr>
          <w:noProof/>
        </w:rPr>
        <w:t xml:space="preserve"> was up </w:t>
      </w:r>
      <w:r w:rsidR="0034740B">
        <w:rPr>
          <w:noProof/>
        </w:rPr>
        <w:t>8.3</w:t>
      </w:r>
      <w:r w:rsidR="007D3E70" w:rsidRPr="000E1968">
        <w:rPr>
          <w:noProof/>
        </w:rPr>
        <w:t>%</w:t>
      </w:r>
      <w:r w:rsidR="00923BA7">
        <w:rPr>
          <w:noProof/>
        </w:rPr>
        <w:t xml:space="preserve">, the Wilshire 5000 was up </w:t>
      </w:r>
      <w:r w:rsidR="009E35BC">
        <w:rPr>
          <w:noProof/>
        </w:rPr>
        <w:t>3.9</w:t>
      </w:r>
      <w:r w:rsidR="00923BA7">
        <w:rPr>
          <w:noProof/>
        </w:rPr>
        <w:t>%</w:t>
      </w:r>
      <w:r w:rsidR="0034740B">
        <w:rPr>
          <w:noProof/>
        </w:rPr>
        <w:t>, and the Dow Jones Transprtation Avera</w:t>
      </w:r>
      <w:r w:rsidR="001B1D5E">
        <w:rPr>
          <w:noProof/>
        </w:rPr>
        <w:t>g</w:t>
      </w:r>
      <w:r w:rsidR="0034740B">
        <w:rPr>
          <w:noProof/>
        </w:rPr>
        <w:t>e was up 7.6%</w:t>
      </w:r>
      <w:r w:rsidR="007D3E70">
        <w:rPr>
          <w:noProof/>
        </w:rPr>
        <w:t xml:space="preserve"> </w:t>
      </w:r>
      <w:r w:rsidR="00EF0010">
        <w:rPr>
          <w:noProof/>
        </w:rPr>
        <w:t>for the quarter</w:t>
      </w:r>
      <w:r w:rsidR="007D3E70" w:rsidRPr="000E1968">
        <w:rPr>
          <w:noProof/>
        </w:rPr>
        <w:t>.</w:t>
      </w:r>
      <w:r w:rsidR="007D3E70">
        <w:rPr>
          <w:noProof/>
        </w:rPr>
        <w:t xml:space="preserve"> </w:t>
      </w:r>
      <w:r w:rsidR="00923BA7">
        <w:rPr>
          <w:noProof/>
        </w:rPr>
        <w:t>T</w:t>
      </w:r>
      <w:r w:rsidR="008A3D99">
        <w:rPr>
          <w:noProof/>
        </w:rPr>
        <w:t xml:space="preserve">he Dow Jones </w:t>
      </w:r>
      <w:r w:rsidR="0034740B">
        <w:rPr>
          <w:noProof/>
        </w:rPr>
        <w:t xml:space="preserve">Composite and </w:t>
      </w:r>
      <w:r w:rsidR="008A3D99">
        <w:rPr>
          <w:noProof/>
        </w:rPr>
        <w:t>Industrial Average</w:t>
      </w:r>
      <w:r w:rsidR="0034740B">
        <w:rPr>
          <w:noProof/>
        </w:rPr>
        <w:t>s were up 3.6% and 3.4</w:t>
      </w:r>
      <w:r w:rsidR="00923BA7">
        <w:rPr>
          <w:noProof/>
        </w:rPr>
        <w:t>%</w:t>
      </w:r>
      <w:r w:rsidR="0034740B">
        <w:rPr>
          <w:noProof/>
        </w:rPr>
        <w:t>, respectively, over the quarter</w:t>
      </w:r>
      <w:r w:rsidR="006148A4" w:rsidRPr="000E1968">
        <w:rPr>
          <w:noProof/>
        </w:rPr>
        <w:t>.</w:t>
      </w:r>
    </w:p>
    <w:p w14:paraId="79C54A89" w14:textId="51A9E875" w:rsidR="002E3647" w:rsidRPr="00B76A73" w:rsidRDefault="0033144B" w:rsidP="00855C4E">
      <w:pPr>
        <w:jc w:val="center"/>
        <w:rPr>
          <w:noProof/>
        </w:rPr>
      </w:pPr>
      <w:r w:rsidRPr="0033144B">
        <w:drawing>
          <wp:inline distT="0" distB="0" distL="0" distR="0" wp14:anchorId="647C6762" wp14:editId="04A89006">
            <wp:extent cx="5593080" cy="1478280"/>
            <wp:effectExtent l="0" t="0" r="7620" b="7620"/>
            <wp:docPr id="4568518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3080" cy="1478280"/>
                    </a:xfrm>
                    <a:prstGeom prst="rect">
                      <a:avLst/>
                    </a:prstGeom>
                    <a:noFill/>
                    <a:ln>
                      <a:noFill/>
                    </a:ln>
                  </pic:spPr>
                </pic:pic>
              </a:graphicData>
            </a:graphic>
          </wp:inline>
        </w:drawing>
      </w:r>
      <w:r w:rsidR="003D1D39" w:rsidRPr="00B76A73">
        <w:br/>
      </w:r>
    </w:p>
    <w:p w14:paraId="3743084E" w14:textId="1D2E8806" w:rsidR="00857079" w:rsidRPr="00B76A73" w:rsidRDefault="0033144B" w:rsidP="00BB3B04">
      <w:pPr>
        <w:jc w:val="center"/>
        <w:rPr>
          <w:color w:val="FF0000"/>
        </w:rPr>
      </w:pPr>
      <w:r>
        <w:rPr>
          <w:noProof/>
          <w:color w:val="FF0000"/>
        </w:rPr>
        <w:lastRenderedPageBreak/>
        <w:drawing>
          <wp:inline distT="0" distB="0" distL="0" distR="0" wp14:anchorId="080412D3" wp14:editId="0D089450">
            <wp:extent cx="4097020" cy="2658110"/>
            <wp:effectExtent l="0" t="0" r="0" b="8890"/>
            <wp:docPr id="8885270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7020" cy="2658110"/>
                    </a:xfrm>
                    <a:prstGeom prst="rect">
                      <a:avLst/>
                    </a:prstGeom>
                    <a:noFill/>
                  </pic:spPr>
                </pic:pic>
              </a:graphicData>
            </a:graphic>
          </wp:inline>
        </w:drawing>
      </w:r>
    </w:p>
    <w:p w14:paraId="0420E509" w14:textId="25020EF6" w:rsidR="00100DF8" w:rsidRPr="00B76A73" w:rsidRDefault="00100DF8" w:rsidP="003D1D39">
      <w:pPr>
        <w:rPr>
          <w:noProof/>
        </w:rPr>
      </w:pPr>
      <w:r w:rsidRPr="00B76A73">
        <w:t>Stock market v</w:t>
      </w:r>
      <w:r w:rsidR="0007515A" w:rsidRPr="00B76A73">
        <w:t>olatility</w:t>
      </w:r>
      <w:r w:rsidR="00A1419D" w:rsidRPr="00B76A73">
        <w:t>, as measured by the VIX</w:t>
      </w:r>
      <w:r w:rsidR="00A1419D" w:rsidRPr="00B76A73">
        <w:rPr>
          <w:rStyle w:val="FootnoteReference"/>
        </w:rPr>
        <w:t xml:space="preserve"> </w:t>
      </w:r>
      <w:r w:rsidR="0007515A" w:rsidRPr="00B76A73">
        <w:rPr>
          <w:rStyle w:val="FootnoteReference"/>
        </w:rPr>
        <w:footnoteReference w:id="38"/>
      </w:r>
      <w:r w:rsidR="005573A8" w:rsidRPr="00B76A73">
        <w:t>,</w:t>
      </w:r>
      <w:r w:rsidRPr="00B76A73">
        <w:t xml:space="preserve"> </w:t>
      </w:r>
      <w:r w:rsidR="00595D8A" w:rsidRPr="00B76A73">
        <w:t xml:space="preserve">ended the </w:t>
      </w:r>
      <w:r w:rsidR="00BA47E9">
        <w:t>2</w:t>
      </w:r>
      <w:r w:rsidR="00BA47E9" w:rsidRPr="00BA47E9">
        <w:rPr>
          <w:vertAlign w:val="superscript"/>
        </w:rPr>
        <w:t>nd</w:t>
      </w:r>
      <w:r w:rsidR="00BA47E9">
        <w:t xml:space="preserve"> </w:t>
      </w:r>
      <w:r w:rsidR="00595D8A" w:rsidRPr="00B76A73">
        <w:t xml:space="preserve">quarter </w:t>
      </w:r>
      <w:r w:rsidR="005F5E70">
        <w:t xml:space="preserve">of 2023 </w:t>
      </w:r>
      <w:r w:rsidR="00595D8A" w:rsidRPr="00B76A73">
        <w:t xml:space="preserve">at </w:t>
      </w:r>
      <w:r w:rsidR="005F5E70">
        <w:t>1</w:t>
      </w:r>
      <w:r w:rsidR="00BA47E9">
        <w:t>3</w:t>
      </w:r>
      <w:r w:rsidR="005F5E70">
        <w:t>.</w:t>
      </w:r>
      <w:r w:rsidR="00BA47E9">
        <w:t>6</w:t>
      </w:r>
      <w:r w:rsidR="00595D8A" w:rsidRPr="00B76A73">
        <w:t xml:space="preserve">, </w:t>
      </w:r>
      <w:r w:rsidR="007B70CF">
        <w:t xml:space="preserve">down </w:t>
      </w:r>
      <w:r w:rsidR="00BA47E9">
        <w:t>2</w:t>
      </w:r>
      <w:r w:rsidR="005F5E70">
        <w:t>7</w:t>
      </w:r>
      <w:r w:rsidR="00BA47E9">
        <w:t>.3</w:t>
      </w:r>
      <w:r w:rsidR="00595D8A" w:rsidRPr="00B76A73">
        <w:t xml:space="preserve">% since the prior quarter </w:t>
      </w:r>
      <w:r w:rsidR="005F5E70">
        <w:t xml:space="preserve">and </w:t>
      </w:r>
      <w:r w:rsidR="00603BFF">
        <w:t>47.3</w:t>
      </w:r>
      <w:r w:rsidR="00595D8A" w:rsidRPr="00B76A73">
        <w:t xml:space="preserve">% since the </w:t>
      </w:r>
      <w:r w:rsidR="00C42A2D">
        <w:t>2</w:t>
      </w:r>
      <w:r w:rsidR="00C42A2D" w:rsidRPr="00C42A2D">
        <w:rPr>
          <w:vertAlign w:val="superscript"/>
        </w:rPr>
        <w:t>nd</w:t>
      </w:r>
      <w:r w:rsidR="00C42A2D">
        <w:t xml:space="preserve"> </w:t>
      </w:r>
      <w:r w:rsidR="005F5E70">
        <w:t>quarter of 2022</w:t>
      </w:r>
      <w:r w:rsidR="003D1D39" w:rsidRPr="00B76A73">
        <w:t>.</w:t>
      </w:r>
      <w:r w:rsidR="00B45117" w:rsidRPr="00B76A73">
        <w:t xml:space="preserve"> </w:t>
      </w:r>
      <w:r w:rsidR="005F5E70">
        <w:t xml:space="preserve">The </w:t>
      </w:r>
      <w:r w:rsidR="00C42A2D">
        <w:t>VIX trended downward with relative consistency in the 2</w:t>
      </w:r>
      <w:r w:rsidR="00C42A2D" w:rsidRPr="00C42A2D">
        <w:rPr>
          <w:vertAlign w:val="superscript"/>
        </w:rPr>
        <w:t>nd</w:t>
      </w:r>
      <w:r w:rsidR="00C42A2D">
        <w:t xml:space="preserve"> quarter of 2023</w:t>
      </w:r>
      <w:r w:rsidR="002106AF">
        <w:t>.</w:t>
      </w:r>
    </w:p>
    <w:p w14:paraId="29D9D20D" w14:textId="4EF7EB9A" w:rsidR="00661AA7" w:rsidRPr="00B76A73" w:rsidRDefault="0033144B" w:rsidP="00404E89">
      <w:pPr>
        <w:jc w:val="center"/>
      </w:pPr>
      <w:r>
        <w:rPr>
          <w:noProof/>
        </w:rPr>
        <w:drawing>
          <wp:inline distT="0" distB="0" distL="0" distR="0" wp14:anchorId="1260C705" wp14:editId="181DEC1E">
            <wp:extent cx="4097020" cy="2658110"/>
            <wp:effectExtent l="0" t="0" r="0" b="8890"/>
            <wp:docPr id="1078133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7020" cy="2658110"/>
                    </a:xfrm>
                    <a:prstGeom prst="rect">
                      <a:avLst/>
                    </a:prstGeom>
                    <a:noFill/>
                  </pic:spPr>
                </pic:pic>
              </a:graphicData>
            </a:graphic>
          </wp:inline>
        </w:drawing>
      </w:r>
    </w:p>
    <w:p w14:paraId="149D5F93" w14:textId="77777777" w:rsidR="00E44639" w:rsidRPr="00B76A73" w:rsidRDefault="00E44639" w:rsidP="00E44639">
      <w:pPr>
        <w:pStyle w:val="Heading1"/>
      </w:pPr>
      <w:r w:rsidRPr="00B76A73">
        <w:t>Outlook</w:t>
      </w:r>
    </w:p>
    <w:p w14:paraId="71C9C508" w14:textId="5A8A8DBB" w:rsidR="005573A8" w:rsidRPr="00B76A73" w:rsidRDefault="003071CD" w:rsidP="00E44639">
      <w:r w:rsidRPr="00B76A73">
        <w:t xml:space="preserve">In </w:t>
      </w:r>
      <w:r w:rsidR="005F5E70">
        <w:t>March 2023</w:t>
      </w:r>
      <w:r w:rsidRPr="00B76A73">
        <w:t xml:space="preserve">, the FOMC </w:t>
      </w:r>
      <w:r w:rsidR="005573A8" w:rsidRPr="00B76A73">
        <w:t xml:space="preserve">revised their </w:t>
      </w:r>
      <w:r w:rsidR="000755E2" w:rsidRPr="00B76A73">
        <w:t xml:space="preserve">near-term </w:t>
      </w:r>
      <w:r w:rsidR="007C29E7">
        <w:t>real GDP</w:t>
      </w:r>
      <w:r w:rsidR="005573A8" w:rsidRPr="00B76A73">
        <w:t xml:space="preserve"> projections upward </w:t>
      </w:r>
      <w:r w:rsidR="000755E2" w:rsidRPr="00B76A73">
        <w:t xml:space="preserve">and </w:t>
      </w:r>
      <w:r w:rsidR="00C22FCD">
        <w:t>unemployment rate</w:t>
      </w:r>
      <w:r w:rsidR="005125AE" w:rsidRPr="00B76A73">
        <w:t xml:space="preserve"> </w:t>
      </w:r>
      <w:r w:rsidR="000755E2" w:rsidRPr="00B76A73">
        <w:t>projections</w:t>
      </w:r>
      <w:r w:rsidR="00260D17" w:rsidRPr="00B76A73">
        <w:t xml:space="preserve"> </w:t>
      </w:r>
      <w:r w:rsidR="000755E2" w:rsidRPr="00B76A73">
        <w:t>downward</w:t>
      </w:r>
      <w:r w:rsidR="007C29E7">
        <w:t>; little change was made to near-term PCE inflation projections</w:t>
      </w:r>
      <w:r w:rsidR="0007242E" w:rsidRPr="00B76A73">
        <w:t xml:space="preserve">. </w:t>
      </w:r>
      <w:r w:rsidR="00C22FCD">
        <w:t>Little to no adjustments were made</w:t>
      </w:r>
      <w:r w:rsidR="00260D17" w:rsidRPr="00B76A73">
        <w:t xml:space="preserve"> to l</w:t>
      </w:r>
      <w:r w:rsidR="005573A8" w:rsidRPr="00B76A73">
        <w:t>onger</w:t>
      </w:r>
      <w:r w:rsidR="00452720" w:rsidRPr="00B76A73">
        <w:t>-</w:t>
      </w:r>
      <w:r w:rsidR="005573A8" w:rsidRPr="00B76A73">
        <w:t xml:space="preserve">run projections for </w:t>
      </w:r>
      <w:r w:rsidR="00C22FCD">
        <w:t>the</w:t>
      </w:r>
      <w:r w:rsidR="005573A8" w:rsidRPr="00B76A73">
        <w:t xml:space="preserve"> three indicators. </w:t>
      </w:r>
    </w:p>
    <w:p w14:paraId="1779A15E" w14:textId="2D314BF4" w:rsidR="00855C4E" w:rsidRPr="00B76A73" w:rsidRDefault="005573A8" w:rsidP="00855C4E">
      <w:r w:rsidRPr="00B76A73">
        <w:lastRenderedPageBreak/>
        <w:t>The FOMC revised their projection</w:t>
      </w:r>
      <w:r w:rsidR="00F60736" w:rsidRPr="00B76A73">
        <w:t xml:space="preserve"> </w:t>
      </w:r>
      <w:r w:rsidRPr="00B76A73">
        <w:t xml:space="preserve">for </w:t>
      </w:r>
      <w:r w:rsidR="00F60736" w:rsidRPr="00B76A73">
        <w:t>real GDP</w:t>
      </w:r>
      <w:r w:rsidR="00BF5CE2" w:rsidRPr="00B76A73">
        <w:rPr>
          <w:rStyle w:val="FootnoteReference"/>
        </w:rPr>
        <w:footnoteReference w:id="39"/>
      </w:r>
      <w:r w:rsidR="00F60736" w:rsidRPr="00B76A73">
        <w:t xml:space="preserve"> </w:t>
      </w:r>
      <w:r w:rsidR="0039421C" w:rsidRPr="00B76A73">
        <w:t xml:space="preserve">to </w:t>
      </w:r>
      <w:r w:rsidR="00AE492E" w:rsidRPr="00B76A73">
        <w:t>0.</w:t>
      </w:r>
      <w:r w:rsidR="007C29E7">
        <w:t>95</w:t>
      </w:r>
      <w:r w:rsidR="00F60736" w:rsidRPr="00B76A73">
        <w:t>%</w:t>
      </w:r>
      <w:r w:rsidR="0049182B" w:rsidRPr="00B76A73">
        <w:t xml:space="preserve"> growth in</w:t>
      </w:r>
      <w:r w:rsidR="00F60736" w:rsidRPr="00B76A73">
        <w:t xml:space="preserve"> 20</w:t>
      </w:r>
      <w:r w:rsidR="00090DA6" w:rsidRPr="00B76A73">
        <w:t>2</w:t>
      </w:r>
      <w:r w:rsidR="00495F77">
        <w:t>3</w:t>
      </w:r>
      <w:r w:rsidR="0049182B" w:rsidRPr="00B76A73">
        <w:t xml:space="preserve">, </w:t>
      </w:r>
      <w:r w:rsidR="00AE492E" w:rsidRPr="00B76A73">
        <w:t>rising</w:t>
      </w:r>
      <w:r w:rsidR="0049182B" w:rsidRPr="00B76A73">
        <w:t xml:space="preserve"> to </w:t>
      </w:r>
      <w:r w:rsidR="00495F77">
        <w:t>1</w:t>
      </w:r>
      <w:r w:rsidR="00922197" w:rsidRPr="00B76A73">
        <w:t>.</w:t>
      </w:r>
      <w:r w:rsidR="00495F77">
        <w:t>2</w:t>
      </w:r>
      <w:r w:rsidR="007C29E7">
        <w:t>0</w:t>
      </w:r>
      <w:r w:rsidR="0049182B" w:rsidRPr="00B76A73">
        <w:t xml:space="preserve">% </w:t>
      </w:r>
      <w:r w:rsidR="00F66850" w:rsidRPr="00B76A73">
        <w:t>in 202</w:t>
      </w:r>
      <w:r w:rsidR="00495F77">
        <w:t>4</w:t>
      </w:r>
      <w:r w:rsidR="00F66850" w:rsidRPr="00B76A73">
        <w:t>, then to 1.</w:t>
      </w:r>
      <w:r w:rsidR="007C29E7">
        <w:t>80</w:t>
      </w:r>
      <w:r w:rsidR="00F66850" w:rsidRPr="00B76A73">
        <w:t xml:space="preserve">% </w:t>
      </w:r>
      <w:r w:rsidR="004F307A" w:rsidRPr="00B76A73">
        <w:t>by</w:t>
      </w:r>
      <w:r w:rsidR="000D646D" w:rsidRPr="00B76A73">
        <w:t xml:space="preserve"> 202</w:t>
      </w:r>
      <w:r w:rsidR="00495F77">
        <w:t>5</w:t>
      </w:r>
      <w:r w:rsidR="00F60736" w:rsidRPr="00B76A73">
        <w:t>. They expect</w:t>
      </w:r>
      <w:r w:rsidRPr="00B76A73">
        <w:t>ed</w:t>
      </w:r>
      <w:r w:rsidR="00F60736" w:rsidRPr="00B76A73">
        <w:t xml:space="preserve"> Personal Consumption Expendit</w:t>
      </w:r>
      <w:r w:rsidR="00090DA6" w:rsidRPr="00B76A73">
        <w:t>ures (PCE)</w:t>
      </w:r>
      <w:r w:rsidR="00F66850" w:rsidRPr="00B76A73">
        <w:t xml:space="preserve"> inflation</w:t>
      </w:r>
      <w:r w:rsidR="005D3CEF" w:rsidRPr="00B76A73">
        <w:rPr>
          <w:rStyle w:val="FootnoteReference"/>
        </w:rPr>
        <w:footnoteReference w:id="40"/>
      </w:r>
      <w:r w:rsidR="00090DA6" w:rsidRPr="00B76A73">
        <w:t xml:space="preserve"> to </w:t>
      </w:r>
      <w:r w:rsidR="00495F77">
        <w:t>cool</w:t>
      </w:r>
      <w:r w:rsidRPr="00B76A73">
        <w:t xml:space="preserve"> </w:t>
      </w:r>
      <w:r w:rsidR="00155E5F" w:rsidRPr="00B76A73">
        <w:t xml:space="preserve">to </w:t>
      </w:r>
      <w:r w:rsidR="00495F77">
        <w:t>3.</w:t>
      </w:r>
      <w:r w:rsidR="007C29E7">
        <w:t>25</w:t>
      </w:r>
      <w:r w:rsidR="000F3008" w:rsidRPr="00B76A73">
        <w:t>%</w:t>
      </w:r>
      <w:r w:rsidR="000755E2" w:rsidRPr="00B76A73">
        <w:t xml:space="preserve"> </w:t>
      </w:r>
      <w:r w:rsidR="00D31480" w:rsidRPr="00B76A73">
        <w:t>in</w:t>
      </w:r>
      <w:r w:rsidR="000755E2" w:rsidRPr="00B76A73">
        <w:t xml:space="preserve"> 202</w:t>
      </w:r>
      <w:r w:rsidR="00495F77">
        <w:t xml:space="preserve">3, further </w:t>
      </w:r>
      <w:r w:rsidR="00AE492E" w:rsidRPr="00B76A73">
        <w:t>moderat</w:t>
      </w:r>
      <w:r w:rsidR="00495F77">
        <w:t>ing</w:t>
      </w:r>
      <w:r w:rsidR="00D31480" w:rsidRPr="00B76A73">
        <w:t xml:space="preserve"> to</w:t>
      </w:r>
      <w:r w:rsidR="000755E2" w:rsidRPr="00B76A73">
        <w:t xml:space="preserve"> </w:t>
      </w:r>
      <w:r w:rsidR="00495F77">
        <w:t>2.5</w:t>
      </w:r>
      <w:r w:rsidR="007C29E7">
        <w:t>5</w:t>
      </w:r>
      <w:r w:rsidR="00AE492E" w:rsidRPr="00B76A73">
        <w:t>% by 202</w:t>
      </w:r>
      <w:r w:rsidR="00495F77">
        <w:t>4</w:t>
      </w:r>
      <w:r w:rsidR="00AE492E" w:rsidRPr="00B76A73">
        <w:t xml:space="preserve"> and 2.</w:t>
      </w:r>
      <w:r w:rsidR="007C29E7">
        <w:t>20</w:t>
      </w:r>
      <w:r w:rsidR="000F3008" w:rsidRPr="00B76A73">
        <w:t>%</w:t>
      </w:r>
      <w:r w:rsidR="000755E2" w:rsidRPr="00B76A73">
        <w:t xml:space="preserve"> </w:t>
      </w:r>
      <w:r w:rsidR="00AE492E" w:rsidRPr="00B76A73">
        <w:t>by</w:t>
      </w:r>
      <w:r w:rsidR="000755E2" w:rsidRPr="00B76A73">
        <w:t xml:space="preserve"> 202</w:t>
      </w:r>
      <w:r w:rsidR="00495F77">
        <w:t>5</w:t>
      </w:r>
      <w:r w:rsidRPr="00B76A73">
        <w:t xml:space="preserve">. </w:t>
      </w:r>
      <w:r w:rsidR="00F60736" w:rsidRPr="00B76A73">
        <w:t>The</w:t>
      </w:r>
      <w:r w:rsidR="004907DA" w:rsidRPr="00B76A73">
        <w:t>y</w:t>
      </w:r>
      <w:r w:rsidR="00F60736" w:rsidRPr="00B76A73">
        <w:t xml:space="preserve"> forecast th</w:t>
      </w:r>
      <w:r w:rsidR="004907DA" w:rsidRPr="00B76A73">
        <w:t>at th</w:t>
      </w:r>
      <w:r w:rsidR="00F60736" w:rsidRPr="00B76A73">
        <w:t>e unemployment rate</w:t>
      </w:r>
      <w:r w:rsidR="00E72196" w:rsidRPr="00B76A73">
        <w:rPr>
          <w:rStyle w:val="FootnoteReference"/>
        </w:rPr>
        <w:footnoteReference w:id="41"/>
      </w:r>
      <w:r w:rsidR="00F60736" w:rsidRPr="00B76A73">
        <w:t xml:space="preserve"> </w:t>
      </w:r>
      <w:r w:rsidR="000755E2" w:rsidRPr="00B76A73">
        <w:t>would</w:t>
      </w:r>
      <w:r w:rsidR="00F60736" w:rsidRPr="00B76A73">
        <w:t xml:space="preserve"> </w:t>
      </w:r>
      <w:r w:rsidR="000755E2" w:rsidRPr="00B76A73">
        <w:t>be</w:t>
      </w:r>
      <w:r w:rsidRPr="00B76A73">
        <w:t xml:space="preserve"> </w:t>
      </w:r>
      <w:r w:rsidR="00495F77">
        <w:t>4.</w:t>
      </w:r>
      <w:r w:rsidR="007C29E7">
        <w:t>1</w:t>
      </w:r>
      <w:r w:rsidR="00495F77">
        <w:t>5</w:t>
      </w:r>
      <w:r w:rsidR="00F60736" w:rsidRPr="00B76A73">
        <w:t>%</w:t>
      </w:r>
      <w:r w:rsidR="0039421C" w:rsidRPr="00B76A73">
        <w:t xml:space="preserve"> in 202</w:t>
      </w:r>
      <w:r w:rsidR="00495F77">
        <w:t>3</w:t>
      </w:r>
      <w:r w:rsidR="00F66850" w:rsidRPr="00B76A73">
        <w:t>, rising to 4.</w:t>
      </w:r>
      <w:r w:rsidR="007C29E7">
        <w:t>45</w:t>
      </w:r>
      <w:r w:rsidR="0049182B" w:rsidRPr="00B76A73">
        <w:t xml:space="preserve">% </w:t>
      </w:r>
      <w:r w:rsidR="00AE492E" w:rsidRPr="00B76A73">
        <w:t>in</w:t>
      </w:r>
      <w:r w:rsidR="00F60736" w:rsidRPr="00B76A73">
        <w:t xml:space="preserve"> </w:t>
      </w:r>
      <w:r w:rsidR="007C29E7">
        <w:t xml:space="preserve">both </w:t>
      </w:r>
      <w:r w:rsidR="00F60736" w:rsidRPr="00B76A73">
        <w:t>20</w:t>
      </w:r>
      <w:r w:rsidR="00090DA6" w:rsidRPr="00B76A73">
        <w:t>2</w:t>
      </w:r>
      <w:r w:rsidR="00495F77">
        <w:t>4</w:t>
      </w:r>
      <w:r w:rsidR="00AE492E" w:rsidRPr="00B76A73">
        <w:t xml:space="preserve"> and</w:t>
      </w:r>
      <w:r w:rsidR="00495F77">
        <w:t xml:space="preserve"> </w:t>
      </w:r>
      <w:r w:rsidR="00AE492E" w:rsidRPr="00B76A73">
        <w:t>202</w:t>
      </w:r>
      <w:r w:rsidR="00495F77">
        <w:t>5</w:t>
      </w:r>
      <w:r w:rsidR="003071CD" w:rsidRPr="00B76A73">
        <w:t>.</w:t>
      </w:r>
      <w:r w:rsidR="005C22CA" w:rsidRPr="00B76A73">
        <w:t xml:space="preserve"> </w:t>
      </w:r>
      <w:r w:rsidR="00155E5F" w:rsidRPr="00B76A73">
        <w:t>T</w:t>
      </w:r>
      <w:r w:rsidR="005C22CA" w:rsidRPr="00B76A73">
        <w:t xml:space="preserve">he board </w:t>
      </w:r>
      <w:r w:rsidR="00043F5D">
        <w:t>raised</w:t>
      </w:r>
      <w:r w:rsidR="00091282" w:rsidRPr="00B76A73">
        <w:t xml:space="preserve"> projections of future target rates</w:t>
      </w:r>
      <w:r w:rsidR="00495F77">
        <w:t>, revising the</w:t>
      </w:r>
      <w:r w:rsidR="00043F5D">
        <w:t xml:space="preserve"> </w:t>
      </w:r>
      <w:r w:rsidR="009A205A">
        <w:t xml:space="preserve">median </w:t>
      </w:r>
      <w:r w:rsidR="00495F77">
        <w:t>projection</w:t>
      </w:r>
      <w:r w:rsidR="00043F5D">
        <w:t>s</w:t>
      </w:r>
      <w:r w:rsidR="00495F77">
        <w:t xml:space="preserve"> upward</w:t>
      </w:r>
      <w:r w:rsidR="00043F5D">
        <w:t xml:space="preserve"> to 5.6% in 2023, 4.6% in 2024, and 3.4% in 2025</w:t>
      </w:r>
      <w:r w:rsidR="00A54ACF" w:rsidRPr="00B76A73">
        <w:t>.</w:t>
      </w:r>
      <w:r w:rsidR="009839D2">
        <w:t xml:space="preserve"> While the committee paused target rate increases in June, they foreshadowed future rate hikes this year.</w:t>
      </w:r>
    </w:p>
    <w:p w14:paraId="4D630423" w14:textId="05583CC9" w:rsidR="00FD0160" w:rsidRPr="00B76A73" w:rsidRDefault="0033144B" w:rsidP="00855C4E">
      <w:pPr>
        <w:jc w:val="center"/>
      </w:pPr>
      <w:r w:rsidRPr="0033144B">
        <w:drawing>
          <wp:inline distT="0" distB="0" distL="0" distR="0" wp14:anchorId="162D52FD" wp14:editId="147C7319">
            <wp:extent cx="3909060" cy="1112520"/>
            <wp:effectExtent l="0" t="0" r="0" b="0"/>
            <wp:docPr id="20080948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09060" cy="1112520"/>
                    </a:xfrm>
                    <a:prstGeom prst="rect">
                      <a:avLst/>
                    </a:prstGeom>
                    <a:noFill/>
                    <a:ln>
                      <a:noFill/>
                    </a:ln>
                  </pic:spPr>
                </pic:pic>
              </a:graphicData>
            </a:graphic>
          </wp:inline>
        </w:drawing>
      </w:r>
    </w:p>
    <w:p w14:paraId="3DA5A3C9" w14:textId="4CF9E1B8" w:rsidR="002301AB" w:rsidRPr="00B76A73" w:rsidRDefault="002308A9">
      <w:r w:rsidRPr="00B76A73">
        <w:br w:type="page"/>
      </w:r>
    </w:p>
    <w:p w14:paraId="71E59CEA" w14:textId="6D7E62F8" w:rsidR="002308A9" w:rsidRPr="00B76A73" w:rsidRDefault="002301AB">
      <w:pPr>
        <w:rPr>
          <w:rFonts w:asciiTheme="majorHAnsi" w:eastAsiaTheme="majorEastAsia" w:hAnsiTheme="majorHAnsi" w:cstheme="majorBidi"/>
          <w:color w:val="008FD5"/>
          <w:sz w:val="36"/>
          <w:szCs w:val="32"/>
        </w:rPr>
      </w:pPr>
      <w:r w:rsidRPr="00B76A73">
        <w:rPr>
          <w:rFonts w:asciiTheme="majorHAnsi" w:eastAsiaTheme="majorEastAsia" w:hAnsiTheme="majorHAnsi" w:cstheme="majorBidi"/>
          <w:color w:val="008FD5"/>
          <w:sz w:val="36"/>
          <w:szCs w:val="32"/>
        </w:rPr>
        <w:lastRenderedPageBreak/>
        <w:t>Appendix – Selected Interest Rates</w:t>
      </w:r>
    </w:p>
    <w:p w14:paraId="6F34C406" w14:textId="58668062" w:rsidR="002301AB" w:rsidRPr="00B76A73" w:rsidRDefault="00590141">
      <w:r w:rsidRPr="00590141">
        <w:drawing>
          <wp:inline distT="0" distB="0" distL="0" distR="0" wp14:anchorId="15E408A0" wp14:editId="48E04195">
            <wp:extent cx="5430560" cy="7627620"/>
            <wp:effectExtent l="0" t="0" r="0" b="0"/>
            <wp:docPr id="13237804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3801" cy="7632172"/>
                    </a:xfrm>
                    <a:prstGeom prst="rect">
                      <a:avLst/>
                    </a:prstGeom>
                    <a:noFill/>
                    <a:ln>
                      <a:noFill/>
                    </a:ln>
                  </pic:spPr>
                </pic:pic>
              </a:graphicData>
            </a:graphic>
          </wp:inline>
        </w:drawing>
      </w:r>
    </w:p>
    <w:p w14:paraId="149D5FB3" w14:textId="386CB697" w:rsidR="00005111" w:rsidRPr="00B76A73" w:rsidRDefault="00005111" w:rsidP="001475FF">
      <w:pPr>
        <w:pStyle w:val="Heading1"/>
      </w:pPr>
      <w:r w:rsidRPr="00B76A73">
        <w:lastRenderedPageBreak/>
        <w:t>About This Report</w:t>
      </w:r>
    </w:p>
    <w:p w14:paraId="149D5FB4" w14:textId="5800CD46" w:rsidR="002F3682" w:rsidRPr="00B76A73" w:rsidRDefault="00BB34CA" w:rsidP="00005111">
      <w:r w:rsidRPr="00B76A73">
        <w:t xml:space="preserve">The </w:t>
      </w:r>
      <w:r w:rsidRPr="00B76A73">
        <w:rPr>
          <w:i/>
        </w:rPr>
        <w:t>Quarterly Economic Update</w:t>
      </w:r>
      <w:r w:rsidRPr="00B76A73">
        <w:t xml:space="preserve"> is a free publication sponsored by </w:t>
      </w:r>
      <w:proofErr w:type="spellStart"/>
      <w:r w:rsidRPr="00B76A73">
        <w:t>TagniFi</w:t>
      </w:r>
      <w:proofErr w:type="spellEnd"/>
      <w:r w:rsidRPr="00B76A73">
        <w:t>. You are free to share this report and include its contents in the economic outlook section of your valuation reports</w:t>
      </w:r>
      <w:r w:rsidR="00DF67C7" w:rsidRPr="00B76A73">
        <w:t xml:space="preserve"> as required by </w:t>
      </w:r>
      <w:r w:rsidR="00DF67C7" w:rsidRPr="00B76A73">
        <w:rPr>
          <w:i/>
        </w:rPr>
        <w:t>Revenue Ruling 59-60</w:t>
      </w:r>
      <w:r w:rsidRPr="00B76A73">
        <w:t xml:space="preserve">. Please forward this </w:t>
      </w:r>
      <w:r w:rsidR="00DF67C7" w:rsidRPr="00B76A73">
        <w:t xml:space="preserve">free </w:t>
      </w:r>
      <w:r w:rsidRPr="00B76A73">
        <w:t>report to a c</w:t>
      </w:r>
      <w:r w:rsidR="00DF67C7" w:rsidRPr="00B76A73">
        <w:t xml:space="preserve">olleague to help us spread the word about </w:t>
      </w:r>
      <w:proofErr w:type="spellStart"/>
      <w:r w:rsidR="00DF67C7" w:rsidRPr="00B76A73">
        <w:t>TagniFi</w:t>
      </w:r>
      <w:proofErr w:type="spellEnd"/>
      <w:r w:rsidRPr="00B76A73">
        <w:t>.</w:t>
      </w:r>
    </w:p>
    <w:p w14:paraId="5E6B4C93" w14:textId="2938085A" w:rsidR="00964DD4" w:rsidRPr="00B76A73" w:rsidRDefault="00964DD4" w:rsidP="00230D29">
      <w:pPr>
        <w:rPr>
          <w:rFonts w:ascii="Calibri Light" w:hAnsi="Calibri Light" w:cs="Calibri Light"/>
          <w:color w:val="008FD5"/>
          <w:sz w:val="36"/>
          <w:szCs w:val="36"/>
        </w:rPr>
      </w:pPr>
      <w:r w:rsidRPr="00B76A73">
        <w:rPr>
          <w:rFonts w:ascii="Calibri Light" w:hAnsi="Calibri Light" w:cs="Calibri Light"/>
          <w:color w:val="008FD5"/>
          <w:sz w:val="36"/>
          <w:szCs w:val="36"/>
        </w:rPr>
        <w:t xml:space="preserve">How </w:t>
      </w:r>
      <w:proofErr w:type="spellStart"/>
      <w:r w:rsidRPr="00B76A73">
        <w:rPr>
          <w:rFonts w:ascii="Calibri Light" w:hAnsi="Calibri Light" w:cs="Calibri Light"/>
          <w:color w:val="008FD5"/>
          <w:sz w:val="36"/>
          <w:szCs w:val="36"/>
        </w:rPr>
        <w:t>TagniFi</w:t>
      </w:r>
      <w:proofErr w:type="spellEnd"/>
      <w:r w:rsidR="005F5744" w:rsidRPr="00B76A73">
        <w:rPr>
          <w:rFonts w:ascii="Calibri Light" w:hAnsi="Calibri Light" w:cs="Calibri Light"/>
          <w:color w:val="008FD5"/>
          <w:sz w:val="36"/>
          <w:szCs w:val="36"/>
        </w:rPr>
        <w:t xml:space="preserve"> Helps </w:t>
      </w:r>
      <w:r w:rsidRPr="00B76A73">
        <w:rPr>
          <w:rFonts w:ascii="Calibri Light" w:hAnsi="Calibri Light" w:cs="Calibri Light"/>
          <w:color w:val="008FD5"/>
          <w:sz w:val="36"/>
          <w:szCs w:val="36"/>
        </w:rPr>
        <w:t>Business Valuation</w:t>
      </w:r>
      <w:r w:rsidR="005F5744" w:rsidRPr="00B76A73">
        <w:rPr>
          <w:rFonts w:ascii="Calibri Light" w:hAnsi="Calibri Light" w:cs="Calibri Light"/>
          <w:color w:val="008FD5"/>
          <w:sz w:val="36"/>
          <w:szCs w:val="36"/>
        </w:rPr>
        <w:t xml:space="preserve"> Teams</w:t>
      </w:r>
    </w:p>
    <w:p w14:paraId="1FE39938" w14:textId="7315018D" w:rsidR="00964DD4" w:rsidRPr="00B76A73" w:rsidRDefault="00964DD4" w:rsidP="00230D29">
      <w:proofErr w:type="spellStart"/>
      <w:r w:rsidRPr="00B76A73">
        <w:t>TagniFi’s</w:t>
      </w:r>
      <w:proofErr w:type="spellEnd"/>
      <w:r w:rsidRPr="00B76A73">
        <w:t xml:space="preserve"> financial data platform empowers business valuation </w:t>
      </w:r>
      <w:r w:rsidR="00617DFF" w:rsidRPr="00B76A73">
        <w:t>teams</w:t>
      </w:r>
      <w:r w:rsidRPr="00B76A73">
        <w:t xml:space="preserve"> to quickly and easily build highly accurate financial models with full transparency—and within seconds.</w:t>
      </w:r>
    </w:p>
    <w:p w14:paraId="5282F11A" w14:textId="77777777" w:rsidR="003D3C51" w:rsidRPr="00B76A73" w:rsidRDefault="003D3C51" w:rsidP="00230D29"/>
    <w:p w14:paraId="736F547D" w14:textId="34D03572" w:rsidR="004C20AB" w:rsidRPr="00B76A73" w:rsidRDefault="00617DFF" w:rsidP="00230D29">
      <w:r w:rsidRPr="00B76A73">
        <w:rPr>
          <w:b/>
          <w:bCs/>
        </w:rPr>
        <w:t xml:space="preserve">Better </w:t>
      </w:r>
      <w:r w:rsidR="004C20AB" w:rsidRPr="00B76A73">
        <w:rPr>
          <w:b/>
          <w:bCs/>
        </w:rPr>
        <w:t>Public Comps</w:t>
      </w:r>
      <w:r w:rsidR="004C20AB" w:rsidRPr="00B76A73">
        <w:br/>
      </w:r>
      <w:r w:rsidR="004C20AB" w:rsidRPr="00B76A73">
        <w:rPr>
          <w:noProof/>
        </w:rPr>
        <w:drawing>
          <wp:anchor distT="0" distB="0" distL="114300" distR="114300" simplePos="0" relativeHeight="251659776" behindDoc="0" locked="0" layoutInCell="1" allowOverlap="1" wp14:anchorId="0C218BE2" wp14:editId="5412CA4E">
            <wp:simplePos x="0" y="0"/>
            <wp:positionH relativeFrom="column">
              <wp:posOffset>0</wp:posOffset>
            </wp:positionH>
            <wp:positionV relativeFrom="paragraph">
              <wp:posOffset>2540</wp:posOffset>
            </wp:positionV>
            <wp:extent cx="2162175" cy="162163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2175" cy="1621631"/>
                    </a:xfrm>
                    <a:prstGeom prst="rect">
                      <a:avLst/>
                    </a:prstGeom>
                    <a:noFill/>
                    <a:ln>
                      <a:noFill/>
                    </a:ln>
                  </pic:spPr>
                </pic:pic>
              </a:graphicData>
            </a:graphic>
          </wp:anchor>
        </w:drawing>
      </w:r>
      <w:r w:rsidR="004C20AB" w:rsidRPr="00B76A73">
        <w:t xml:space="preserve">Search for public companies with </w:t>
      </w:r>
      <w:proofErr w:type="spellStart"/>
      <w:r w:rsidR="004C20AB" w:rsidRPr="00B76A73">
        <w:t>TagniFi</w:t>
      </w:r>
      <w:proofErr w:type="spellEnd"/>
      <w:r w:rsidR="004C20AB" w:rsidRPr="00B76A73">
        <w:t xml:space="preserve"> Web. Simply enter your valuation date and ticker symbols in Excel to run a guideline public company method. Your Excel model populates instantly with the financial statements, analyst estimates, interest rates and economic data for your valuation date. </w:t>
      </w:r>
    </w:p>
    <w:p w14:paraId="70ABEE83" w14:textId="4BA88891" w:rsidR="004C20AB" w:rsidRPr="00B76A73" w:rsidRDefault="004C20AB" w:rsidP="00230D29"/>
    <w:p w14:paraId="249DCE3B" w14:textId="77777777" w:rsidR="004C20AB" w:rsidRPr="00B76A73" w:rsidRDefault="004C20AB" w:rsidP="004C20AB"/>
    <w:p w14:paraId="44A583AB" w14:textId="48F01EF7" w:rsidR="004C20AB" w:rsidRPr="00B76A73" w:rsidRDefault="004C20AB" w:rsidP="004C20AB">
      <w:r w:rsidRPr="00B76A73">
        <w:rPr>
          <w:b/>
          <w:bCs/>
          <w:noProof/>
        </w:rPr>
        <w:drawing>
          <wp:anchor distT="0" distB="0" distL="114300" distR="114300" simplePos="0" relativeHeight="251660800" behindDoc="0" locked="0" layoutInCell="1" allowOverlap="1" wp14:anchorId="6657EAAE" wp14:editId="5C451360">
            <wp:simplePos x="0" y="0"/>
            <wp:positionH relativeFrom="column">
              <wp:posOffset>3524250</wp:posOffset>
            </wp:positionH>
            <wp:positionV relativeFrom="paragraph">
              <wp:posOffset>-478790</wp:posOffset>
            </wp:positionV>
            <wp:extent cx="2152650" cy="16141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2650" cy="1614170"/>
                    </a:xfrm>
                    <a:prstGeom prst="rect">
                      <a:avLst/>
                    </a:prstGeom>
                    <a:noFill/>
                    <a:ln>
                      <a:noFill/>
                    </a:ln>
                  </pic:spPr>
                </pic:pic>
              </a:graphicData>
            </a:graphic>
          </wp:anchor>
        </w:drawing>
      </w:r>
      <w:r w:rsidR="00617DFF" w:rsidRPr="00B76A73">
        <w:rPr>
          <w:b/>
          <w:bCs/>
        </w:rPr>
        <w:t xml:space="preserve">Better </w:t>
      </w:r>
      <w:r w:rsidRPr="00B76A73">
        <w:rPr>
          <w:b/>
          <w:bCs/>
        </w:rPr>
        <w:t>Transaction Comps</w:t>
      </w:r>
      <w:r w:rsidRPr="00B76A73">
        <w:br/>
        <w:t xml:space="preserve">Search for public and private M&amp;A transactions with </w:t>
      </w:r>
      <w:proofErr w:type="spellStart"/>
      <w:r w:rsidRPr="00B76A73">
        <w:t>TagniFi</w:t>
      </w:r>
      <w:proofErr w:type="spellEnd"/>
      <w:r w:rsidRPr="00B76A73">
        <w:t xml:space="preserve"> Web. Run your transaction comps within seconds by pasting the Deal ID into your Excel model. Every deal disclosed in an SEC filing (8-K, 10-K, or 10-Q) is available for your analysis. Choose from over 90 fields of data available for every deal. </w:t>
      </w:r>
    </w:p>
    <w:p w14:paraId="67E200C4" w14:textId="310AA887" w:rsidR="003B0B22" w:rsidRPr="00B76A73" w:rsidRDefault="003B0B22" w:rsidP="004C20AB">
      <w:pPr>
        <w:rPr>
          <w:b/>
          <w:bCs/>
        </w:rPr>
      </w:pPr>
      <w:r w:rsidRPr="00B76A73">
        <w:rPr>
          <w:b/>
          <w:bCs/>
          <w:noProof/>
        </w:rPr>
        <w:drawing>
          <wp:anchor distT="0" distB="0" distL="114300" distR="114300" simplePos="0" relativeHeight="251661824" behindDoc="0" locked="0" layoutInCell="1" allowOverlap="1" wp14:anchorId="7A9B5416" wp14:editId="00F0202F">
            <wp:simplePos x="0" y="0"/>
            <wp:positionH relativeFrom="margin">
              <wp:align>left</wp:align>
            </wp:positionH>
            <wp:positionV relativeFrom="paragraph">
              <wp:posOffset>274320</wp:posOffset>
            </wp:positionV>
            <wp:extent cx="2256790" cy="155956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t="7877"/>
                    <a:stretch/>
                  </pic:blipFill>
                  <pic:spPr bwMode="auto">
                    <a:xfrm>
                      <a:off x="0" y="0"/>
                      <a:ext cx="2256790" cy="15595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A5C467F" w14:textId="170F5616" w:rsidR="004C20AB" w:rsidRPr="00B76A73" w:rsidRDefault="004C20AB" w:rsidP="004C20AB">
      <w:r w:rsidRPr="00B76A73">
        <w:rPr>
          <w:b/>
          <w:bCs/>
        </w:rPr>
        <w:t>Historical Beta and Volatility</w:t>
      </w:r>
      <w:r w:rsidRPr="00B76A73">
        <w:rPr>
          <w:b/>
          <w:bCs/>
        </w:rPr>
        <w:br/>
      </w:r>
      <w:r w:rsidRPr="00B76A73">
        <w:t xml:space="preserve">Calculate historical beta and volatility as of your valuation date automatically. Simply enter the tickers and valuation date in Excel </w:t>
      </w:r>
      <w:r w:rsidR="003B0B22" w:rsidRPr="00B76A73">
        <w:t>-</w:t>
      </w:r>
      <w:r w:rsidRPr="00B76A73">
        <w:t xml:space="preserve"> </w:t>
      </w:r>
      <w:proofErr w:type="spellStart"/>
      <w:r w:rsidRPr="00B76A73">
        <w:t>TagniFi</w:t>
      </w:r>
      <w:proofErr w:type="spellEnd"/>
      <w:r w:rsidRPr="00B76A73">
        <w:t xml:space="preserve"> does the rest.</w:t>
      </w:r>
      <w:r w:rsidR="003B0B22" w:rsidRPr="00B76A73">
        <w:t xml:space="preserve"> In addition to beta and volatility, there are over 40 Excel models available in the Model Library to help with your valuation report. </w:t>
      </w:r>
    </w:p>
    <w:p w14:paraId="42664782" w14:textId="50B2EA67" w:rsidR="003B0B22" w:rsidRPr="00B76A73" w:rsidRDefault="003B0B22" w:rsidP="004C20AB"/>
    <w:p w14:paraId="4808FD9A" w14:textId="7CD3F2CA" w:rsidR="003B0B22" w:rsidRPr="00B76A73" w:rsidRDefault="003B0B22" w:rsidP="004C20AB">
      <w:r w:rsidRPr="00B76A73">
        <w:rPr>
          <w:noProof/>
        </w:rPr>
        <w:lastRenderedPageBreak/>
        <w:drawing>
          <wp:anchor distT="0" distB="0" distL="114300" distR="114300" simplePos="0" relativeHeight="251662848" behindDoc="0" locked="0" layoutInCell="1" allowOverlap="1" wp14:anchorId="7F6FB4BC" wp14:editId="1BE8E9C3">
            <wp:simplePos x="0" y="0"/>
            <wp:positionH relativeFrom="margin">
              <wp:align>right</wp:align>
            </wp:positionH>
            <wp:positionV relativeFrom="paragraph">
              <wp:posOffset>10160</wp:posOffset>
            </wp:positionV>
            <wp:extent cx="2219325" cy="166449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19325" cy="1664494"/>
                    </a:xfrm>
                    <a:prstGeom prst="rect">
                      <a:avLst/>
                    </a:prstGeom>
                    <a:noFill/>
                    <a:ln>
                      <a:noFill/>
                    </a:ln>
                  </pic:spPr>
                </pic:pic>
              </a:graphicData>
            </a:graphic>
          </wp:anchor>
        </w:drawing>
      </w:r>
      <w:r w:rsidRPr="00B76A73">
        <w:rPr>
          <w:b/>
          <w:bCs/>
        </w:rPr>
        <w:t>Interest Rates and Economic Dat</w:t>
      </w:r>
      <w:r w:rsidR="00BC7E45" w:rsidRPr="00B76A73">
        <w:rPr>
          <w:b/>
          <w:bCs/>
        </w:rPr>
        <w:t>a</w:t>
      </w:r>
      <w:r w:rsidRPr="00B76A73">
        <w:rPr>
          <w:b/>
          <w:bCs/>
        </w:rPr>
        <w:br/>
      </w:r>
      <w:r w:rsidRPr="00B76A73">
        <w:t xml:space="preserve">Automate the interest rates and economic data in your valuation report using the </w:t>
      </w:r>
      <w:proofErr w:type="spellStart"/>
      <w:r w:rsidRPr="00B76A73">
        <w:t>TagniFi</w:t>
      </w:r>
      <w:proofErr w:type="spellEnd"/>
      <w:r w:rsidRPr="00B76A73">
        <w:t xml:space="preserve"> Excel plugin. Choose from over 200,000 time series available. All data in this </w:t>
      </w:r>
      <w:r w:rsidRPr="00B76A73">
        <w:rPr>
          <w:i/>
          <w:iCs/>
        </w:rPr>
        <w:t>Quarterly Economic Update</w:t>
      </w:r>
      <w:r w:rsidRPr="00B76A73">
        <w:t xml:space="preserve"> </w:t>
      </w:r>
      <w:r w:rsidR="002C5E52" w:rsidRPr="00B76A73">
        <w:t>is</w:t>
      </w:r>
      <w:r w:rsidRPr="00B76A73">
        <w:t xml:space="preserve"> from the </w:t>
      </w:r>
      <w:proofErr w:type="spellStart"/>
      <w:r w:rsidRPr="00B76A73">
        <w:t>TagniFi</w:t>
      </w:r>
      <w:proofErr w:type="spellEnd"/>
      <w:r w:rsidRPr="00B76A73">
        <w:t xml:space="preserve"> platform.</w:t>
      </w:r>
      <w:r w:rsidR="002C5E52" w:rsidRPr="00B76A73">
        <w:t xml:space="preserve"> Use economic and interest rate dat</w:t>
      </w:r>
      <w:r w:rsidR="006C08FA" w:rsidRPr="00B76A73">
        <w:t>a</w:t>
      </w:r>
      <w:r w:rsidR="002C5E52" w:rsidRPr="00B76A73">
        <w:t xml:space="preserve"> for your own valuation models with the </w:t>
      </w:r>
      <w:proofErr w:type="spellStart"/>
      <w:r w:rsidR="002C5E52" w:rsidRPr="00B76A73">
        <w:t>TagniFi</w:t>
      </w:r>
      <w:proofErr w:type="spellEnd"/>
      <w:r w:rsidR="002C5E52" w:rsidRPr="00B76A73">
        <w:t xml:space="preserve"> Excel plugin.</w:t>
      </w:r>
    </w:p>
    <w:p w14:paraId="76A748D9" w14:textId="6DA146B3" w:rsidR="002D4C10" w:rsidRPr="00B76A73" w:rsidRDefault="002D4C10" w:rsidP="002D4C10">
      <w:pPr>
        <w:rPr>
          <w:b/>
          <w:bCs/>
        </w:rPr>
      </w:pPr>
      <w:r w:rsidRPr="00B76A73">
        <w:rPr>
          <w:noProof/>
        </w:rPr>
        <w:drawing>
          <wp:anchor distT="0" distB="0" distL="114300" distR="114300" simplePos="0" relativeHeight="251663872" behindDoc="0" locked="0" layoutInCell="1" allowOverlap="1" wp14:anchorId="14BEAF36" wp14:editId="2559BE73">
            <wp:simplePos x="0" y="0"/>
            <wp:positionH relativeFrom="margin">
              <wp:posOffset>-635</wp:posOffset>
            </wp:positionH>
            <wp:positionV relativeFrom="paragraph">
              <wp:posOffset>296545</wp:posOffset>
            </wp:positionV>
            <wp:extent cx="2380615" cy="1819275"/>
            <wp:effectExtent l="0" t="0" r="635"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3641" t="15145" r="49039" b="54028"/>
                    <a:stretch/>
                  </pic:blipFill>
                  <pic:spPr bwMode="auto">
                    <a:xfrm>
                      <a:off x="0" y="0"/>
                      <a:ext cx="2380615" cy="181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DB224E1" w14:textId="64D6F5F8" w:rsidR="002D4C10" w:rsidRDefault="002D4C10" w:rsidP="002D4C10">
      <w:r w:rsidRPr="00B76A73">
        <w:rPr>
          <w:b/>
          <w:bCs/>
        </w:rPr>
        <w:br/>
        <w:t>Closed-End Mutual Fund Data</w:t>
      </w:r>
      <w:r w:rsidRPr="00B76A73">
        <w:rPr>
          <w:b/>
          <w:bCs/>
        </w:rPr>
        <w:br/>
      </w:r>
      <w:r w:rsidRPr="00B76A73">
        <w:t xml:space="preserve">Search for closed-end mutual funds by keyword, category, subcategory, and more with the </w:t>
      </w:r>
      <w:proofErr w:type="spellStart"/>
      <w:r w:rsidRPr="00B76A73">
        <w:t>TagniFi</w:t>
      </w:r>
      <w:proofErr w:type="spellEnd"/>
      <w:r w:rsidRPr="00B76A73">
        <w:t xml:space="preserve"> Console. Use the </w:t>
      </w:r>
      <w:proofErr w:type="spellStart"/>
      <w:r w:rsidRPr="00B76A73">
        <w:t>TagniFi</w:t>
      </w:r>
      <w:proofErr w:type="spellEnd"/>
      <w:r w:rsidRPr="00B76A73">
        <w:t xml:space="preserve"> Excel plugin to calculate historical discounts, yields, leverage, as of your valuation date automatically. Simply enter the tickers and valuation date in Excel - </w:t>
      </w:r>
      <w:proofErr w:type="spellStart"/>
      <w:r w:rsidRPr="00B76A73">
        <w:t>TagniFi</w:t>
      </w:r>
      <w:proofErr w:type="spellEnd"/>
      <w:r w:rsidRPr="00B76A73">
        <w:t xml:space="preserve"> does the rest.</w:t>
      </w:r>
      <w:r>
        <w:t xml:space="preserve"> </w:t>
      </w:r>
    </w:p>
    <w:p w14:paraId="26171B27" w14:textId="77777777" w:rsidR="002D4C10" w:rsidRPr="004C20AB" w:rsidRDefault="002D4C10" w:rsidP="004C20AB">
      <w:pPr>
        <w:rPr>
          <w:b/>
          <w:bCs/>
        </w:rPr>
      </w:pPr>
    </w:p>
    <w:sectPr w:rsidR="002D4C10" w:rsidRPr="004C20AB" w:rsidSect="00005111">
      <w:headerReference w:type="default" r:id="rId44"/>
      <w:footerReference w:type="default" r:id="rId45"/>
      <w:footerReference w:type="first" r:id="rId4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82FFA" w14:textId="77777777" w:rsidR="00910D28" w:rsidRDefault="00910D28" w:rsidP="00171C8E">
      <w:pPr>
        <w:spacing w:after="0" w:line="240" w:lineRule="auto"/>
      </w:pPr>
      <w:r>
        <w:separator/>
      </w:r>
    </w:p>
  </w:endnote>
  <w:endnote w:type="continuationSeparator" w:id="0">
    <w:p w14:paraId="220F7528" w14:textId="77777777" w:rsidR="00910D28" w:rsidRDefault="00910D28" w:rsidP="00171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D5FE8" w14:textId="51E2EC1E" w:rsidR="00B36811" w:rsidRDefault="00B36811">
    <w:pPr>
      <w:pStyle w:val="Footer"/>
    </w:pPr>
    <w:r>
      <w:t>© 202</w:t>
    </w:r>
    <w:r w:rsidR="00A74430">
      <w:t>3</w:t>
    </w:r>
    <w:r>
      <w:t xml:space="preserve"> </w:t>
    </w:r>
    <w:proofErr w:type="spellStart"/>
    <w:r>
      <w:t>TagniFi</w:t>
    </w:r>
    <w:proofErr w:type="spellEnd"/>
    <w:r>
      <w:t>, LLC. All rights reserved.</w:t>
    </w:r>
    <w:r>
      <w:tab/>
    </w:r>
    <w:r>
      <w:tab/>
      <w:t xml:space="preserve">Page </w:t>
    </w:r>
    <w:r>
      <w:fldChar w:fldCharType="begin"/>
    </w:r>
    <w:r>
      <w:instrText xml:space="preserve"> PAGE   \* MERGEFORMAT </w:instrText>
    </w:r>
    <w:r>
      <w:fldChar w:fldCharType="separate"/>
    </w:r>
    <w:r>
      <w:rPr>
        <w:noProof/>
      </w:rPr>
      <w:t>20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CAF58" w14:textId="5EAC5F17" w:rsidR="00B36811" w:rsidRDefault="00B36811">
    <w:pPr>
      <w:pStyle w:val="Footer"/>
    </w:pPr>
    <w:r>
      <w:t>TagniFi.com</w:t>
    </w:r>
    <w:r>
      <w:tab/>
    </w:r>
    <w:r>
      <w:tab/>
      <w:t>800-TagniFi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E9755" w14:textId="77777777" w:rsidR="00910D28" w:rsidRDefault="00910D28" w:rsidP="00171C8E">
      <w:pPr>
        <w:spacing w:after="0" w:line="240" w:lineRule="auto"/>
      </w:pPr>
      <w:r>
        <w:separator/>
      </w:r>
    </w:p>
  </w:footnote>
  <w:footnote w:type="continuationSeparator" w:id="0">
    <w:p w14:paraId="110D8247" w14:textId="77777777" w:rsidR="00910D28" w:rsidRDefault="00910D28" w:rsidP="00171C8E">
      <w:pPr>
        <w:spacing w:after="0" w:line="240" w:lineRule="auto"/>
      </w:pPr>
      <w:r>
        <w:continuationSeparator/>
      </w:r>
    </w:p>
  </w:footnote>
  <w:footnote w:id="1">
    <w:p w14:paraId="0A2FA1C7" w14:textId="6AD6B616" w:rsidR="00B36811" w:rsidRDefault="00B36811" w:rsidP="00EC7CB1">
      <w:pPr>
        <w:pStyle w:val="FootnoteText"/>
      </w:pPr>
      <w:r w:rsidRPr="000763E1">
        <w:rPr>
          <w:rStyle w:val="FootnoteReference"/>
          <w:sz w:val="16"/>
          <w:szCs w:val="16"/>
        </w:rPr>
        <w:footnoteRef/>
      </w:r>
      <w:r w:rsidRPr="000763E1">
        <w:rPr>
          <w:sz w:val="16"/>
          <w:szCs w:val="16"/>
        </w:rPr>
        <w:t xml:space="preserve"> </w:t>
      </w:r>
      <w:r w:rsidRPr="006B1EB1">
        <w:rPr>
          <w:rFonts w:cstheme="minorHAnsi"/>
          <w:color w:val="222222"/>
          <w:sz w:val="16"/>
          <w:szCs w:val="16"/>
          <w:shd w:val="clear" w:color="auto" w:fill="FFFFFF"/>
        </w:rPr>
        <w:t>Federal Reserve Bank of Philadelphia, Coincident Economic Activity Index for the United States [USPHCI],</w:t>
      </w:r>
      <w:r w:rsidRPr="00DA3959">
        <w:rPr>
          <w:rFonts w:cstheme="minorHAnsi"/>
          <w:i/>
          <w:iCs/>
          <w:color w:val="222222"/>
          <w:sz w:val="16"/>
          <w:szCs w:val="16"/>
          <w:shd w:val="clear" w:color="auto" w:fill="FFFFFF"/>
        </w:rPr>
        <w:t xml:space="preserve"> retrieved from FRED, Federal Reserve Bank of St. Louis; </w:t>
      </w:r>
      <w:hyperlink r:id="rId1" w:history="1">
        <w:r w:rsidRPr="001B4FCC">
          <w:rPr>
            <w:rStyle w:val="Hyperlink"/>
            <w:rFonts w:cstheme="minorHAnsi"/>
            <w:i/>
            <w:iCs/>
            <w:sz w:val="16"/>
            <w:szCs w:val="16"/>
            <w:shd w:val="clear" w:color="auto" w:fill="FFFFFF"/>
          </w:rPr>
          <w:t>https://fred.stlouisfed.org/series/USPHCI</w:t>
        </w:r>
      </w:hyperlink>
      <w:r w:rsidRPr="00DA3959">
        <w:rPr>
          <w:rFonts w:cstheme="minorHAnsi"/>
          <w:i/>
          <w:iCs/>
          <w:color w:val="222222"/>
          <w:sz w:val="16"/>
          <w:szCs w:val="16"/>
          <w:shd w:val="clear" w:color="auto" w:fill="FFFFFF"/>
        </w:rPr>
        <w:t xml:space="preserve">, </w:t>
      </w:r>
      <w:r w:rsidR="00C71C02">
        <w:rPr>
          <w:rFonts w:cstheme="minorHAnsi"/>
          <w:i/>
          <w:iCs/>
          <w:color w:val="222222"/>
          <w:sz w:val="16"/>
          <w:szCs w:val="16"/>
          <w:shd w:val="clear" w:color="auto" w:fill="FFFFFF"/>
        </w:rPr>
        <w:t>Jul 28</w:t>
      </w:r>
      <w:r w:rsidR="00056DC1">
        <w:rPr>
          <w:rFonts w:cstheme="minorHAnsi"/>
          <w:i/>
          <w:iCs/>
          <w:color w:val="222222"/>
          <w:sz w:val="16"/>
          <w:szCs w:val="16"/>
          <w:shd w:val="clear" w:color="auto" w:fill="FFFFFF"/>
        </w:rPr>
        <w:t>, 2023</w:t>
      </w:r>
      <w:r w:rsidRPr="00DA3959">
        <w:rPr>
          <w:rFonts w:cstheme="minorHAnsi"/>
          <w:i/>
          <w:iCs/>
          <w:color w:val="222222"/>
          <w:sz w:val="16"/>
          <w:szCs w:val="16"/>
          <w:shd w:val="clear" w:color="auto" w:fill="FFFFFF"/>
        </w:rPr>
        <w:t>.</w:t>
      </w:r>
    </w:p>
  </w:footnote>
  <w:footnote w:id="2">
    <w:p w14:paraId="04EBBD96" w14:textId="0C2188E7" w:rsidR="00B36811" w:rsidRPr="000322F4" w:rsidRDefault="00B36811">
      <w:pPr>
        <w:pStyle w:val="FootnoteText"/>
        <w:rPr>
          <w:sz w:val="16"/>
          <w:szCs w:val="16"/>
          <w:lang w:val="en-PH"/>
        </w:rPr>
      </w:pPr>
      <w:r w:rsidRPr="000322F4">
        <w:rPr>
          <w:rStyle w:val="FootnoteReference"/>
          <w:sz w:val="16"/>
          <w:szCs w:val="16"/>
        </w:rPr>
        <w:footnoteRef/>
      </w:r>
      <w:r w:rsidRPr="000322F4">
        <w:rPr>
          <w:sz w:val="16"/>
          <w:szCs w:val="16"/>
        </w:rPr>
        <w:t xml:space="preserve"> </w:t>
      </w:r>
      <w:r w:rsidRPr="006B1EB1">
        <w:rPr>
          <w:rFonts w:cstheme="minorHAnsi"/>
          <w:color w:val="222222"/>
          <w:sz w:val="16"/>
          <w:szCs w:val="16"/>
          <w:shd w:val="clear" w:color="auto" w:fill="FFFFFF"/>
        </w:rPr>
        <w:t>Board of Governors of the Federal Reserve System (US), Trade Weighted U.S. Dollar Index: Broad, Goods and Services [DTWEXBGS],</w:t>
      </w:r>
      <w:r w:rsidRPr="00DA3959">
        <w:rPr>
          <w:rFonts w:cstheme="minorHAnsi"/>
          <w:i/>
          <w:iCs/>
          <w:color w:val="222222"/>
          <w:sz w:val="16"/>
          <w:szCs w:val="16"/>
          <w:shd w:val="clear" w:color="auto" w:fill="FFFFFF"/>
        </w:rPr>
        <w:t xml:space="preserve"> retrieved from FRED, Federal Reserve Bank of St. Louis; </w:t>
      </w:r>
      <w:hyperlink r:id="rId2" w:history="1">
        <w:r w:rsidRPr="00DA3959">
          <w:rPr>
            <w:rStyle w:val="Hyperlink"/>
            <w:rFonts w:cstheme="minorHAnsi"/>
            <w:i/>
            <w:iCs/>
            <w:sz w:val="16"/>
            <w:szCs w:val="16"/>
            <w:shd w:val="clear" w:color="auto" w:fill="FFFFFF"/>
          </w:rPr>
          <w:t>https://fred.stlouisfed.org/series/DTWEXBGS</w:t>
        </w:r>
      </w:hyperlink>
      <w:r w:rsidRPr="00DA3959">
        <w:rPr>
          <w:rFonts w:cstheme="minorHAnsi"/>
          <w:i/>
          <w:iCs/>
          <w:color w:val="222222"/>
          <w:sz w:val="16"/>
          <w:szCs w:val="16"/>
          <w:shd w:val="clear" w:color="auto" w:fill="FFFFFF"/>
        </w:rPr>
        <w:t xml:space="preserve">, </w:t>
      </w:r>
      <w:r w:rsidR="00C71C02">
        <w:rPr>
          <w:rFonts w:cstheme="minorHAnsi"/>
          <w:i/>
          <w:iCs/>
          <w:color w:val="222222"/>
          <w:sz w:val="16"/>
          <w:szCs w:val="16"/>
          <w:shd w:val="clear" w:color="auto" w:fill="FFFFFF"/>
        </w:rPr>
        <w:t>Jul 28</w:t>
      </w:r>
      <w:r w:rsidR="006D705D">
        <w:rPr>
          <w:rFonts w:cstheme="minorHAnsi"/>
          <w:i/>
          <w:iCs/>
          <w:color w:val="222222"/>
          <w:sz w:val="16"/>
          <w:szCs w:val="16"/>
          <w:shd w:val="clear" w:color="auto" w:fill="FFFFFF"/>
        </w:rPr>
        <w:t>, 2023</w:t>
      </w:r>
      <w:r w:rsidRPr="00DA3959">
        <w:rPr>
          <w:rFonts w:cstheme="minorHAnsi"/>
          <w:i/>
          <w:iCs/>
          <w:color w:val="222222"/>
          <w:sz w:val="16"/>
          <w:szCs w:val="16"/>
          <w:shd w:val="clear" w:color="auto" w:fill="FFFFFF"/>
        </w:rPr>
        <w:t>.</w:t>
      </w:r>
    </w:p>
  </w:footnote>
  <w:footnote w:id="3">
    <w:p w14:paraId="517776FA" w14:textId="5E2BA028" w:rsidR="00B36811" w:rsidRPr="000763E1" w:rsidRDefault="00B36811" w:rsidP="000763E1">
      <w:pPr>
        <w:pStyle w:val="FootnoteText"/>
        <w:rPr>
          <w:rFonts w:cstheme="minorHAnsi"/>
          <w:sz w:val="16"/>
          <w:szCs w:val="16"/>
          <w:lang w:val="en-PH"/>
        </w:rPr>
      </w:pPr>
      <w:r w:rsidRPr="000763E1">
        <w:rPr>
          <w:rStyle w:val="FootnoteReference"/>
          <w:sz w:val="16"/>
          <w:szCs w:val="16"/>
        </w:rPr>
        <w:footnoteRef/>
      </w:r>
      <w:r w:rsidRPr="000763E1">
        <w:rPr>
          <w:sz w:val="16"/>
          <w:szCs w:val="16"/>
        </w:rPr>
        <w:t xml:space="preserve"> </w:t>
      </w:r>
      <w:r w:rsidRPr="000763E1">
        <w:rPr>
          <w:rFonts w:cstheme="minorHAnsi"/>
          <w:sz w:val="16"/>
          <w:szCs w:val="16"/>
          <w:lang w:val="en-PH"/>
        </w:rPr>
        <w:t>U.S. Bureau of Economic Analysis, Real Gross Domestic Product [GDPC1],</w:t>
      </w:r>
      <w:r w:rsidRPr="000763E1">
        <w:rPr>
          <w:rFonts w:cstheme="minorHAnsi"/>
          <w:i/>
          <w:iCs/>
          <w:color w:val="222222"/>
          <w:sz w:val="16"/>
          <w:szCs w:val="16"/>
          <w:shd w:val="clear" w:color="auto" w:fill="FFFFFF"/>
        </w:rPr>
        <w:t xml:space="preserve"> retrieved from FRED, Federal Reserve Bank of St. Louis; </w:t>
      </w:r>
      <w:hyperlink r:id="rId3" w:history="1">
        <w:r w:rsidRPr="000763E1">
          <w:rPr>
            <w:rStyle w:val="Hyperlink"/>
            <w:rFonts w:cstheme="minorHAnsi"/>
            <w:i/>
            <w:iCs/>
            <w:sz w:val="16"/>
            <w:szCs w:val="16"/>
            <w:shd w:val="clear" w:color="auto" w:fill="FFFFFF"/>
          </w:rPr>
          <w:t>https://fred.stlouisfed.org/series/GDPC1</w:t>
        </w:r>
      </w:hyperlink>
      <w:r w:rsidRPr="000763E1">
        <w:rPr>
          <w:rFonts w:cstheme="minorHAnsi"/>
          <w:i/>
          <w:iCs/>
          <w:color w:val="222222"/>
          <w:sz w:val="16"/>
          <w:szCs w:val="16"/>
          <w:shd w:val="clear" w:color="auto" w:fill="FFFFFF"/>
        </w:rPr>
        <w:t xml:space="preserve">, </w:t>
      </w:r>
      <w:r w:rsidR="00AF4229">
        <w:rPr>
          <w:rFonts w:cstheme="minorHAnsi"/>
          <w:i/>
          <w:iCs/>
          <w:color w:val="222222"/>
          <w:sz w:val="16"/>
          <w:szCs w:val="16"/>
          <w:shd w:val="clear" w:color="auto" w:fill="FFFFFF"/>
        </w:rPr>
        <w:t>Jul 28</w:t>
      </w:r>
      <w:r w:rsidRPr="000763E1">
        <w:rPr>
          <w:rFonts w:cstheme="minorHAnsi"/>
          <w:i/>
          <w:iCs/>
          <w:color w:val="222222"/>
          <w:sz w:val="16"/>
          <w:szCs w:val="16"/>
          <w:shd w:val="clear" w:color="auto" w:fill="FFFFFF"/>
        </w:rPr>
        <w:t>, 202</w:t>
      </w:r>
      <w:r w:rsidR="00C36C62">
        <w:rPr>
          <w:rFonts w:cstheme="minorHAnsi"/>
          <w:i/>
          <w:iCs/>
          <w:color w:val="222222"/>
          <w:sz w:val="16"/>
          <w:szCs w:val="16"/>
          <w:shd w:val="clear" w:color="auto" w:fill="FFFFFF"/>
        </w:rPr>
        <w:t>3</w:t>
      </w:r>
      <w:r w:rsidRPr="000763E1">
        <w:rPr>
          <w:rFonts w:cstheme="minorHAnsi"/>
          <w:i/>
          <w:iCs/>
          <w:color w:val="222222"/>
          <w:sz w:val="16"/>
          <w:szCs w:val="16"/>
          <w:shd w:val="clear" w:color="auto" w:fill="FFFFFF"/>
        </w:rPr>
        <w:t>.</w:t>
      </w:r>
    </w:p>
  </w:footnote>
  <w:footnote w:id="4">
    <w:p w14:paraId="1BE0CB36" w14:textId="23CFCCB7" w:rsidR="00C060D2" w:rsidRPr="000763E1" w:rsidRDefault="00C060D2" w:rsidP="00C060D2">
      <w:pPr>
        <w:pStyle w:val="FootnoteText"/>
        <w:rPr>
          <w:rFonts w:cstheme="minorHAnsi"/>
          <w:i/>
          <w:iCs/>
          <w:sz w:val="16"/>
          <w:szCs w:val="16"/>
        </w:rPr>
      </w:pPr>
      <w:r w:rsidRPr="000763E1">
        <w:rPr>
          <w:rStyle w:val="FootnoteReference"/>
          <w:rFonts w:cstheme="minorHAnsi"/>
          <w:sz w:val="16"/>
          <w:szCs w:val="16"/>
        </w:rPr>
        <w:footnoteRef/>
      </w:r>
      <w:r w:rsidRPr="000763E1">
        <w:rPr>
          <w:rFonts w:cstheme="minorHAnsi"/>
          <w:sz w:val="16"/>
          <w:szCs w:val="16"/>
        </w:rPr>
        <w:t xml:space="preserve"> U.S. Bureau of Economic Analysis, Contributions to percent change in real gross domestic product: Personal consumption expenditures [DPCERY2Q224SBEA], </w:t>
      </w:r>
      <w:r w:rsidRPr="000763E1">
        <w:rPr>
          <w:rFonts w:cstheme="minorHAnsi"/>
          <w:i/>
          <w:iCs/>
          <w:sz w:val="16"/>
          <w:szCs w:val="16"/>
        </w:rPr>
        <w:t xml:space="preserve">retrieved from FRED, Federal Reserve Bank of St. Louis; </w:t>
      </w:r>
      <w:hyperlink r:id="rId4" w:history="1">
        <w:r w:rsidRPr="000763E1">
          <w:rPr>
            <w:rStyle w:val="Hyperlink"/>
            <w:rFonts w:cstheme="minorHAnsi"/>
            <w:i/>
            <w:iCs/>
            <w:sz w:val="16"/>
            <w:szCs w:val="16"/>
          </w:rPr>
          <w:t>https://fred.stlouisfed.org/series/DPCERY2Q224SBEA</w:t>
        </w:r>
      </w:hyperlink>
      <w:r w:rsidRPr="000763E1">
        <w:rPr>
          <w:rFonts w:cstheme="minorHAnsi"/>
          <w:i/>
          <w:iCs/>
          <w:sz w:val="16"/>
          <w:szCs w:val="16"/>
        </w:rPr>
        <w:t xml:space="preserve">, </w:t>
      </w:r>
      <w:r w:rsidR="00AF4229">
        <w:rPr>
          <w:rFonts w:cstheme="minorHAnsi"/>
          <w:i/>
          <w:iCs/>
          <w:color w:val="222222"/>
          <w:sz w:val="16"/>
          <w:szCs w:val="16"/>
          <w:shd w:val="clear" w:color="auto" w:fill="FFFFFF"/>
        </w:rPr>
        <w:t>Jul 28</w:t>
      </w:r>
      <w:r w:rsidR="00C36C62" w:rsidRPr="000763E1">
        <w:rPr>
          <w:rFonts w:cstheme="minorHAnsi"/>
          <w:i/>
          <w:iCs/>
          <w:color w:val="222222"/>
          <w:sz w:val="16"/>
          <w:szCs w:val="16"/>
          <w:shd w:val="clear" w:color="auto" w:fill="FFFFFF"/>
        </w:rPr>
        <w:t>, 202</w:t>
      </w:r>
      <w:r w:rsidR="00C36C62">
        <w:rPr>
          <w:rFonts w:cstheme="minorHAnsi"/>
          <w:i/>
          <w:iCs/>
          <w:color w:val="222222"/>
          <w:sz w:val="16"/>
          <w:szCs w:val="16"/>
          <w:shd w:val="clear" w:color="auto" w:fill="FFFFFF"/>
        </w:rPr>
        <w:t>3</w:t>
      </w:r>
      <w:r w:rsidRPr="000763E1">
        <w:rPr>
          <w:rFonts w:cstheme="minorHAnsi"/>
          <w:i/>
          <w:iCs/>
          <w:sz w:val="16"/>
          <w:szCs w:val="16"/>
        </w:rPr>
        <w:t>.</w:t>
      </w:r>
    </w:p>
  </w:footnote>
  <w:footnote w:id="5">
    <w:p w14:paraId="2C6A27F2" w14:textId="77777777" w:rsidR="00384A65" w:rsidRPr="000763E1" w:rsidRDefault="00384A65" w:rsidP="00384A65">
      <w:pPr>
        <w:pStyle w:val="FootnoteText"/>
        <w:rPr>
          <w:rFonts w:cstheme="minorHAnsi"/>
          <w:i/>
          <w:iCs/>
          <w:sz w:val="16"/>
          <w:szCs w:val="16"/>
        </w:rPr>
      </w:pPr>
      <w:r w:rsidRPr="000763E1">
        <w:rPr>
          <w:rStyle w:val="FootnoteReference"/>
          <w:rFonts w:cstheme="minorHAnsi"/>
          <w:sz w:val="16"/>
          <w:szCs w:val="16"/>
        </w:rPr>
        <w:footnoteRef/>
      </w:r>
      <w:r w:rsidRPr="000763E1">
        <w:rPr>
          <w:rFonts w:cstheme="minorHAnsi"/>
          <w:sz w:val="16"/>
          <w:szCs w:val="16"/>
        </w:rPr>
        <w:t xml:space="preserve"> U.S. Bureau of Economic Analysis, Contributions to percent change in real gross domestic product: Gross private domestic investment [A006RY2Q224SBEA], </w:t>
      </w:r>
      <w:r w:rsidRPr="000763E1">
        <w:rPr>
          <w:rFonts w:cstheme="minorHAnsi"/>
          <w:i/>
          <w:iCs/>
          <w:sz w:val="16"/>
          <w:szCs w:val="16"/>
        </w:rPr>
        <w:t xml:space="preserve">retrieved from FRED, Federal Reserve Bank of St. Louis; </w:t>
      </w:r>
      <w:hyperlink r:id="rId5" w:history="1">
        <w:r w:rsidRPr="000763E1">
          <w:rPr>
            <w:rStyle w:val="Hyperlink"/>
            <w:rFonts w:cstheme="minorHAnsi"/>
            <w:i/>
            <w:iCs/>
            <w:sz w:val="16"/>
            <w:szCs w:val="16"/>
          </w:rPr>
          <w:t>https://fred.stlouisfed.org/series/A006RY2Q224SBEA</w:t>
        </w:r>
      </w:hyperlink>
      <w:r w:rsidRPr="000763E1">
        <w:rPr>
          <w:rFonts w:cstheme="minorHAnsi"/>
          <w:i/>
          <w:iCs/>
          <w:sz w:val="16"/>
          <w:szCs w:val="16"/>
        </w:rPr>
        <w:t xml:space="preserve">, </w:t>
      </w:r>
      <w:r>
        <w:rPr>
          <w:rFonts w:cstheme="minorHAnsi"/>
          <w:i/>
          <w:iCs/>
          <w:color w:val="222222"/>
          <w:sz w:val="16"/>
          <w:szCs w:val="16"/>
          <w:shd w:val="clear" w:color="auto" w:fill="FFFFFF"/>
        </w:rPr>
        <w:t>Jul 28</w:t>
      </w:r>
      <w:r w:rsidRPr="000763E1">
        <w:rPr>
          <w:rFonts w:cstheme="minorHAnsi"/>
          <w:i/>
          <w:iCs/>
          <w:color w:val="222222"/>
          <w:sz w:val="16"/>
          <w:szCs w:val="16"/>
          <w:shd w:val="clear" w:color="auto" w:fill="FFFFFF"/>
        </w:rPr>
        <w:t>, 202</w:t>
      </w:r>
      <w:r>
        <w:rPr>
          <w:rFonts w:cstheme="minorHAnsi"/>
          <w:i/>
          <w:iCs/>
          <w:color w:val="222222"/>
          <w:sz w:val="16"/>
          <w:szCs w:val="16"/>
          <w:shd w:val="clear" w:color="auto" w:fill="FFFFFF"/>
        </w:rPr>
        <w:t>3</w:t>
      </w:r>
      <w:r w:rsidRPr="000763E1">
        <w:rPr>
          <w:rFonts w:cstheme="minorHAnsi"/>
          <w:i/>
          <w:iCs/>
          <w:sz w:val="16"/>
          <w:szCs w:val="16"/>
        </w:rPr>
        <w:t>.</w:t>
      </w:r>
    </w:p>
  </w:footnote>
  <w:footnote w:id="6">
    <w:p w14:paraId="2B74C68A" w14:textId="2D0A4AAC" w:rsidR="00C060D2" w:rsidRPr="000763E1" w:rsidRDefault="00C060D2" w:rsidP="00C060D2">
      <w:pPr>
        <w:pStyle w:val="FootnoteText"/>
        <w:rPr>
          <w:rFonts w:cstheme="minorHAnsi"/>
          <w:sz w:val="16"/>
          <w:szCs w:val="16"/>
        </w:rPr>
      </w:pPr>
      <w:r w:rsidRPr="000763E1">
        <w:rPr>
          <w:rStyle w:val="FootnoteReference"/>
          <w:rFonts w:cstheme="minorHAnsi"/>
          <w:sz w:val="16"/>
          <w:szCs w:val="16"/>
        </w:rPr>
        <w:footnoteRef/>
      </w:r>
      <w:r w:rsidRPr="000763E1">
        <w:rPr>
          <w:rFonts w:cstheme="minorHAnsi"/>
          <w:sz w:val="16"/>
          <w:szCs w:val="16"/>
        </w:rPr>
        <w:t xml:space="preserve"> U.S. Bureau of Economic Analysis, Contributions to percent change in real gross domestic product: Government consumption expenditures and gross investment [A822RY2Q224SBEA], </w:t>
      </w:r>
      <w:r w:rsidRPr="000763E1">
        <w:rPr>
          <w:rFonts w:cstheme="minorHAnsi"/>
          <w:i/>
          <w:iCs/>
          <w:sz w:val="16"/>
          <w:szCs w:val="16"/>
        </w:rPr>
        <w:t xml:space="preserve">retrieved from FRED, Federal Reserve Bank of St. Louis; </w:t>
      </w:r>
      <w:hyperlink r:id="rId6" w:history="1">
        <w:r w:rsidRPr="000763E1">
          <w:rPr>
            <w:rStyle w:val="Hyperlink"/>
            <w:rFonts w:cstheme="minorHAnsi"/>
            <w:i/>
            <w:iCs/>
            <w:sz w:val="16"/>
            <w:szCs w:val="16"/>
          </w:rPr>
          <w:t>https://fred.stlouisfed.org/series/A822RY2Q224SBEA</w:t>
        </w:r>
      </w:hyperlink>
      <w:r w:rsidRPr="000763E1">
        <w:rPr>
          <w:rFonts w:cstheme="minorHAnsi"/>
          <w:i/>
          <w:iCs/>
          <w:sz w:val="16"/>
          <w:szCs w:val="16"/>
        </w:rPr>
        <w:t xml:space="preserve">, </w:t>
      </w:r>
      <w:r w:rsidR="00AF4229">
        <w:rPr>
          <w:rFonts w:cstheme="minorHAnsi"/>
          <w:i/>
          <w:iCs/>
          <w:color w:val="222222"/>
          <w:sz w:val="16"/>
          <w:szCs w:val="16"/>
          <w:shd w:val="clear" w:color="auto" w:fill="FFFFFF"/>
        </w:rPr>
        <w:t>Jul 28</w:t>
      </w:r>
      <w:r w:rsidR="00AF1F92">
        <w:rPr>
          <w:rFonts w:cstheme="minorHAnsi"/>
          <w:i/>
          <w:iCs/>
          <w:color w:val="222222"/>
          <w:sz w:val="16"/>
          <w:szCs w:val="16"/>
          <w:shd w:val="clear" w:color="auto" w:fill="FFFFFF"/>
        </w:rPr>
        <w:t>,</w:t>
      </w:r>
      <w:r w:rsidR="00C36C62" w:rsidRPr="000763E1">
        <w:rPr>
          <w:rFonts w:cstheme="minorHAnsi"/>
          <w:i/>
          <w:iCs/>
          <w:color w:val="222222"/>
          <w:sz w:val="16"/>
          <w:szCs w:val="16"/>
          <w:shd w:val="clear" w:color="auto" w:fill="FFFFFF"/>
        </w:rPr>
        <w:t xml:space="preserve"> 202</w:t>
      </w:r>
      <w:r w:rsidR="00C36C62">
        <w:rPr>
          <w:rFonts w:cstheme="minorHAnsi"/>
          <w:i/>
          <w:iCs/>
          <w:color w:val="222222"/>
          <w:sz w:val="16"/>
          <w:szCs w:val="16"/>
          <w:shd w:val="clear" w:color="auto" w:fill="FFFFFF"/>
        </w:rPr>
        <w:t>3</w:t>
      </w:r>
      <w:r w:rsidRPr="000763E1">
        <w:rPr>
          <w:rFonts w:cstheme="minorHAnsi"/>
          <w:i/>
          <w:iCs/>
          <w:sz w:val="16"/>
          <w:szCs w:val="16"/>
        </w:rPr>
        <w:t>.</w:t>
      </w:r>
    </w:p>
  </w:footnote>
  <w:footnote w:id="7">
    <w:p w14:paraId="15C9993D" w14:textId="5D5895B0" w:rsidR="00DD2ED8" w:rsidRPr="000763E1" w:rsidRDefault="00DD2ED8" w:rsidP="000763E1">
      <w:pPr>
        <w:pStyle w:val="FootnoteText"/>
        <w:rPr>
          <w:rFonts w:cstheme="minorHAnsi"/>
          <w:i/>
          <w:iCs/>
          <w:sz w:val="16"/>
          <w:szCs w:val="16"/>
        </w:rPr>
      </w:pPr>
      <w:r w:rsidRPr="000763E1">
        <w:rPr>
          <w:rStyle w:val="FootnoteReference"/>
          <w:rFonts w:cstheme="minorHAnsi"/>
          <w:sz w:val="16"/>
          <w:szCs w:val="16"/>
        </w:rPr>
        <w:footnoteRef/>
      </w:r>
      <w:r w:rsidR="000763E1" w:rsidRPr="000763E1">
        <w:rPr>
          <w:rFonts w:cstheme="minorHAnsi"/>
          <w:color w:val="222222"/>
          <w:sz w:val="16"/>
          <w:szCs w:val="16"/>
          <w:shd w:val="clear" w:color="auto" w:fill="FFFFFF"/>
        </w:rPr>
        <w:t xml:space="preserve"> </w:t>
      </w:r>
      <w:r w:rsidRPr="000763E1">
        <w:rPr>
          <w:rFonts w:cstheme="minorHAnsi"/>
          <w:sz w:val="16"/>
          <w:szCs w:val="16"/>
        </w:rPr>
        <w:t xml:space="preserve">U.S. </w:t>
      </w:r>
      <w:r w:rsidRPr="000763E1">
        <w:rPr>
          <w:rFonts w:cstheme="minorHAnsi"/>
          <w:sz w:val="16"/>
          <w:szCs w:val="16"/>
          <w:lang w:val="en-PH"/>
        </w:rPr>
        <w:t>Bureau o</w:t>
      </w:r>
      <w:r w:rsidRPr="000763E1">
        <w:rPr>
          <w:rFonts w:cstheme="minorHAnsi"/>
          <w:sz w:val="16"/>
          <w:szCs w:val="16"/>
        </w:rPr>
        <w:t xml:space="preserve">f Economic Analysis, Contributions to percent change in real gross domestic product: Net exports of goods and services [A019RY2Q224SBEA], </w:t>
      </w:r>
      <w:r w:rsidRPr="000763E1">
        <w:rPr>
          <w:rFonts w:cstheme="minorHAnsi"/>
          <w:i/>
          <w:iCs/>
          <w:sz w:val="16"/>
          <w:szCs w:val="16"/>
        </w:rPr>
        <w:t>retrieved from FRED, Federal Reserve Bank of St. Louis;</w:t>
      </w:r>
      <w:r w:rsidRPr="000763E1">
        <w:rPr>
          <w:rFonts w:cstheme="minorHAnsi"/>
          <w:i/>
          <w:iCs/>
          <w:color w:val="222222"/>
          <w:sz w:val="16"/>
          <w:szCs w:val="16"/>
          <w:shd w:val="clear" w:color="auto" w:fill="FFFFFF"/>
          <w:lang w:val="en-PH"/>
        </w:rPr>
        <w:t xml:space="preserve"> </w:t>
      </w:r>
      <w:hyperlink r:id="rId7" w:history="1">
        <w:r w:rsidRPr="000763E1">
          <w:rPr>
            <w:rStyle w:val="Hyperlink"/>
            <w:rFonts w:cstheme="minorHAnsi"/>
            <w:i/>
            <w:iCs/>
            <w:sz w:val="16"/>
            <w:szCs w:val="16"/>
            <w:shd w:val="clear" w:color="auto" w:fill="FFFFFF"/>
            <w:lang w:val="en-PH"/>
          </w:rPr>
          <w:t>https://fred.stlouisfed.org/series/A019RY2Q224SBEA</w:t>
        </w:r>
      </w:hyperlink>
      <w:r w:rsidRPr="000763E1">
        <w:rPr>
          <w:rFonts w:cstheme="minorHAnsi"/>
          <w:i/>
          <w:iCs/>
          <w:sz w:val="16"/>
          <w:szCs w:val="16"/>
        </w:rPr>
        <w:t xml:space="preserve">, </w:t>
      </w:r>
      <w:r w:rsidR="00AF4229">
        <w:rPr>
          <w:rFonts w:cstheme="minorHAnsi"/>
          <w:i/>
          <w:iCs/>
          <w:color w:val="222222"/>
          <w:sz w:val="16"/>
          <w:szCs w:val="16"/>
          <w:shd w:val="clear" w:color="auto" w:fill="FFFFFF"/>
        </w:rPr>
        <w:t>Jul 28</w:t>
      </w:r>
      <w:r w:rsidR="00C36C62" w:rsidRPr="000763E1">
        <w:rPr>
          <w:rFonts w:cstheme="minorHAnsi"/>
          <w:i/>
          <w:iCs/>
          <w:color w:val="222222"/>
          <w:sz w:val="16"/>
          <w:szCs w:val="16"/>
          <w:shd w:val="clear" w:color="auto" w:fill="FFFFFF"/>
        </w:rPr>
        <w:t>, 202</w:t>
      </w:r>
      <w:r w:rsidR="00C36C62">
        <w:rPr>
          <w:rFonts w:cstheme="minorHAnsi"/>
          <w:i/>
          <w:iCs/>
          <w:color w:val="222222"/>
          <w:sz w:val="16"/>
          <w:szCs w:val="16"/>
          <w:shd w:val="clear" w:color="auto" w:fill="FFFFFF"/>
        </w:rPr>
        <w:t>3</w:t>
      </w:r>
      <w:r w:rsidRPr="000763E1">
        <w:rPr>
          <w:rFonts w:cstheme="minorHAnsi"/>
          <w:i/>
          <w:iCs/>
          <w:sz w:val="16"/>
          <w:szCs w:val="16"/>
        </w:rPr>
        <w:t>.</w:t>
      </w:r>
    </w:p>
  </w:footnote>
  <w:footnote w:id="8">
    <w:p w14:paraId="0F596133" w14:textId="0CC2A5CB" w:rsidR="00100F15" w:rsidRDefault="00100F15" w:rsidP="00100F15">
      <w:pPr>
        <w:pStyle w:val="FootnoteText"/>
      </w:pPr>
      <w:r>
        <w:rPr>
          <w:rStyle w:val="FootnoteReference"/>
        </w:rPr>
        <w:footnoteRef/>
      </w:r>
      <w:r>
        <w:t xml:space="preserve"> </w:t>
      </w:r>
      <w:r w:rsidRPr="00100F15">
        <w:rPr>
          <w:sz w:val="16"/>
          <w:szCs w:val="16"/>
        </w:rPr>
        <w:t xml:space="preserve">Federal Reserve Bank of Philadelphia, The Livingston Survey </w:t>
      </w:r>
      <w:r w:rsidR="00600E5F">
        <w:rPr>
          <w:sz w:val="16"/>
          <w:szCs w:val="16"/>
        </w:rPr>
        <w:t>June 2023</w:t>
      </w:r>
      <w:r w:rsidRPr="00100F15">
        <w:rPr>
          <w:sz w:val="16"/>
          <w:szCs w:val="16"/>
        </w:rPr>
        <w:t xml:space="preserve">, [economic release], retrieved from </w:t>
      </w:r>
      <w:hyperlink r:id="rId8" w:history="1">
        <w:r w:rsidR="00600E5F">
          <w:rPr>
            <w:rStyle w:val="Hyperlink"/>
            <w:sz w:val="16"/>
            <w:szCs w:val="16"/>
          </w:rPr>
          <w:t>https://www.philadelphiafed.org/surveys-and-data/real-time-data-research/livingston-survey</w:t>
        </w:r>
      </w:hyperlink>
      <w:r w:rsidRPr="00100F15">
        <w:rPr>
          <w:sz w:val="16"/>
          <w:szCs w:val="16"/>
        </w:rPr>
        <w:t xml:space="preserve">, </w:t>
      </w:r>
      <w:r w:rsidR="00600E5F">
        <w:rPr>
          <w:sz w:val="16"/>
          <w:szCs w:val="16"/>
        </w:rPr>
        <w:t>Jul 28</w:t>
      </w:r>
      <w:r w:rsidRPr="00100F15">
        <w:rPr>
          <w:sz w:val="16"/>
          <w:szCs w:val="16"/>
        </w:rPr>
        <w:t>, 2023.</w:t>
      </w:r>
    </w:p>
  </w:footnote>
  <w:footnote w:id="9">
    <w:p w14:paraId="7FABCB6E" w14:textId="6BEEA74D" w:rsidR="00B36811" w:rsidRPr="006A114D" w:rsidRDefault="00B36811" w:rsidP="00D03164">
      <w:pPr>
        <w:pStyle w:val="FootnoteText"/>
        <w:rPr>
          <w:lang w:val="en-PH"/>
        </w:rPr>
      </w:pPr>
      <w:r w:rsidRPr="000763E1">
        <w:rPr>
          <w:rStyle w:val="FootnoteReference"/>
          <w:sz w:val="16"/>
          <w:szCs w:val="16"/>
        </w:rPr>
        <w:footnoteRef/>
      </w:r>
      <w:r w:rsidRPr="000763E1">
        <w:rPr>
          <w:sz w:val="16"/>
          <w:szCs w:val="16"/>
        </w:rPr>
        <w:t xml:space="preserve"> </w:t>
      </w:r>
      <w:r w:rsidRPr="000763E1">
        <w:rPr>
          <w:sz w:val="16"/>
          <w:szCs w:val="16"/>
          <w:lang w:val="en-PH"/>
        </w:rPr>
        <w:t>Board of</w:t>
      </w:r>
      <w:r w:rsidRPr="00BF5CE2">
        <w:rPr>
          <w:sz w:val="16"/>
          <w:szCs w:val="16"/>
          <w:lang w:val="en-PH"/>
        </w:rPr>
        <w:t xml:space="preserve"> Governors of the Federal Reserve System (US), Industrial Production Index [INDPRO],</w:t>
      </w:r>
      <w:r w:rsidRPr="00BF5CE2">
        <w:rPr>
          <w:rFonts w:cstheme="minorHAnsi"/>
          <w:i/>
          <w:iCs/>
          <w:color w:val="222222"/>
          <w:sz w:val="16"/>
          <w:szCs w:val="16"/>
          <w:shd w:val="clear" w:color="auto" w:fill="FFFFFF"/>
        </w:rPr>
        <w:t xml:space="preserve"> retrieved from FRED, Federal Reserve Bank of St. Louis; </w:t>
      </w:r>
      <w:hyperlink r:id="rId9" w:history="1">
        <w:r w:rsidRPr="00BF5CE2">
          <w:rPr>
            <w:rStyle w:val="Hyperlink"/>
            <w:rFonts w:cstheme="minorHAnsi"/>
            <w:i/>
            <w:iCs/>
            <w:sz w:val="16"/>
            <w:szCs w:val="16"/>
            <w:shd w:val="clear" w:color="auto" w:fill="FFFFFF"/>
          </w:rPr>
          <w:t>https://fred.stlouisfed.org/series/INDPRO</w:t>
        </w:r>
      </w:hyperlink>
      <w:r w:rsidRPr="00BF5CE2">
        <w:rPr>
          <w:rFonts w:cstheme="minorHAnsi"/>
          <w:i/>
          <w:iCs/>
          <w:color w:val="222222"/>
          <w:sz w:val="16"/>
          <w:szCs w:val="16"/>
          <w:shd w:val="clear" w:color="auto" w:fill="FFFFFF"/>
        </w:rPr>
        <w:t xml:space="preserve">, </w:t>
      </w:r>
      <w:r w:rsidR="008B3726">
        <w:rPr>
          <w:rFonts w:cstheme="minorHAnsi"/>
          <w:i/>
          <w:iCs/>
          <w:color w:val="222222"/>
          <w:sz w:val="16"/>
          <w:szCs w:val="16"/>
          <w:shd w:val="clear" w:color="auto" w:fill="FFFFFF"/>
        </w:rPr>
        <w:t>Jul 28</w:t>
      </w:r>
      <w:r w:rsidR="00C36C62" w:rsidRPr="000763E1">
        <w:rPr>
          <w:rFonts w:cstheme="minorHAnsi"/>
          <w:i/>
          <w:iCs/>
          <w:color w:val="222222"/>
          <w:sz w:val="16"/>
          <w:szCs w:val="16"/>
          <w:shd w:val="clear" w:color="auto" w:fill="FFFFFF"/>
        </w:rPr>
        <w:t>, 202</w:t>
      </w:r>
      <w:r w:rsidR="00C36C62">
        <w:rPr>
          <w:rFonts w:cstheme="minorHAnsi"/>
          <w:i/>
          <w:iCs/>
          <w:color w:val="222222"/>
          <w:sz w:val="16"/>
          <w:szCs w:val="16"/>
          <w:shd w:val="clear" w:color="auto" w:fill="FFFFFF"/>
        </w:rPr>
        <w:t>3</w:t>
      </w:r>
      <w:r w:rsidRPr="00BF5CE2">
        <w:rPr>
          <w:rFonts w:cstheme="minorHAnsi"/>
          <w:i/>
          <w:iCs/>
          <w:color w:val="222222"/>
          <w:sz w:val="16"/>
          <w:szCs w:val="16"/>
          <w:shd w:val="clear" w:color="auto" w:fill="FFFFFF"/>
        </w:rPr>
        <w:t>.</w:t>
      </w:r>
    </w:p>
  </w:footnote>
  <w:footnote w:id="10">
    <w:p w14:paraId="036626D0" w14:textId="0778479C" w:rsidR="00B36811" w:rsidRPr="000763E1" w:rsidRDefault="00B36811" w:rsidP="007A05AD">
      <w:pPr>
        <w:pStyle w:val="FootnoteText"/>
        <w:rPr>
          <w:sz w:val="16"/>
          <w:szCs w:val="16"/>
        </w:rPr>
      </w:pPr>
      <w:r w:rsidRPr="000763E1">
        <w:rPr>
          <w:rStyle w:val="FootnoteReference"/>
          <w:sz w:val="16"/>
          <w:szCs w:val="16"/>
        </w:rPr>
        <w:footnoteRef/>
      </w:r>
      <w:r w:rsidRPr="000763E1">
        <w:rPr>
          <w:sz w:val="16"/>
          <w:szCs w:val="16"/>
          <w:lang w:val="en-PH"/>
        </w:rPr>
        <w:t xml:space="preserve"> Board of Governors of the Federal Reserve System (US), Capacity Utilization, Manufacturing (NAICS), </w:t>
      </w:r>
      <w:r w:rsidRPr="000763E1">
        <w:rPr>
          <w:i/>
          <w:iCs/>
          <w:sz w:val="16"/>
          <w:szCs w:val="16"/>
          <w:lang w:val="en-PH"/>
        </w:rPr>
        <w:t xml:space="preserve">retrieved from FRED, Federal Reserve Bank of St. Louis; </w:t>
      </w:r>
      <w:hyperlink r:id="rId10" w:history="1">
        <w:r w:rsidRPr="000763E1">
          <w:rPr>
            <w:rStyle w:val="Hyperlink"/>
            <w:i/>
            <w:iCs/>
            <w:sz w:val="16"/>
            <w:szCs w:val="16"/>
            <w:lang w:val="en-PH"/>
          </w:rPr>
          <w:t>https://fred.stlouisfed.org/series/MCUMFN</w:t>
        </w:r>
      </w:hyperlink>
      <w:r w:rsidRPr="000763E1">
        <w:rPr>
          <w:i/>
          <w:iCs/>
          <w:sz w:val="16"/>
          <w:szCs w:val="16"/>
          <w:lang w:val="en-PH"/>
        </w:rPr>
        <w:t xml:space="preserve">, </w:t>
      </w:r>
      <w:r w:rsidR="00A42997">
        <w:rPr>
          <w:rFonts w:cstheme="minorHAnsi"/>
          <w:i/>
          <w:iCs/>
          <w:color w:val="222222"/>
          <w:sz w:val="16"/>
          <w:szCs w:val="16"/>
          <w:shd w:val="clear" w:color="auto" w:fill="FFFFFF"/>
        </w:rPr>
        <w:t>Jul 28</w:t>
      </w:r>
      <w:r w:rsidR="00C36C62" w:rsidRPr="000763E1">
        <w:rPr>
          <w:rFonts w:cstheme="minorHAnsi"/>
          <w:i/>
          <w:iCs/>
          <w:color w:val="222222"/>
          <w:sz w:val="16"/>
          <w:szCs w:val="16"/>
          <w:shd w:val="clear" w:color="auto" w:fill="FFFFFF"/>
        </w:rPr>
        <w:t>, 202</w:t>
      </w:r>
      <w:r w:rsidR="00C36C62">
        <w:rPr>
          <w:rFonts w:cstheme="minorHAnsi"/>
          <w:i/>
          <w:iCs/>
          <w:color w:val="222222"/>
          <w:sz w:val="16"/>
          <w:szCs w:val="16"/>
          <w:shd w:val="clear" w:color="auto" w:fill="FFFFFF"/>
        </w:rPr>
        <w:t>3</w:t>
      </w:r>
      <w:r w:rsidR="006B1EB1" w:rsidRPr="000763E1">
        <w:rPr>
          <w:i/>
          <w:iCs/>
          <w:sz w:val="16"/>
          <w:szCs w:val="16"/>
          <w:lang w:val="en-PH"/>
        </w:rPr>
        <w:t>.</w:t>
      </w:r>
    </w:p>
  </w:footnote>
  <w:footnote w:id="11">
    <w:p w14:paraId="5D03BFAC" w14:textId="2923ED24" w:rsidR="00B36811" w:rsidRPr="000763E1" w:rsidRDefault="00B36811" w:rsidP="00952E0A">
      <w:pPr>
        <w:pStyle w:val="FootnoteText"/>
        <w:rPr>
          <w:rFonts w:ascii="Times New Roman" w:eastAsia="Times New Roman" w:hAnsi="Times New Roman" w:cs="Times New Roman"/>
          <w:sz w:val="16"/>
          <w:szCs w:val="16"/>
        </w:rPr>
      </w:pPr>
      <w:r w:rsidRPr="000763E1">
        <w:rPr>
          <w:rStyle w:val="FootnoteReference"/>
          <w:sz w:val="16"/>
          <w:szCs w:val="16"/>
        </w:rPr>
        <w:footnoteRef/>
      </w:r>
      <w:r w:rsidRPr="000763E1">
        <w:rPr>
          <w:sz w:val="16"/>
          <w:szCs w:val="16"/>
        </w:rPr>
        <w:t xml:space="preserve"> </w:t>
      </w:r>
      <w:r w:rsidRPr="000763E1">
        <w:rPr>
          <w:sz w:val="16"/>
          <w:szCs w:val="16"/>
          <w:lang w:val="en-PH"/>
        </w:rPr>
        <w:t xml:space="preserve">Board of Governors of the Federal Reserve System (US), Federal Funds Effective Rate [FEDFUNDS], </w:t>
      </w:r>
      <w:r w:rsidRPr="000763E1">
        <w:rPr>
          <w:i/>
          <w:iCs/>
          <w:sz w:val="16"/>
          <w:szCs w:val="16"/>
          <w:lang w:val="en-PH"/>
        </w:rPr>
        <w:t xml:space="preserve">retrieved from FRED, Federal Reserve Bank of St. Louis; </w:t>
      </w:r>
      <w:hyperlink r:id="rId11" w:history="1">
        <w:r w:rsidRPr="000763E1">
          <w:rPr>
            <w:rStyle w:val="Hyperlink"/>
            <w:i/>
            <w:iCs/>
            <w:sz w:val="16"/>
            <w:szCs w:val="16"/>
            <w:lang w:val="en-PH"/>
          </w:rPr>
          <w:t>https://fred.stlouisfed.org/series/FEDFUNDS</w:t>
        </w:r>
      </w:hyperlink>
      <w:r w:rsidRPr="000763E1">
        <w:rPr>
          <w:i/>
          <w:iCs/>
          <w:sz w:val="16"/>
          <w:szCs w:val="16"/>
          <w:lang w:val="en-PH"/>
        </w:rPr>
        <w:t xml:space="preserve">, </w:t>
      </w:r>
      <w:r w:rsidR="00FE6DD6">
        <w:rPr>
          <w:i/>
          <w:iCs/>
          <w:sz w:val="16"/>
          <w:szCs w:val="16"/>
          <w:lang w:val="en-PH"/>
        </w:rPr>
        <w:t>Jul 28</w:t>
      </w:r>
      <w:r w:rsidR="00E93558">
        <w:rPr>
          <w:i/>
          <w:iCs/>
          <w:sz w:val="16"/>
          <w:szCs w:val="16"/>
          <w:lang w:val="en-PH"/>
        </w:rPr>
        <w:t>, 2023</w:t>
      </w:r>
      <w:r w:rsidRPr="000763E1">
        <w:rPr>
          <w:i/>
          <w:iCs/>
          <w:sz w:val="16"/>
          <w:szCs w:val="16"/>
          <w:lang w:val="en-PH"/>
        </w:rPr>
        <w:t>.</w:t>
      </w:r>
    </w:p>
  </w:footnote>
  <w:footnote w:id="12">
    <w:p w14:paraId="2BE1B367" w14:textId="29628523" w:rsidR="00B36811" w:rsidRPr="00E64295" w:rsidRDefault="00B36811">
      <w:pPr>
        <w:pStyle w:val="FootnoteText"/>
        <w:rPr>
          <w:sz w:val="16"/>
          <w:szCs w:val="16"/>
        </w:rPr>
      </w:pPr>
      <w:r w:rsidRPr="000763E1">
        <w:rPr>
          <w:rStyle w:val="FootnoteReference"/>
          <w:sz w:val="16"/>
          <w:szCs w:val="16"/>
        </w:rPr>
        <w:footnoteRef/>
      </w:r>
      <w:r w:rsidRPr="000763E1">
        <w:rPr>
          <w:sz w:val="16"/>
          <w:szCs w:val="16"/>
        </w:rPr>
        <w:t xml:space="preserve"> </w:t>
      </w:r>
      <w:r w:rsidRPr="00E64295">
        <w:rPr>
          <w:sz w:val="16"/>
          <w:szCs w:val="16"/>
          <w:lang w:val="en-PH"/>
        </w:rPr>
        <w:t>Selected Interest Rates Instruments, Yields in percent per annum,</w:t>
      </w:r>
      <w:r w:rsidRPr="00E64295">
        <w:rPr>
          <w:i/>
          <w:iCs/>
          <w:sz w:val="16"/>
          <w:szCs w:val="16"/>
          <w:lang w:val="en-PH"/>
        </w:rPr>
        <w:t xml:space="preserve"> retrieved from FRED, Federal Reserve Bank of St. Louis; </w:t>
      </w:r>
      <w:hyperlink r:id="rId12" w:history="1">
        <w:r w:rsidR="00E64295">
          <w:rPr>
            <w:rStyle w:val="Hyperlink"/>
            <w:sz w:val="16"/>
            <w:szCs w:val="16"/>
          </w:rPr>
          <w:t>https://fred.stlouisfed.org/release/tables?rid=18&amp;eid=289&amp;od=2023-06-30#</w:t>
        </w:r>
      </w:hyperlink>
      <w:r w:rsidRPr="00E64295">
        <w:rPr>
          <w:i/>
          <w:iCs/>
          <w:sz w:val="16"/>
          <w:szCs w:val="16"/>
          <w:lang w:val="en-PH"/>
        </w:rPr>
        <w:t xml:space="preserve">, </w:t>
      </w:r>
      <w:r w:rsidR="00E64295">
        <w:rPr>
          <w:i/>
          <w:iCs/>
          <w:sz w:val="16"/>
          <w:szCs w:val="16"/>
          <w:lang w:val="en-PH"/>
        </w:rPr>
        <w:t>Jul 28</w:t>
      </w:r>
      <w:r w:rsidR="004C17A1" w:rsidRPr="00E64295">
        <w:rPr>
          <w:i/>
          <w:iCs/>
          <w:sz w:val="16"/>
          <w:szCs w:val="16"/>
          <w:lang w:val="en-PH"/>
        </w:rPr>
        <w:t>, 2023</w:t>
      </w:r>
      <w:r w:rsidRPr="00E64295">
        <w:rPr>
          <w:i/>
          <w:iCs/>
          <w:sz w:val="16"/>
          <w:szCs w:val="16"/>
          <w:lang w:val="en-PH"/>
        </w:rPr>
        <w:t>.</w:t>
      </w:r>
    </w:p>
  </w:footnote>
  <w:footnote w:id="13">
    <w:p w14:paraId="5D342EB9" w14:textId="772D02C3" w:rsidR="003A4C56" w:rsidRPr="00BF5CE2" w:rsidRDefault="003A4C56" w:rsidP="003A4C56">
      <w:pPr>
        <w:pStyle w:val="FootnoteText"/>
        <w:rPr>
          <w:sz w:val="16"/>
          <w:szCs w:val="16"/>
          <w:lang w:val="en-PH"/>
        </w:rPr>
      </w:pPr>
      <w:r w:rsidRPr="003A4C56">
        <w:rPr>
          <w:rStyle w:val="FootnoteReference"/>
        </w:rPr>
        <w:footnoteRef/>
      </w:r>
      <w:r w:rsidRPr="003A4C56">
        <w:t xml:space="preserve"> </w:t>
      </w:r>
      <w:r w:rsidRPr="005E1BD2">
        <w:rPr>
          <w:sz w:val="16"/>
          <w:szCs w:val="16"/>
          <w:lang w:val="en-PH"/>
        </w:rPr>
        <w:t xml:space="preserve">Board of Governors of the Federal Reserve System (US), Federal Funds Target Range - Upper Limit [DFEDTARU], </w:t>
      </w:r>
      <w:r w:rsidRPr="005E1BD2">
        <w:rPr>
          <w:i/>
          <w:iCs/>
          <w:sz w:val="16"/>
          <w:szCs w:val="16"/>
          <w:lang w:val="en-PH"/>
        </w:rPr>
        <w:t xml:space="preserve">retrieved from FRED, Federal Reserve Bank of St. Louis; </w:t>
      </w:r>
      <w:hyperlink r:id="rId13" w:history="1">
        <w:r w:rsidRPr="005E1BD2">
          <w:rPr>
            <w:rStyle w:val="Hyperlink"/>
            <w:i/>
            <w:iCs/>
            <w:sz w:val="16"/>
            <w:szCs w:val="16"/>
            <w:lang w:val="en-PH"/>
          </w:rPr>
          <w:t>https://fred.stlouisfed.org/series/DFEDTARU</w:t>
        </w:r>
      </w:hyperlink>
      <w:r w:rsidRPr="005E1BD2">
        <w:rPr>
          <w:i/>
          <w:iCs/>
          <w:sz w:val="16"/>
          <w:szCs w:val="16"/>
          <w:lang w:val="en-PH"/>
        </w:rPr>
        <w:t xml:space="preserve">, </w:t>
      </w:r>
      <w:r w:rsidR="00AA3A84">
        <w:rPr>
          <w:i/>
          <w:iCs/>
          <w:sz w:val="16"/>
          <w:szCs w:val="16"/>
          <w:lang w:val="en-PH"/>
        </w:rPr>
        <w:t>Jul 28</w:t>
      </w:r>
      <w:r w:rsidR="006A3F6C">
        <w:rPr>
          <w:i/>
          <w:iCs/>
          <w:sz w:val="16"/>
          <w:szCs w:val="16"/>
          <w:lang w:val="en-PH"/>
        </w:rPr>
        <w:t>, 2023</w:t>
      </w:r>
      <w:r w:rsidRPr="005E1BD2">
        <w:rPr>
          <w:sz w:val="16"/>
          <w:szCs w:val="16"/>
          <w:lang w:val="en-PH"/>
        </w:rPr>
        <w:t>.</w:t>
      </w:r>
    </w:p>
  </w:footnote>
  <w:footnote w:id="14">
    <w:p w14:paraId="5D92A033" w14:textId="2AC50D0B" w:rsidR="00B36811" w:rsidRPr="004759DB" w:rsidRDefault="00B36811">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Board of Governors of the Federal Reserve System (US), 10-Year Treasury Constant Maturity Rate [DGS10],</w:t>
      </w:r>
      <w:r w:rsidRPr="00BF5CE2">
        <w:rPr>
          <w:rFonts w:cstheme="minorHAnsi"/>
          <w:i/>
          <w:iCs/>
          <w:color w:val="222222"/>
          <w:sz w:val="16"/>
          <w:szCs w:val="16"/>
          <w:shd w:val="clear" w:color="auto" w:fill="FFFFFF"/>
        </w:rPr>
        <w:t xml:space="preserve"> retrieved from FRED, Federal Reserve Bank of St. Louis; </w:t>
      </w:r>
      <w:hyperlink r:id="rId14" w:history="1">
        <w:r w:rsidRPr="00BF5CE2">
          <w:rPr>
            <w:rStyle w:val="Hyperlink"/>
            <w:rFonts w:cstheme="minorHAnsi"/>
            <w:i/>
            <w:iCs/>
            <w:sz w:val="16"/>
            <w:szCs w:val="16"/>
            <w:shd w:val="clear" w:color="auto" w:fill="FFFFFF"/>
          </w:rPr>
          <w:t>https://fred.stlouisfed.org/series/DGS10</w:t>
        </w:r>
      </w:hyperlink>
      <w:r w:rsidRPr="00BF5CE2">
        <w:rPr>
          <w:rFonts w:cstheme="minorHAnsi"/>
          <w:i/>
          <w:iCs/>
          <w:color w:val="222222"/>
          <w:sz w:val="16"/>
          <w:szCs w:val="16"/>
          <w:shd w:val="clear" w:color="auto" w:fill="FFFFFF"/>
        </w:rPr>
        <w:t xml:space="preserve">, </w:t>
      </w:r>
      <w:r w:rsidR="00742ADB">
        <w:rPr>
          <w:rFonts w:cstheme="minorHAnsi"/>
          <w:i/>
          <w:iCs/>
          <w:color w:val="222222"/>
          <w:sz w:val="16"/>
          <w:szCs w:val="16"/>
          <w:shd w:val="clear" w:color="auto" w:fill="FFFFFF"/>
        </w:rPr>
        <w:t>Jul 28</w:t>
      </w:r>
      <w:r w:rsidR="009D6A5D">
        <w:rPr>
          <w:rFonts w:cstheme="minorHAnsi"/>
          <w:i/>
          <w:iCs/>
          <w:color w:val="222222"/>
          <w:sz w:val="16"/>
          <w:szCs w:val="16"/>
          <w:shd w:val="clear" w:color="auto" w:fill="FFFFFF"/>
        </w:rPr>
        <w:t>, 2023</w:t>
      </w:r>
      <w:r w:rsidRPr="00BF5CE2">
        <w:rPr>
          <w:rFonts w:cstheme="minorHAnsi"/>
          <w:i/>
          <w:iCs/>
          <w:color w:val="222222"/>
          <w:sz w:val="16"/>
          <w:szCs w:val="16"/>
          <w:shd w:val="clear" w:color="auto" w:fill="FFFFFF"/>
        </w:rPr>
        <w:t>.</w:t>
      </w:r>
    </w:p>
  </w:footnote>
  <w:footnote w:id="15">
    <w:p w14:paraId="29E4EDD1" w14:textId="16466B69" w:rsidR="00B36811" w:rsidRPr="00BF5CE2" w:rsidRDefault="00B36811">
      <w:pPr>
        <w:pStyle w:val="FootnoteText"/>
        <w:rPr>
          <w:sz w:val="16"/>
          <w:szCs w:val="16"/>
          <w:lang w:val="en-PH"/>
        </w:rPr>
      </w:pPr>
      <w:r w:rsidRPr="00BF5CE2">
        <w:rPr>
          <w:rStyle w:val="FootnoteReference"/>
          <w:sz w:val="16"/>
          <w:szCs w:val="16"/>
        </w:rPr>
        <w:footnoteRef/>
      </w:r>
      <w:r w:rsidRPr="00BF5CE2">
        <w:rPr>
          <w:sz w:val="16"/>
          <w:szCs w:val="16"/>
        </w:rPr>
        <w:t xml:space="preserve"> </w:t>
      </w:r>
      <w:r w:rsidR="00263EBD" w:rsidRPr="00263EBD">
        <w:rPr>
          <w:sz w:val="16"/>
          <w:szCs w:val="16"/>
          <w:lang w:val="en-PH"/>
        </w:rPr>
        <w:t xml:space="preserve">Moody’s, Moody's Seasoned Baa Corporate Bond Yield [DBAA], </w:t>
      </w:r>
      <w:r w:rsidR="00263EBD" w:rsidRPr="00263EBD">
        <w:rPr>
          <w:i/>
          <w:iCs/>
          <w:sz w:val="16"/>
          <w:szCs w:val="16"/>
          <w:lang w:val="en-PH"/>
        </w:rPr>
        <w:t xml:space="preserve">retrieved from FRED, Federal Reserve Bank of St. Louis; </w:t>
      </w:r>
      <w:hyperlink r:id="rId15" w:history="1">
        <w:r w:rsidR="00263EBD" w:rsidRPr="00263EBD">
          <w:rPr>
            <w:rStyle w:val="Hyperlink"/>
            <w:i/>
            <w:iCs/>
            <w:sz w:val="16"/>
            <w:szCs w:val="16"/>
            <w:lang w:val="en-PH"/>
          </w:rPr>
          <w:t>https://fred.stlouisfed.org/series/DBAA</w:t>
        </w:r>
      </w:hyperlink>
      <w:r w:rsidR="00263EBD" w:rsidRPr="00263EBD">
        <w:rPr>
          <w:i/>
          <w:iCs/>
          <w:sz w:val="16"/>
          <w:szCs w:val="16"/>
          <w:lang w:val="en-PH"/>
        </w:rPr>
        <w:t xml:space="preserve">, </w:t>
      </w:r>
      <w:r w:rsidR="00742ADB">
        <w:rPr>
          <w:i/>
          <w:iCs/>
          <w:sz w:val="16"/>
          <w:szCs w:val="16"/>
          <w:lang w:val="en-PH"/>
        </w:rPr>
        <w:t>Jul 28</w:t>
      </w:r>
      <w:r w:rsidR="00E75EC5">
        <w:rPr>
          <w:i/>
          <w:iCs/>
          <w:sz w:val="16"/>
          <w:szCs w:val="16"/>
          <w:lang w:val="en-PH"/>
        </w:rPr>
        <w:t>, 2023</w:t>
      </w:r>
      <w:r w:rsidR="00263EBD" w:rsidRPr="00263EBD">
        <w:rPr>
          <w:i/>
          <w:iCs/>
          <w:sz w:val="16"/>
          <w:szCs w:val="16"/>
          <w:lang w:val="en-PH"/>
        </w:rPr>
        <w:t>.</w:t>
      </w:r>
    </w:p>
  </w:footnote>
  <w:footnote w:id="16">
    <w:p w14:paraId="6012CE06" w14:textId="72731AC7" w:rsidR="00B36811" w:rsidRPr="00263EBD" w:rsidRDefault="00B36811">
      <w:pPr>
        <w:pStyle w:val="FootnoteText"/>
        <w:rPr>
          <w:i/>
          <w:iCs/>
        </w:rPr>
      </w:pPr>
      <w:r w:rsidRPr="009D42AA">
        <w:rPr>
          <w:rStyle w:val="FootnoteReference"/>
          <w:sz w:val="16"/>
          <w:szCs w:val="16"/>
        </w:rPr>
        <w:footnoteRef/>
      </w:r>
      <w:r w:rsidRPr="009D42AA">
        <w:rPr>
          <w:rStyle w:val="FootnoteReference"/>
          <w:sz w:val="16"/>
          <w:szCs w:val="16"/>
        </w:rPr>
        <w:t xml:space="preserve"> </w:t>
      </w:r>
      <w:r w:rsidR="00263EBD" w:rsidRPr="00263EBD">
        <w:rPr>
          <w:sz w:val="16"/>
          <w:szCs w:val="16"/>
          <w:lang w:val="en-PH"/>
        </w:rPr>
        <w:t xml:space="preserve">Moody’s, Moody's Seasoned </w:t>
      </w:r>
      <w:proofErr w:type="spellStart"/>
      <w:r w:rsidR="00263EBD" w:rsidRPr="00263EBD">
        <w:rPr>
          <w:sz w:val="16"/>
          <w:szCs w:val="16"/>
          <w:lang w:val="en-PH"/>
        </w:rPr>
        <w:t>Aaa</w:t>
      </w:r>
      <w:proofErr w:type="spellEnd"/>
      <w:r w:rsidR="00263EBD" w:rsidRPr="00263EBD">
        <w:rPr>
          <w:sz w:val="16"/>
          <w:szCs w:val="16"/>
          <w:lang w:val="en-PH"/>
        </w:rPr>
        <w:t xml:space="preserve"> Corporate Bond Yield [DAAA], </w:t>
      </w:r>
      <w:r w:rsidR="00263EBD" w:rsidRPr="00263EBD">
        <w:rPr>
          <w:i/>
          <w:iCs/>
          <w:sz w:val="16"/>
          <w:szCs w:val="16"/>
          <w:lang w:val="en-PH"/>
        </w:rPr>
        <w:t xml:space="preserve">retrieved from FRED, Federal Reserve Bank of St. Louis; </w:t>
      </w:r>
      <w:hyperlink r:id="rId16" w:history="1">
        <w:r w:rsidR="00263EBD" w:rsidRPr="00263EBD">
          <w:rPr>
            <w:rStyle w:val="Hyperlink"/>
            <w:i/>
            <w:iCs/>
            <w:sz w:val="16"/>
            <w:szCs w:val="16"/>
            <w:lang w:val="en-PH"/>
          </w:rPr>
          <w:t>https://fred.stlouisfed.org/series/DAAA</w:t>
        </w:r>
      </w:hyperlink>
      <w:r w:rsidR="00263EBD" w:rsidRPr="00263EBD">
        <w:rPr>
          <w:i/>
          <w:iCs/>
          <w:sz w:val="16"/>
          <w:szCs w:val="16"/>
          <w:lang w:val="en-PH"/>
        </w:rPr>
        <w:t xml:space="preserve">, </w:t>
      </w:r>
      <w:r w:rsidR="00742ADB">
        <w:rPr>
          <w:i/>
          <w:iCs/>
          <w:sz w:val="16"/>
          <w:szCs w:val="16"/>
          <w:lang w:val="en-PH"/>
        </w:rPr>
        <w:t>Jul 28</w:t>
      </w:r>
      <w:r w:rsidR="00E75EC5">
        <w:rPr>
          <w:i/>
          <w:iCs/>
          <w:sz w:val="16"/>
          <w:szCs w:val="16"/>
          <w:lang w:val="en-PH"/>
        </w:rPr>
        <w:t>, 2023</w:t>
      </w:r>
      <w:r w:rsidR="00263EBD" w:rsidRPr="00263EBD">
        <w:rPr>
          <w:i/>
          <w:iCs/>
          <w:sz w:val="16"/>
          <w:szCs w:val="16"/>
          <w:lang w:val="en-PH"/>
        </w:rPr>
        <w:t>.</w:t>
      </w:r>
    </w:p>
  </w:footnote>
  <w:footnote w:id="17">
    <w:p w14:paraId="66B25A11" w14:textId="3A33AEF5" w:rsidR="00B36811" w:rsidRDefault="00B36811">
      <w:pPr>
        <w:pStyle w:val="FootnoteText"/>
      </w:pPr>
      <w:r>
        <w:rPr>
          <w:rStyle w:val="FootnoteReference"/>
        </w:rPr>
        <w:footnoteRef/>
      </w:r>
      <w:r>
        <w:t xml:space="preserve"> </w:t>
      </w:r>
      <w:r w:rsidRPr="00BF5CE2">
        <w:rPr>
          <w:sz w:val="16"/>
          <w:szCs w:val="16"/>
          <w:lang w:val="en-PH"/>
        </w:rPr>
        <w:t>U.S. Bureau of Labor Statistics, Civilian Unemployment Rate [UNRATE],</w:t>
      </w:r>
      <w:r w:rsidRPr="00BF5CE2">
        <w:rPr>
          <w:rFonts w:cstheme="minorHAnsi"/>
          <w:i/>
          <w:iCs/>
          <w:color w:val="222222"/>
          <w:sz w:val="16"/>
          <w:szCs w:val="16"/>
          <w:shd w:val="clear" w:color="auto" w:fill="FFFFFF"/>
        </w:rPr>
        <w:t xml:space="preserve"> retrieved from FRED, Federal Reserve Bank of St. Louis; </w:t>
      </w:r>
      <w:hyperlink r:id="rId17" w:history="1">
        <w:r w:rsidRPr="00BF5CE2">
          <w:rPr>
            <w:rStyle w:val="Hyperlink"/>
            <w:rFonts w:cstheme="minorHAnsi"/>
            <w:i/>
            <w:iCs/>
            <w:sz w:val="16"/>
            <w:szCs w:val="16"/>
            <w:shd w:val="clear" w:color="auto" w:fill="FFFFFF"/>
          </w:rPr>
          <w:t>https://fred.stlouisfed.org/series/UNRATE</w:t>
        </w:r>
      </w:hyperlink>
      <w:r w:rsidRPr="00BF5CE2">
        <w:rPr>
          <w:rFonts w:cstheme="minorHAnsi"/>
          <w:i/>
          <w:iCs/>
          <w:color w:val="222222"/>
          <w:sz w:val="16"/>
          <w:szCs w:val="16"/>
          <w:shd w:val="clear" w:color="auto" w:fill="FFFFFF"/>
        </w:rPr>
        <w:t xml:space="preserve">, </w:t>
      </w:r>
      <w:r w:rsidR="000D2357">
        <w:rPr>
          <w:rFonts w:cstheme="minorHAnsi"/>
          <w:i/>
          <w:iCs/>
          <w:color w:val="222222"/>
          <w:sz w:val="16"/>
          <w:szCs w:val="16"/>
          <w:shd w:val="clear" w:color="auto" w:fill="FFFFFF"/>
        </w:rPr>
        <w:t>Jul 28</w:t>
      </w:r>
      <w:r w:rsidR="001B4D24">
        <w:rPr>
          <w:rFonts w:cstheme="minorHAnsi"/>
          <w:i/>
          <w:iCs/>
          <w:color w:val="222222"/>
          <w:sz w:val="16"/>
          <w:szCs w:val="16"/>
          <w:shd w:val="clear" w:color="auto" w:fill="FFFFFF"/>
        </w:rPr>
        <w:t>, 2023</w:t>
      </w:r>
      <w:r w:rsidRPr="00BF5CE2">
        <w:rPr>
          <w:rFonts w:cstheme="minorHAnsi"/>
          <w:i/>
          <w:iCs/>
          <w:color w:val="222222"/>
          <w:sz w:val="16"/>
          <w:szCs w:val="16"/>
          <w:shd w:val="clear" w:color="auto" w:fill="FFFFFF"/>
        </w:rPr>
        <w:t>.</w:t>
      </w:r>
    </w:p>
  </w:footnote>
  <w:footnote w:id="18">
    <w:p w14:paraId="72ADA4A0" w14:textId="0FAC94D7" w:rsidR="007B4191" w:rsidRPr="007B4191" w:rsidRDefault="007B4191">
      <w:pPr>
        <w:pStyle w:val="FootnoteText"/>
        <w:rPr>
          <w:sz w:val="16"/>
          <w:szCs w:val="16"/>
        </w:rPr>
      </w:pPr>
      <w:r>
        <w:rPr>
          <w:rStyle w:val="FootnoteReference"/>
        </w:rPr>
        <w:footnoteRef/>
      </w:r>
      <w:r>
        <w:t xml:space="preserve"> </w:t>
      </w:r>
      <w:r w:rsidRPr="000D2357">
        <w:rPr>
          <w:sz w:val="16"/>
          <w:szCs w:val="16"/>
        </w:rPr>
        <w:t xml:space="preserve">U.S. Bureau of Labor Statistics, Civilian Labor Force Level [CLF16OV], </w:t>
      </w:r>
      <w:r w:rsidRPr="000D2357">
        <w:rPr>
          <w:i/>
          <w:iCs/>
          <w:sz w:val="16"/>
          <w:szCs w:val="16"/>
        </w:rPr>
        <w:t xml:space="preserve">retrieved from FRED, Federal Reserve Bank of St. Louis; </w:t>
      </w:r>
      <w:hyperlink r:id="rId18" w:history="1">
        <w:r w:rsidRPr="000D2357">
          <w:rPr>
            <w:rStyle w:val="Hyperlink"/>
            <w:i/>
            <w:iCs/>
            <w:sz w:val="16"/>
            <w:szCs w:val="16"/>
          </w:rPr>
          <w:t>https://fred.stlouisfed.org/series/CLF16OV</w:t>
        </w:r>
      </w:hyperlink>
      <w:r w:rsidRPr="000D2357">
        <w:rPr>
          <w:i/>
          <w:iCs/>
          <w:sz w:val="16"/>
          <w:szCs w:val="16"/>
        </w:rPr>
        <w:t xml:space="preserve">, </w:t>
      </w:r>
      <w:r w:rsidR="000D2357" w:rsidRPr="000D2357">
        <w:rPr>
          <w:rFonts w:cstheme="minorHAnsi"/>
          <w:i/>
          <w:iCs/>
          <w:color w:val="222222"/>
          <w:sz w:val="16"/>
          <w:szCs w:val="16"/>
          <w:shd w:val="clear" w:color="auto" w:fill="FFFFFF"/>
        </w:rPr>
        <w:t>Jul 28</w:t>
      </w:r>
      <w:r w:rsidR="001B4D24" w:rsidRPr="000D2357">
        <w:rPr>
          <w:rFonts w:cstheme="minorHAnsi"/>
          <w:i/>
          <w:iCs/>
          <w:color w:val="222222"/>
          <w:sz w:val="16"/>
          <w:szCs w:val="16"/>
          <w:shd w:val="clear" w:color="auto" w:fill="FFFFFF"/>
        </w:rPr>
        <w:t>, 2023</w:t>
      </w:r>
      <w:r w:rsidRPr="000D2357">
        <w:rPr>
          <w:i/>
          <w:iCs/>
          <w:sz w:val="16"/>
          <w:szCs w:val="16"/>
        </w:rPr>
        <w:t>.</w:t>
      </w:r>
    </w:p>
  </w:footnote>
  <w:footnote w:id="19">
    <w:p w14:paraId="0E3463A9" w14:textId="2E8900F6" w:rsidR="006859BA" w:rsidRPr="006859BA" w:rsidRDefault="006859BA" w:rsidP="000D2357">
      <w:pPr>
        <w:pStyle w:val="FootnoteText"/>
        <w:rPr>
          <w:i/>
          <w:iCs/>
        </w:rPr>
      </w:pPr>
      <w:r>
        <w:rPr>
          <w:rStyle w:val="FootnoteReference"/>
        </w:rPr>
        <w:footnoteRef/>
      </w:r>
      <w:r>
        <w:t xml:space="preserve"> </w:t>
      </w:r>
      <w:r w:rsidRPr="006859BA">
        <w:rPr>
          <w:sz w:val="16"/>
          <w:szCs w:val="16"/>
        </w:rPr>
        <w:t xml:space="preserve">U.S. Bureau of Labor Statistics, Labor Force Participation Rate [CIVPART], </w:t>
      </w:r>
      <w:r w:rsidRPr="006859BA">
        <w:rPr>
          <w:i/>
          <w:iCs/>
          <w:sz w:val="16"/>
          <w:szCs w:val="16"/>
        </w:rPr>
        <w:t xml:space="preserve">retrieved from FRED, Federal Reserve Bank of St. Louis; </w:t>
      </w:r>
      <w:hyperlink r:id="rId19" w:history="1">
        <w:r w:rsidRPr="006859BA">
          <w:rPr>
            <w:rStyle w:val="Hyperlink"/>
            <w:i/>
            <w:iCs/>
            <w:sz w:val="16"/>
            <w:szCs w:val="16"/>
          </w:rPr>
          <w:t>https://fred.stlouisfed.org/series/CIVPART</w:t>
        </w:r>
      </w:hyperlink>
      <w:r w:rsidRPr="006859BA">
        <w:rPr>
          <w:i/>
          <w:iCs/>
          <w:sz w:val="16"/>
          <w:szCs w:val="16"/>
        </w:rPr>
        <w:t xml:space="preserve">, </w:t>
      </w:r>
      <w:r w:rsidR="000D2357">
        <w:rPr>
          <w:rFonts w:cstheme="minorHAnsi"/>
          <w:i/>
          <w:iCs/>
          <w:color w:val="222222"/>
          <w:sz w:val="16"/>
          <w:szCs w:val="16"/>
          <w:shd w:val="clear" w:color="auto" w:fill="FFFFFF"/>
        </w:rPr>
        <w:t>Jul 28</w:t>
      </w:r>
      <w:r w:rsidR="001B4D24">
        <w:rPr>
          <w:rFonts w:cstheme="minorHAnsi"/>
          <w:i/>
          <w:iCs/>
          <w:color w:val="222222"/>
          <w:sz w:val="16"/>
          <w:szCs w:val="16"/>
          <w:shd w:val="clear" w:color="auto" w:fill="FFFFFF"/>
        </w:rPr>
        <w:t>, 2023</w:t>
      </w:r>
      <w:r w:rsidRPr="006859BA">
        <w:rPr>
          <w:i/>
          <w:iCs/>
          <w:sz w:val="16"/>
          <w:szCs w:val="16"/>
        </w:rPr>
        <w:t>.</w:t>
      </w:r>
    </w:p>
  </w:footnote>
  <w:footnote w:id="20">
    <w:p w14:paraId="6C60FCE5" w14:textId="63D045B5" w:rsidR="00D029B3" w:rsidRPr="00D029B3" w:rsidRDefault="00D029B3">
      <w:pPr>
        <w:pStyle w:val="FootnoteText"/>
        <w:rPr>
          <w:sz w:val="16"/>
          <w:szCs w:val="16"/>
        </w:rPr>
      </w:pPr>
      <w:r>
        <w:rPr>
          <w:rStyle w:val="FootnoteReference"/>
        </w:rPr>
        <w:footnoteRef/>
      </w:r>
      <w:r>
        <w:t xml:space="preserve"> </w:t>
      </w:r>
      <w:r w:rsidRPr="00D029B3">
        <w:rPr>
          <w:sz w:val="16"/>
          <w:szCs w:val="16"/>
        </w:rPr>
        <w:t xml:space="preserve">U.S. Bureau of Labor Statistics, </w:t>
      </w:r>
      <w:proofErr w:type="gramStart"/>
      <w:r w:rsidRPr="00D029B3">
        <w:rPr>
          <w:sz w:val="16"/>
          <w:szCs w:val="16"/>
        </w:rPr>
        <w:t>Quits</w:t>
      </w:r>
      <w:proofErr w:type="gramEnd"/>
      <w:r w:rsidRPr="00D029B3">
        <w:rPr>
          <w:sz w:val="16"/>
          <w:szCs w:val="16"/>
        </w:rPr>
        <w:t xml:space="preserve">: Total Nonfarm [JTSQUL], </w:t>
      </w:r>
      <w:r w:rsidRPr="00D029B3">
        <w:rPr>
          <w:i/>
          <w:iCs/>
          <w:sz w:val="16"/>
          <w:szCs w:val="16"/>
        </w:rPr>
        <w:t xml:space="preserve">retrieved from FRED, Federal Reserve Bank of St. Louis; </w:t>
      </w:r>
      <w:hyperlink r:id="rId20" w:history="1">
        <w:r w:rsidRPr="00D029B3">
          <w:rPr>
            <w:rStyle w:val="Hyperlink"/>
            <w:i/>
            <w:iCs/>
            <w:sz w:val="16"/>
            <w:szCs w:val="16"/>
          </w:rPr>
          <w:t>https://fred.stlouisfed.org/series/JTSQUL</w:t>
        </w:r>
      </w:hyperlink>
      <w:r w:rsidRPr="00D029B3">
        <w:rPr>
          <w:i/>
          <w:iCs/>
          <w:sz w:val="16"/>
          <w:szCs w:val="16"/>
        </w:rPr>
        <w:t xml:space="preserve">, </w:t>
      </w:r>
      <w:r w:rsidR="00611F45">
        <w:rPr>
          <w:rFonts w:cstheme="minorHAnsi"/>
          <w:i/>
          <w:iCs/>
          <w:color w:val="222222"/>
          <w:sz w:val="16"/>
          <w:szCs w:val="16"/>
          <w:shd w:val="clear" w:color="auto" w:fill="FFFFFF"/>
        </w:rPr>
        <w:t>Jul 28</w:t>
      </w:r>
      <w:r w:rsidR="00A74430">
        <w:rPr>
          <w:rFonts w:cstheme="minorHAnsi"/>
          <w:i/>
          <w:iCs/>
          <w:color w:val="222222"/>
          <w:sz w:val="16"/>
          <w:szCs w:val="16"/>
          <w:shd w:val="clear" w:color="auto" w:fill="FFFFFF"/>
        </w:rPr>
        <w:t>, 2023</w:t>
      </w:r>
      <w:r w:rsidR="00A74430" w:rsidRPr="006859BA">
        <w:rPr>
          <w:i/>
          <w:iCs/>
          <w:sz w:val="16"/>
          <w:szCs w:val="16"/>
        </w:rPr>
        <w:t>.</w:t>
      </w:r>
    </w:p>
  </w:footnote>
  <w:footnote w:id="21">
    <w:p w14:paraId="646109C7" w14:textId="3BE46BD0" w:rsidR="007A4A4B" w:rsidRDefault="007A4A4B">
      <w:pPr>
        <w:pStyle w:val="FootnoteText"/>
      </w:pPr>
      <w:r>
        <w:rPr>
          <w:rStyle w:val="FootnoteReference"/>
        </w:rPr>
        <w:footnoteRef/>
      </w:r>
      <w:r>
        <w:t xml:space="preserve"> </w:t>
      </w:r>
      <w:r w:rsidRPr="007A4A4B">
        <w:rPr>
          <w:sz w:val="16"/>
          <w:szCs w:val="16"/>
        </w:rPr>
        <w:t xml:space="preserve">U.S. Bureau of Labor Statistics, Job Openings: Total Nonfarm [JTSJOL], </w:t>
      </w:r>
      <w:r w:rsidRPr="007A4A4B">
        <w:rPr>
          <w:i/>
          <w:iCs/>
          <w:sz w:val="16"/>
          <w:szCs w:val="16"/>
        </w:rPr>
        <w:t xml:space="preserve">retrieved from FRED, Federal Reserve Bank of St. Louis; </w:t>
      </w:r>
      <w:hyperlink r:id="rId21" w:history="1">
        <w:r w:rsidRPr="00CD6686">
          <w:rPr>
            <w:rStyle w:val="Hyperlink"/>
            <w:i/>
            <w:iCs/>
            <w:sz w:val="16"/>
            <w:szCs w:val="16"/>
          </w:rPr>
          <w:t>https://fred.stlouisfed.org/series/JTSJOL</w:t>
        </w:r>
      </w:hyperlink>
      <w:r w:rsidRPr="007A4A4B">
        <w:rPr>
          <w:i/>
          <w:iCs/>
          <w:sz w:val="16"/>
          <w:szCs w:val="16"/>
        </w:rPr>
        <w:t xml:space="preserve">, </w:t>
      </w:r>
      <w:r w:rsidR="00611F45">
        <w:rPr>
          <w:rFonts w:cstheme="minorHAnsi"/>
          <w:i/>
          <w:iCs/>
          <w:color w:val="222222"/>
          <w:sz w:val="16"/>
          <w:szCs w:val="16"/>
          <w:shd w:val="clear" w:color="auto" w:fill="FFFFFF"/>
        </w:rPr>
        <w:t>Jul 28</w:t>
      </w:r>
      <w:r w:rsidR="001C2553">
        <w:rPr>
          <w:rFonts w:cstheme="minorHAnsi"/>
          <w:i/>
          <w:iCs/>
          <w:color w:val="222222"/>
          <w:sz w:val="16"/>
          <w:szCs w:val="16"/>
          <w:shd w:val="clear" w:color="auto" w:fill="FFFFFF"/>
        </w:rPr>
        <w:t>, 2023</w:t>
      </w:r>
      <w:r>
        <w:rPr>
          <w:i/>
          <w:iCs/>
          <w:sz w:val="16"/>
          <w:szCs w:val="16"/>
        </w:rPr>
        <w:t>.</w:t>
      </w:r>
    </w:p>
  </w:footnote>
  <w:footnote w:id="22">
    <w:p w14:paraId="181B2D4A" w14:textId="4CBD0698" w:rsidR="00B36811" w:rsidRDefault="00B36811">
      <w:pPr>
        <w:pStyle w:val="FootnoteText"/>
      </w:pPr>
      <w:r>
        <w:rPr>
          <w:rStyle w:val="FootnoteReference"/>
        </w:rPr>
        <w:footnoteRef/>
      </w:r>
      <w:r>
        <w:t xml:space="preserve"> </w:t>
      </w:r>
      <w:r w:rsidRPr="00BF5CE2">
        <w:rPr>
          <w:sz w:val="16"/>
          <w:szCs w:val="16"/>
          <w:lang w:val="en-PH"/>
        </w:rPr>
        <w:t>U.S. Bureau of Labor Statistics</w:t>
      </w:r>
      <w:r w:rsidRPr="009D7CB0">
        <w:t xml:space="preserve"> </w:t>
      </w:r>
      <w:r w:rsidRPr="009D7CB0">
        <w:rPr>
          <w:sz w:val="16"/>
          <w:szCs w:val="16"/>
          <w:lang w:val="en-PH"/>
        </w:rPr>
        <w:t xml:space="preserve">Total Unemployed, Plus All Persons Marginally Attached to the Labor Force, Plus Total Employed Part Time for Economic Reasons, as a Percent of the Civilian Labor Force Plus All Persons Marginally Attached to the Labor Force (U-6) </w:t>
      </w:r>
      <w:r>
        <w:rPr>
          <w:sz w:val="16"/>
          <w:szCs w:val="16"/>
          <w:lang w:val="en-PH"/>
        </w:rPr>
        <w:t>[</w:t>
      </w:r>
      <w:r w:rsidRPr="009D7CB0">
        <w:rPr>
          <w:sz w:val="16"/>
          <w:szCs w:val="16"/>
          <w:lang w:val="en-PH"/>
        </w:rPr>
        <w:t>U6RATE</w:t>
      </w:r>
      <w:r>
        <w:rPr>
          <w:sz w:val="16"/>
          <w:szCs w:val="16"/>
          <w:lang w:val="en-PH"/>
        </w:rPr>
        <w:t>]</w:t>
      </w:r>
      <w:r w:rsidRPr="00BF5CE2">
        <w:rPr>
          <w:sz w:val="16"/>
          <w:szCs w:val="16"/>
          <w:lang w:val="en-PH"/>
        </w:rPr>
        <w:t>,</w:t>
      </w:r>
      <w:r w:rsidRPr="00BF5CE2">
        <w:rPr>
          <w:rFonts w:cstheme="minorHAnsi"/>
          <w:i/>
          <w:iCs/>
          <w:color w:val="222222"/>
          <w:sz w:val="16"/>
          <w:szCs w:val="16"/>
          <w:shd w:val="clear" w:color="auto" w:fill="FFFFFF"/>
        </w:rPr>
        <w:t xml:space="preserve"> retrieved from FRED, Federal Reserve Bank of St. Louis; </w:t>
      </w:r>
      <w:hyperlink r:id="rId22" w:history="1">
        <w:r w:rsidRPr="00D541A5">
          <w:rPr>
            <w:rStyle w:val="Hyperlink"/>
            <w:rFonts w:cstheme="minorHAnsi"/>
            <w:i/>
            <w:iCs/>
            <w:sz w:val="16"/>
            <w:szCs w:val="16"/>
            <w:shd w:val="clear" w:color="auto" w:fill="FFFFFF"/>
          </w:rPr>
          <w:t>https://fred.stlouisfed.org/series/U6RATE</w:t>
        </w:r>
      </w:hyperlink>
      <w:r w:rsidRPr="00BF5CE2">
        <w:rPr>
          <w:rFonts w:cstheme="minorHAnsi"/>
          <w:i/>
          <w:iCs/>
          <w:color w:val="222222"/>
          <w:sz w:val="16"/>
          <w:szCs w:val="16"/>
          <w:shd w:val="clear" w:color="auto" w:fill="FFFFFF"/>
        </w:rPr>
        <w:t xml:space="preserve">, </w:t>
      </w:r>
      <w:r w:rsidR="007E4EA0">
        <w:rPr>
          <w:rFonts w:cstheme="minorHAnsi"/>
          <w:i/>
          <w:iCs/>
          <w:color w:val="222222"/>
          <w:sz w:val="16"/>
          <w:szCs w:val="16"/>
          <w:shd w:val="clear" w:color="auto" w:fill="FFFFFF"/>
        </w:rPr>
        <w:t>Jul 28</w:t>
      </w:r>
      <w:r w:rsidR="001C2553">
        <w:rPr>
          <w:rFonts w:cstheme="minorHAnsi"/>
          <w:i/>
          <w:iCs/>
          <w:color w:val="222222"/>
          <w:sz w:val="16"/>
          <w:szCs w:val="16"/>
          <w:shd w:val="clear" w:color="auto" w:fill="FFFFFF"/>
        </w:rPr>
        <w:t>, 2023</w:t>
      </w:r>
      <w:r w:rsidRPr="00BF5CE2">
        <w:rPr>
          <w:rFonts w:cstheme="minorHAnsi"/>
          <w:i/>
          <w:iCs/>
          <w:color w:val="222222"/>
          <w:sz w:val="16"/>
          <w:szCs w:val="16"/>
          <w:shd w:val="clear" w:color="auto" w:fill="FFFFFF"/>
        </w:rPr>
        <w:t>.</w:t>
      </w:r>
    </w:p>
  </w:footnote>
  <w:footnote w:id="23">
    <w:p w14:paraId="041DBB1A" w14:textId="32B13356" w:rsidR="00B36811" w:rsidRDefault="00B36811">
      <w:pPr>
        <w:pStyle w:val="FootnoteText"/>
      </w:pPr>
      <w:r>
        <w:rPr>
          <w:rStyle w:val="FootnoteReference"/>
        </w:rPr>
        <w:footnoteRef/>
      </w:r>
      <w:r>
        <w:t xml:space="preserve"> </w:t>
      </w:r>
      <w:r w:rsidRPr="00BF5CE2">
        <w:rPr>
          <w:sz w:val="16"/>
          <w:szCs w:val="16"/>
          <w:lang w:val="en-PH"/>
        </w:rPr>
        <w:t>U.S. Bureau of Labor Statistics, All Employees: Total Nonfarm Payrolls [PAYEMS],</w:t>
      </w:r>
      <w:r w:rsidRPr="00BF5CE2">
        <w:rPr>
          <w:rFonts w:cstheme="minorHAnsi"/>
          <w:i/>
          <w:iCs/>
          <w:color w:val="222222"/>
          <w:sz w:val="16"/>
          <w:szCs w:val="16"/>
          <w:shd w:val="clear" w:color="auto" w:fill="FFFFFF"/>
        </w:rPr>
        <w:t xml:space="preserve"> </w:t>
      </w:r>
      <w:r w:rsidRPr="002024E2">
        <w:rPr>
          <w:rFonts w:cstheme="minorHAnsi"/>
          <w:i/>
          <w:iCs/>
          <w:color w:val="222222"/>
          <w:sz w:val="16"/>
          <w:szCs w:val="16"/>
          <w:shd w:val="clear" w:color="auto" w:fill="FFFFFF"/>
        </w:rPr>
        <w:t>retrieved from FRED, Federal Reserve Bank of St. Louis; </w:t>
      </w:r>
      <w:hyperlink r:id="rId23" w:history="1">
        <w:r w:rsidRPr="002024E2">
          <w:rPr>
            <w:rStyle w:val="Hyperlink"/>
            <w:rFonts w:cstheme="minorHAnsi"/>
            <w:i/>
            <w:iCs/>
            <w:sz w:val="16"/>
            <w:szCs w:val="16"/>
            <w:shd w:val="clear" w:color="auto" w:fill="FFFFFF"/>
          </w:rPr>
          <w:t>https://fred.stlouisfed.org/series/PAYEMS</w:t>
        </w:r>
      </w:hyperlink>
      <w:r w:rsidRPr="002024E2">
        <w:rPr>
          <w:rFonts w:cstheme="minorHAnsi"/>
          <w:i/>
          <w:iCs/>
          <w:color w:val="222222"/>
          <w:sz w:val="16"/>
          <w:szCs w:val="16"/>
          <w:shd w:val="clear" w:color="auto" w:fill="FFFFFF"/>
        </w:rPr>
        <w:t xml:space="preserve">, </w:t>
      </w:r>
      <w:r w:rsidR="007E4EA0">
        <w:rPr>
          <w:rFonts w:cstheme="minorHAnsi"/>
          <w:i/>
          <w:iCs/>
          <w:color w:val="222222"/>
          <w:sz w:val="16"/>
          <w:szCs w:val="16"/>
          <w:shd w:val="clear" w:color="auto" w:fill="FFFFFF"/>
        </w:rPr>
        <w:t>Jul 28</w:t>
      </w:r>
      <w:r w:rsidR="00FF3D19">
        <w:rPr>
          <w:rFonts w:cstheme="minorHAnsi"/>
          <w:i/>
          <w:iCs/>
          <w:color w:val="222222"/>
          <w:sz w:val="16"/>
          <w:szCs w:val="16"/>
          <w:shd w:val="clear" w:color="auto" w:fill="FFFFFF"/>
        </w:rPr>
        <w:t>, 2023</w:t>
      </w:r>
      <w:r w:rsidRPr="002024E2">
        <w:rPr>
          <w:rFonts w:cstheme="minorHAnsi"/>
          <w:i/>
          <w:iCs/>
          <w:color w:val="222222"/>
          <w:sz w:val="16"/>
          <w:szCs w:val="16"/>
          <w:shd w:val="clear" w:color="auto" w:fill="FFFFFF"/>
        </w:rPr>
        <w:t>.</w:t>
      </w:r>
    </w:p>
  </w:footnote>
  <w:footnote w:id="24">
    <w:p w14:paraId="7DB2BDE1" w14:textId="7062F9B5" w:rsidR="00B36811" w:rsidRDefault="00B36811">
      <w:pPr>
        <w:pStyle w:val="FootnoteText"/>
      </w:pPr>
      <w:r>
        <w:rPr>
          <w:rStyle w:val="FootnoteReference"/>
        </w:rPr>
        <w:footnoteRef/>
      </w:r>
      <w:r>
        <w:t xml:space="preserve"> </w:t>
      </w:r>
      <w:r w:rsidRPr="00BF5CE2">
        <w:rPr>
          <w:sz w:val="16"/>
          <w:szCs w:val="16"/>
          <w:lang w:val="en-PH"/>
        </w:rPr>
        <w:t>U.S. Bureau of Labor Statistics, Consumer Price Index for All Urban Consumers: All Items [CPIAUCSL],</w:t>
      </w:r>
      <w:r w:rsidRPr="00BF5CE2">
        <w:rPr>
          <w:rFonts w:cstheme="minorHAnsi"/>
          <w:i/>
          <w:iCs/>
          <w:color w:val="222222"/>
          <w:sz w:val="16"/>
          <w:szCs w:val="16"/>
          <w:shd w:val="clear" w:color="auto" w:fill="FFFFFF"/>
        </w:rPr>
        <w:t xml:space="preserve"> retrieved from FRED, Federal Reserve Bank of St. Louis; </w:t>
      </w:r>
      <w:hyperlink r:id="rId24" w:history="1">
        <w:r w:rsidRPr="00BF5CE2">
          <w:rPr>
            <w:rStyle w:val="Hyperlink"/>
            <w:rFonts w:cstheme="minorHAnsi"/>
            <w:i/>
            <w:iCs/>
            <w:sz w:val="16"/>
            <w:szCs w:val="16"/>
            <w:shd w:val="clear" w:color="auto" w:fill="FFFFFF"/>
          </w:rPr>
          <w:t>https://fred.stlouisfed.org/series/CPIAUCSL</w:t>
        </w:r>
      </w:hyperlink>
      <w:r w:rsidRPr="00BF5CE2">
        <w:rPr>
          <w:rFonts w:cstheme="minorHAnsi"/>
          <w:i/>
          <w:iCs/>
          <w:color w:val="222222"/>
          <w:sz w:val="16"/>
          <w:szCs w:val="16"/>
          <w:shd w:val="clear" w:color="auto" w:fill="FFFFFF"/>
        </w:rPr>
        <w:t xml:space="preserve">, </w:t>
      </w:r>
      <w:r w:rsidR="00587D0C">
        <w:rPr>
          <w:rFonts w:cstheme="minorHAnsi"/>
          <w:i/>
          <w:iCs/>
          <w:color w:val="222222"/>
          <w:sz w:val="16"/>
          <w:szCs w:val="16"/>
          <w:shd w:val="clear" w:color="auto" w:fill="FFFFFF"/>
        </w:rPr>
        <w:t>Jul 28</w:t>
      </w:r>
      <w:r w:rsidR="00FF3D19">
        <w:rPr>
          <w:rFonts w:cstheme="minorHAnsi"/>
          <w:i/>
          <w:iCs/>
          <w:color w:val="222222"/>
          <w:sz w:val="16"/>
          <w:szCs w:val="16"/>
          <w:shd w:val="clear" w:color="auto" w:fill="FFFFFF"/>
        </w:rPr>
        <w:t>, 2023</w:t>
      </w:r>
      <w:r w:rsidRPr="00BF5CE2">
        <w:rPr>
          <w:rFonts w:cstheme="minorHAnsi"/>
          <w:i/>
          <w:iCs/>
          <w:color w:val="222222"/>
          <w:sz w:val="16"/>
          <w:szCs w:val="16"/>
          <w:shd w:val="clear" w:color="auto" w:fill="FFFFFF"/>
        </w:rPr>
        <w:t>.</w:t>
      </w:r>
    </w:p>
  </w:footnote>
  <w:footnote w:id="25">
    <w:p w14:paraId="739A6C3B" w14:textId="74A20283" w:rsidR="00EF1F20" w:rsidRPr="00EF1F20" w:rsidRDefault="00EF1F20">
      <w:pPr>
        <w:pStyle w:val="FootnoteText"/>
        <w:rPr>
          <w:sz w:val="16"/>
          <w:szCs w:val="16"/>
          <w:lang w:val="en-PH"/>
        </w:rPr>
      </w:pPr>
      <w:r>
        <w:rPr>
          <w:rStyle w:val="FootnoteReference"/>
        </w:rPr>
        <w:footnoteRef/>
      </w:r>
      <w:r>
        <w:t xml:space="preserve"> </w:t>
      </w:r>
      <w:r w:rsidRPr="00EF1F20">
        <w:rPr>
          <w:sz w:val="16"/>
          <w:szCs w:val="16"/>
          <w:lang w:val="en-PH"/>
        </w:rPr>
        <w:t xml:space="preserve">U.S. Bureau of Labor Statistics, Consumer Price Index for All Urban Consumers: All Items Less Energy in U.S. City Average [CPILEGSL], </w:t>
      </w:r>
      <w:r w:rsidRPr="00EF1F20">
        <w:rPr>
          <w:i/>
          <w:iCs/>
          <w:sz w:val="16"/>
          <w:szCs w:val="16"/>
          <w:lang w:val="en-PH"/>
        </w:rPr>
        <w:t xml:space="preserve">retrieved from FRED, Federal Reserve Bank of St. Louis; </w:t>
      </w:r>
      <w:hyperlink r:id="rId25" w:history="1">
        <w:r w:rsidRPr="00EF1F20">
          <w:rPr>
            <w:rStyle w:val="Hyperlink"/>
            <w:rFonts w:cstheme="minorHAnsi"/>
            <w:i/>
            <w:iCs/>
            <w:sz w:val="16"/>
            <w:szCs w:val="16"/>
            <w:shd w:val="clear" w:color="auto" w:fill="FFFFFF"/>
          </w:rPr>
          <w:t>https://fred.stlouisfed.org/series/CPILEGSL</w:t>
        </w:r>
      </w:hyperlink>
      <w:r w:rsidRPr="00EF1F20">
        <w:rPr>
          <w:i/>
          <w:iCs/>
          <w:sz w:val="16"/>
          <w:szCs w:val="16"/>
          <w:lang w:val="en-PH"/>
        </w:rPr>
        <w:t xml:space="preserve">, </w:t>
      </w:r>
      <w:r w:rsidR="00587D0C">
        <w:rPr>
          <w:i/>
          <w:iCs/>
          <w:sz w:val="16"/>
          <w:szCs w:val="16"/>
          <w:lang w:val="en-PH"/>
        </w:rPr>
        <w:t>Jul 28</w:t>
      </w:r>
      <w:r w:rsidR="00FF3D19">
        <w:rPr>
          <w:i/>
          <w:iCs/>
          <w:sz w:val="16"/>
          <w:szCs w:val="16"/>
          <w:lang w:val="en-PH"/>
        </w:rPr>
        <w:t>, 2023</w:t>
      </w:r>
      <w:r w:rsidRPr="00EF1F20">
        <w:rPr>
          <w:sz w:val="16"/>
          <w:szCs w:val="16"/>
          <w:lang w:val="en-PH"/>
        </w:rPr>
        <w:t>.</w:t>
      </w:r>
    </w:p>
  </w:footnote>
  <w:footnote w:id="26">
    <w:p w14:paraId="46D1616A" w14:textId="6789F13F" w:rsidR="00B36811" w:rsidRPr="003A2900" w:rsidRDefault="00B36811" w:rsidP="003A2900">
      <w:pPr>
        <w:pStyle w:val="FootnoteText"/>
        <w:rPr>
          <w:rFonts w:ascii="Times New Roman" w:eastAsia="Times New Roman" w:hAnsi="Times New Roman" w:cs="Times New Roman"/>
          <w:szCs w:val="24"/>
        </w:rPr>
      </w:pPr>
      <w:r w:rsidRPr="003A2900">
        <w:rPr>
          <w:vertAlign w:val="superscript"/>
          <w:lang w:val="en-PH"/>
        </w:rPr>
        <w:footnoteRef/>
      </w:r>
      <w:r w:rsidRPr="003A2900">
        <w:rPr>
          <w:vertAlign w:val="superscript"/>
          <w:lang w:val="en-PH"/>
        </w:rPr>
        <w:t xml:space="preserve"> </w:t>
      </w:r>
      <w:r w:rsidRPr="003A2900">
        <w:rPr>
          <w:sz w:val="16"/>
          <w:szCs w:val="16"/>
          <w:lang w:val="en-PH"/>
        </w:rPr>
        <w:t xml:space="preserve">U.S. Bureau of Labor Statistics, Average Price: Gasoline, Unleaded Regular (Cost per Gallon/3.785 Liters) in U.S. City Average [APU000074714], </w:t>
      </w:r>
      <w:r w:rsidRPr="003A2900">
        <w:rPr>
          <w:i/>
          <w:iCs/>
          <w:sz w:val="16"/>
          <w:szCs w:val="16"/>
          <w:lang w:val="en-PH"/>
        </w:rPr>
        <w:t xml:space="preserve">retrieved from FRED, Federal Reserve Bank of St. Louis; </w:t>
      </w:r>
      <w:hyperlink r:id="rId26" w:history="1">
        <w:r w:rsidRPr="006859BA">
          <w:rPr>
            <w:rStyle w:val="Hyperlink"/>
            <w:i/>
            <w:iCs/>
            <w:sz w:val="16"/>
            <w:szCs w:val="16"/>
            <w:lang w:val="en-PH"/>
          </w:rPr>
          <w:t>https://fred.stlouisfed.org/series/APU000074714</w:t>
        </w:r>
      </w:hyperlink>
      <w:r w:rsidRPr="006859BA">
        <w:rPr>
          <w:i/>
          <w:iCs/>
          <w:sz w:val="16"/>
          <w:szCs w:val="16"/>
          <w:lang w:val="en-PH"/>
        </w:rPr>
        <w:t xml:space="preserve">, </w:t>
      </w:r>
      <w:r w:rsidR="00587D0C">
        <w:rPr>
          <w:i/>
          <w:iCs/>
          <w:sz w:val="16"/>
          <w:szCs w:val="16"/>
          <w:lang w:val="en-PH"/>
        </w:rPr>
        <w:t>Jul 28</w:t>
      </w:r>
      <w:r w:rsidR="00FF3D19">
        <w:rPr>
          <w:i/>
          <w:iCs/>
          <w:sz w:val="16"/>
          <w:szCs w:val="16"/>
          <w:lang w:val="en-PH"/>
        </w:rPr>
        <w:t>, 2023</w:t>
      </w:r>
      <w:r w:rsidRPr="006859BA">
        <w:rPr>
          <w:i/>
          <w:iCs/>
          <w:sz w:val="16"/>
          <w:szCs w:val="16"/>
          <w:lang w:val="en-PH"/>
        </w:rPr>
        <w:t>.</w:t>
      </w:r>
    </w:p>
  </w:footnote>
  <w:footnote w:id="27">
    <w:p w14:paraId="0C7EB8BC" w14:textId="52CADEA7" w:rsidR="00B36811" w:rsidRDefault="00B36811">
      <w:pPr>
        <w:pStyle w:val="FootnoteText"/>
      </w:pPr>
      <w:r>
        <w:rPr>
          <w:rStyle w:val="FootnoteReference"/>
        </w:rPr>
        <w:footnoteRef/>
      </w:r>
      <w:r>
        <w:t xml:space="preserve"> </w:t>
      </w:r>
      <w:r w:rsidRPr="00BF5CE2">
        <w:rPr>
          <w:sz w:val="16"/>
          <w:szCs w:val="16"/>
          <w:lang w:val="en-PH"/>
        </w:rPr>
        <w:t>U.S. Bureau of Labor Statistics, Producer Price Index for All Commodities [PPIACO],</w:t>
      </w:r>
      <w:r w:rsidRPr="00BF5CE2">
        <w:rPr>
          <w:rFonts w:cstheme="minorHAnsi"/>
          <w:i/>
          <w:iCs/>
          <w:color w:val="222222"/>
          <w:sz w:val="16"/>
          <w:szCs w:val="16"/>
          <w:shd w:val="clear" w:color="auto" w:fill="FFFFFF"/>
        </w:rPr>
        <w:t xml:space="preserve"> retrieved from FRED, Federal Reserve Bank of St. Louis; </w:t>
      </w:r>
      <w:hyperlink r:id="rId27" w:history="1">
        <w:r w:rsidRPr="00BF5CE2">
          <w:rPr>
            <w:rStyle w:val="Hyperlink"/>
            <w:rFonts w:cstheme="minorHAnsi"/>
            <w:i/>
            <w:iCs/>
            <w:sz w:val="16"/>
            <w:szCs w:val="16"/>
            <w:shd w:val="clear" w:color="auto" w:fill="FFFFFF"/>
          </w:rPr>
          <w:t>https://fred.stlouisfed.org/series/PPIACO</w:t>
        </w:r>
      </w:hyperlink>
      <w:r w:rsidRPr="00BF5CE2">
        <w:rPr>
          <w:rFonts w:cstheme="minorHAnsi"/>
          <w:i/>
          <w:iCs/>
          <w:color w:val="222222"/>
          <w:sz w:val="16"/>
          <w:szCs w:val="16"/>
          <w:shd w:val="clear" w:color="auto" w:fill="FFFFFF"/>
        </w:rPr>
        <w:t xml:space="preserve">, </w:t>
      </w:r>
      <w:r w:rsidR="005B67F4">
        <w:rPr>
          <w:rFonts w:cstheme="minorHAnsi"/>
          <w:i/>
          <w:iCs/>
          <w:color w:val="222222"/>
          <w:sz w:val="16"/>
          <w:szCs w:val="16"/>
          <w:shd w:val="clear" w:color="auto" w:fill="FFFFFF"/>
        </w:rPr>
        <w:t>Jul 28</w:t>
      </w:r>
      <w:r w:rsidR="004531BD">
        <w:rPr>
          <w:rFonts w:cstheme="minorHAnsi"/>
          <w:i/>
          <w:iCs/>
          <w:color w:val="222222"/>
          <w:sz w:val="16"/>
          <w:szCs w:val="16"/>
          <w:shd w:val="clear" w:color="auto" w:fill="FFFFFF"/>
        </w:rPr>
        <w:t>, 2023</w:t>
      </w:r>
      <w:r w:rsidRPr="00BF5CE2">
        <w:rPr>
          <w:rFonts w:cstheme="minorHAnsi"/>
          <w:i/>
          <w:iCs/>
          <w:color w:val="222222"/>
          <w:sz w:val="16"/>
          <w:szCs w:val="16"/>
          <w:shd w:val="clear" w:color="auto" w:fill="FFFFFF"/>
        </w:rPr>
        <w:t>.</w:t>
      </w:r>
    </w:p>
  </w:footnote>
  <w:footnote w:id="28">
    <w:p w14:paraId="1E8CCC61" w14:textId="69F41FEE" w:rsidR="00B36811" w:rsidRDefault="00B36811" w:rsidP="00661AA7">
      <w:pPr>
        <w:pStyle w:val="FootnoteText"/>
      </w:pPr>
      <w:r>
        <w:rPr>
          <w:rStyle w:val="FootnoteReference"/>
        </w:rPr>
        <w:footnoteRef/>
      </w:r>
      <w:r w:rsidRPr="009B52AF">
        <w:rPr>
          <w:rFonts w:cstheme="minorHAnsi"/>
          <w:i/>
          <w:iCs/>
          <w:color w:val="222222"/>
          <w:sz w:val="16"/>
          <w:szCs w:val="16"/>
          <w:shd w:val="clear" w:color="auto" w:fill="FFFFFF"/>
        </w:rPr>
        <w:t>Federal Reserve Bank of St. Louis</w:t>
      </w:r>
      <w:r>
        <w:rPr>
          <w:rFonts w:cstheme="minorHAnsi"/>
          <w:i/>
          <w:iCs/>
          <w:color w:val="222222"/>
          <w:sz w:val="16"/>
          <w:szCs w:val="16"/>
          <w:shd w:val="clear" w:color="auto" w:fill="FFFFFF"/>
        </w:rPr>
        <w:t xml:space="preserve">, </w:t>
      </w:r>
      <w:r w:rsidRPr="009B52AF">
        <w:rPr>
          <w:rFonts w:cstheme="minorHAnsi"/>
          <w:i/>
          <w:iCs/>
          <w:color w:val="222222"/>
          <w:sz w:val="16"/>
          <w:szCs w:val="16"/>
          <w:shd w:val="clear" w:color="auto" w:fill="FFFFFF"/>
        </w:rPr>
        <w:t>5-Year Breakeven Inflation Rate</w:t>
      </w:r>
      <w:r>
        <w:rPr>
          <w:rFonts w:cstheme="minorHAnsi"/>
          <w:i/>
          <w:iCs/>
          <w:color w:val="222222"/>
          <w:sz w:val="16"/>
          <w:szCs w:val="16"/>
          <w:shd w:val="clear" w:color="auto" w:fill="FFFFFF"/>
        </w:rPr>
        <w:t xml:space="preserve"> [T5YIE</w:t>
      </w:r>
      <w:r w:rsidRPr="000322F4">
        <w:rPr>
          <w:rFonts w:cstheme="minorHAnsi"/>
          <w:i/>
          <w:iCs/>
          <w:color w:val="222222"/>
          <w:sz w:val="16"/>
          <w:szCs w:val="16"/>
          <w:shd w:val="clear" w:color="auto" w:fill="FFFFFF"/>
        </w:rPr>
        <w:t>], retrieved from FRED, Federal Reserve Bank of St. Louis; </w:t>
      </w:r>
      <w:hyperlink r:id="rId28" w:history="1">
        <w:r w:rsidRPr="001B4FCC">
          <w:rPr>
            <w:rStyle w:val="Hyperlink"/>
            <w:rFonts w:cstheme="minorHAnsi"/>
            <w:i/>
            <w:iCs/>
            <w:sz w:val="16"/>
            <w:szCs w:val="16"/>
            <w:shd w:val="clear" w:color="auto" w:fill="FFFFFF"/>
          </w:rPr>
          <w:t>https://fred.stlouisfed.org/series/T5YIE</w:t>
        </w:r>
      </w:hyperlink>
      <w:r w:rsidRPr="000322F4">
        <w:rPr>
          <w:rFonts w:cstheme="minorHAnsi"/>
          <w:i/>
          <w:iCs/>
          <w:color w:val="222222"/>
          <w:sz w:val="16"/>
          <w:szCs w:val="16"/>
          <w:shd w:val="clear" w:color="auto" w:fill="FFFFFF"/>
        </w:rPr>
        <w:t xml:space="preserve">, </w:t>
      </w:r>
      <w:r w:rsidR="005B67F4">
        <w:rPr>
          <w:rFonts w:cstheme="minorHAnsi"/>
          <w:i/>
          <w:iCs/>
          <w:color w:val="222222"/>
          <w:sz w:val="16"/>
          <w:szCs w:val="16"/>
          <w:shd w:val="clear" w:color="auto" w:fill="FFFFFF"/>
        </w:rPr>
        <w:t>Jul 28</w:t>
      </w:r>
      <w:r w:rsidR="004531BD">
        <w:rPr>
          <w:rFonts w:cstheme="minorHAnsi"/>
          <w:i/>
          <w:iCs/>
          <w:color w:val="222222"/>
          <w:sz w:val="16"/>
          <w:szCs w:val="16"/>
          <w:shd w:val="clear" w:color="auto" w:fill="FFFFFF"/>
        </w:rPr>
        <w:t>, 2023</w:t>
      </w:r>
      <w:r w:rsidRPr="000322F4">
        <w:rPr>
          <w:rFonts w:cstheme="minorHAnsi"/>
          <w:i/>
          <w:iCs/>
          <w:color w:val="222222"/>
          <w:sz w:val="16"/>
          <w:szCs w:val="16"/>
          <w:shd w:val="clear" w:color="auto" w:fill="FFFFFF"/>
        </w:rPr>
        <w:t>.</w:t>
      </w:r>
    </w:p>
  </w:footnote>
  <w:footnote w:id="29">
    <w:p w14:paraId="1C900108" w14:textId="26E42894" w:rsidR="00B36811" w:rsidRPr="000322F4" w:rsidRDefault="00B36811" w:rsidP="0074137C">
      <w:pPr>
        <w:pStyle w:val="FootnoteText"/>
        <w:rPr>
          <w:rFonts w:cstheme="minorHAnsi"/>
          <w:sz w:val="16"/>
          <w:szCs w:val="16"/>
          <w:lang w:val="en-PH"/>
        </w:rPr>
      </w:pPr>
      <w:r w:rsidRPr="000322F4">
        <w:rPr>
          <w:rStyle w:val="FootnoteReference"/>
          <w:rFonts w:cstheme="minorHAnsi"/>
          <w:sz w:val="16"/>
          <w:szCs w:val="16"/>
        </w:rPr>
        <w:footnoteRef/>
      </w:r>
      <w:r w:rsidRPr="000322F4">
        <w:rPr>
          <w:rFonts w:cstheme="minorHAnsi"/>
          <w:sz w:val="16"/>
          <w:szCs w:val="16"/>
        </w:rPr>
        <w:t xml:space="preserve"> </w:t>
      </w:r>
      <w:r w:rsidR="00F72263" w:rsidRPr="00F72263">
        <w:rPr>
          <w:rFonts w:cstheme="minorHAnsi"/>
          <w:color w:val="222222"/>
          <w:sz w:val="16"/>
          <w:szCs w:val="16"/>
          <w:shd w:val="clear" w:color="auto" w:fill="FFFFFF"/>
        </w:rPr>
        <w:t>U.S. Energy Information Administration, Crude Oil Prices: West Texas Intermediate (WTI) - Cushing, Oklahoma [DCOILWTICO],</w:t>
      </w:r>
      <w:r w:rsidR="00F72263" w:rsidRPr="00F72263">
        <w:rPr>
          <w:rFonts w:cstheme="minorHAnsi"/>
          <w:i/>
          <w:iCs/>
          <w:color w:val="222222"/>
          <w:sz w:val="16"/>
          <w:szCs w:val="16"/>
          <w:shd w:val="clear" w:color="auto" w:fill="FFFFFF"/>
        </w:rPr>
        <w:t xml:space="preserve"> retrieved from FRED, Federal Reserve Bank of St. Louis; </w:t>
      </w:r>
      <w:hyperlink r:id="rId29" w:history="1">
        <w:r w:rsidR="00EC2B2F" w:rsidRPr="00E05DB5">
          <w:rPr>
            <w:rStyle w:val="Hyperlink"/>
            <w:rFonts w:cstheme="minorHAnsi"/>
            <w:i/>
            <w:iCs/>
            <w:sz w:val="16"/>
            <w:szCs w:val="16"/>
            <w:shd w:val="clear" w:color="auto" w:fill="FFFFFF"/>
          </w:rPr>
          <w:t>https://fred.stlouisfed.org/series/DCOILWTICO</w:t>
        </w:r>
      </w:hyperlink>
      <w:r w:rsidR="00F72263" w:rsidRPr="00F72263">
        <w:rPr>
          <w:rFonts w:cstheme="minorHAnsi"/>
          <w:i/>
          <w:iCs/>
          <w:color w:val="222222"/>
          <w:sz w:val="16"/>
          <w:szCs w:val="16"/>
          <w:shd w:val="clear" w:color="auto" w:fill="FFFFFF"/>
        </w:rPr>
        <w:t xml:space="preserve">, </w:t>
      </w:r>
      <w:r w:rsidR="007870C8">
        <w:rPr>
          <w:rFonts w:cstheme="minorHAnsi"/>
          <w:i/>
          <w:iCs/>
          <w:color w:val="222222"/>
          <w:sz w:val="16"/>
          <w:szCs w:val="16"/>
          <w:shd w:val="clear" w:color="auto" w:fill="FFFFFF"/>
        </w:rPr>
        <w:t>Jul 28</w:t>
      </w:r>
      <w:r w:rsidR="00A77444">
        <w:rPr>
          <w:rFonts w:cstheme="minorHAnsi"/>
          <w:i/>
          <w:iCs/>
          <w:color w:val="222222"/>
          <w:sz w:val="16"/>
          <w:szCs w:val="16"/>
          <w:shd w:val="clear" w:color="auto" w:fill="FFFFFF"/>
        </w:rPr>
        <w:t>, 2023</w:t>
      </w:r>
      <w:r w:rsidRPr="000322F4">
        <w:rPr>
          <w:rFonts w:cstheme="minorHAnsi"/>
          <w:i/>
          <w:iCs/>
          <w:color w:val="222222"/>
          <w:sz w:val="16"/>
          <w:szCs w:val="16"/>
          <w:shd w:val="clear" w:color="auto" w:fill="FFFFFF"/>
        </w:rPr>
        <w:t>.</w:t>
      </w:r>
    </w:p>
  </w:footnote>
  <w:footnote w:id="30">
    <w:p w14:paraId="11221A52" w14:textId="0F5949B7" w:rsidR="00B36811" w:rsidRPr="00BF5CE2" w:rsidRDefault="00B36811">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the Census, Housing Starts: Total: New Privately Owned Housing Units Started [HOUST],</w:t>
      </w:r>
      <w:r w:rsidRPr="00BF5CE2">
        <w:rPr>
          <w:rFonts w:cstheme="minorHAnsi"/>
          <w:i/>
          <w:iCs/>
          <w:color w:val="222222"/>
          <w:sz w:val="16"/>
          <w:szCs w:val="16"/>
          <w:shd w:val="clear" w:color="auto" w:fill="FFFFFF"/>
        </w:rPr>
        <w:t xml:space="preserve"> retrieved from FRED, Federal Reserve Bank of St. Louis; </w:t>
      </w:r>
      <w:hyperlink r:id="rId30" w:history="1">
        <w:r w:rsidRPr="00BF5CE2">
          <w:rPr>
            <w:rStyle w:val="Hyperlink"/>
            <w:rFonts w:cstheme="minorHAnsi"/>
            <w:i/>
            <w:iCs/>
            <w:sz w:val="16"/>
            <w:szCs w:val="16"/>
            <w:shd w:val="clear" w:color="auto" w:fill="FFFFFF"/>
          </w:rPr>
          <w:t>https://fred.stlouisfed.org/series/HOUST</w:t>
        </w:r>
      </w:hyperlink>
      <w:r w:rsidRPr="00BF5CE2">
        <w:rPr>
          <w:rFonts w:cstheme="minorHAnsi"/>
          <w:i/>
          <w:iCs/>
          <w:color w:val="222222"/>
          <w:sz w:val="16"/>
          <w:szCs w:val="16"/>
          <w:shd w:val="clear" w:color="auto" w:fill="FFFFFF"/>
        </w:rPr>
        <w:t xml:space="preserve">, </w:t>
      </w:r>
      <w:r w:rsidR="00722380">
        <w:rPr>
          <w:rFonts w:cstheme="minorHAnsi"/>
          <w:i/>
          <w:iCs/>
          <w:color w:val="222222"/>
          <w:sz w:val="16"/>
          <w:szCs w:val="16"/>
          <w:shd w:val="clear" w:color="auto" w:fill="FFFFFF"/>
        </w:rPr>
        <w:t>Jul 28</w:t>
      </w:r>
      <w:r w:rsidR="00660739">
        <w:rPr>
          <w:rFonts w:cstheme="minorHAnsi"/>
          <w:i/>
          <w:iCs/>
          <w:color w:val="222222"/>
          <w:sz w:val="16"/>
          <w:szCs w:val="16"/>
          <w:shd w:val="clear" w:color="auto" w:fill="FFFFFF"/>
        </w:rPr>
        <w:t>, 2023</w:t>
      </w:r>
      <w:r w:rsidRPr="00BF5CE2">
        <w:rPr>
          <w:rFonts w:cstheme="minorHAnsi"/>
          <w:i/>
          <w:iCs/>
          <w:color w:val="222222"/>
          <w:sz w:val="16"/>
          <w:szCs w:val="16"/>
          <w:shd w:val="clear" w:color="auto" w:fill="FFFFFF"/>
        </w:rPr>
        <w:t>.</w:t>
      </w:r>
    </w:p>
  </w:footnote>
  <w:footnote w:id="31">
    <w:p w14:paraId="6A794CBD" w14:textId="6DD8E506" w:rsidR="00B36811" w:rsidRPr="00250313" w:rsidRDefault="00B36811">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Freddie Mac, 30-Year Fixed Rate Mortgage Average in the United States [MORTGAGE30US],</w:t>
      </w:r>
      <w:r w:rsidRPr="00BF5CE2">
        <w:rPr>
          <w:rFonts w:cstheme="minorHAnsi"/>
          <w:i/>
          <w:iCs/>
          <w:color w:val="222222"/>
          <w:sz w:val="16"/>
          <w:szCs w:val="16"/>
          <w:shd w:val="clear" w:color="auto" w:fill="FFFFFF"/>
        </w:rPr>
        <w:t xml:space="preserve"> retrieved from FRED, Federal Reserve Bank of St. Louis; </w:t>
      </w:r>
      <w:hyperlink r:id="rId31" w:history="1">
        <w:r w:rsidRPr="00BF5CE2">
          <w:rPr>
            <w:rStyle w:val="Hyperlink"/>
            <w:rFonts w:cstheme="minorHAnsi"/>
            <w:i/>
            <w:iCs/>
            <w:sz w:val="16"/>
            <w:szCs w:val="16"/>
            <w:shd w:val="clear" w:color="auto" w:fill="FFFFFF"/>
          </w:rPr>
          <w:t>https://fred.stlouisfed.org/series/MORTGAGE30US</w:t>
        </w:r>
      </w:hyperlink>
      <w:r w:rsidRPr="00BF5CE2">
        <w:rPr>
          <w:rFonts w:cstheme="minorHAnsi"/>
          <w:i/>
          <w:iCs/>
          <w:color w:val="222222"/>
          <w:sz w:val="16"/>
          <w:szCs w:val="16"/>
          <w:shd w:val="clear" w:color="auto" w:fill="FFFFFF"/>
        </w:rPr>
        <w:t xml:space="preserve">, </w:t>
      </w:r>
      <w:r w:rsidR="00722380">
        <w:rPr>
          <w:rFonts w:cstheme="minorHAnsi"/>
          <w:i/>
          <w:iCs/>
          <w:color w:val="222222"/>
          <w:sz w:val="16"/>
          <w:szCs w:val="16"/>
          <w:shd w:val="clear" w:color="auto" w:fill="FFFFFF"/>
        </w:rPr>
        <w:t>Jul 28</w:t>
      </w:r>
      <w:r w:rsidR="00660739">
        <w:rPr>
          <w:rFonts w:cstheme="minorHAnsi"/>
          <w:i/>
          <w:iCs/>
          <w:color w:val="222222"/>
          <w:sz w:val="16"/>
          <w:szCs w:val="16"/>
          <w:shd w:val="clear" w:color="auto" w:fill="FFFFFF"/>
        </w:rPr>
        <w:t>, 2023</w:t>
      </w:r>
      <w:r w:rsidRPr="00BF5CE2">
        <w:rPr>
          <w:rFonts w:cstheme="minorHAnsi"/>
          <w:i/>
          <w:iCs/>
          <w:color w:val="222222"/>
          <w:sz w:val="16"/>
          <w:szCs w:val="16"/>
          <w:shd w:val="clear" w:color="auto" w:fill="FFFFFF"/>
        </w:rPr>
        <w:t>.</w:t>
      </w:r>
    </w:p>
  </w:footnote>
  <w:footnote w:id="32">
    <w:p w14:paraId="48E5411D" w14:textId="3C576329" w:rsidR="00B36811" w:rsidRPr="00BF5CE2" w:rsidRDefault="00B36811">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S&amp;P Dow Jones Indices LLC, S&amp;P/Case-Shiller 20-City Composite Home Price Index [SPCS20RSA],</w:t>
      </w:r>
      <w:r w:rsidRPr="00BF5CE2">
        <w:rPr>
          <w:rFonts w:cstheme="minorHAnsi"/>
          <w:i/>
          <w:iCs/>
          <w:color w:val="222222"/>
          <w:sz w:val="16"/>
          <w:szCs w:val="16"/>
          <w:shd w:val="clear" w:color="auto" w:fill="FFFFFF"/>
        </w:rPr>
        <w:t xml:space="preserve"> retrieved from FRED, Federal Reserve Bank of St. Louis; </w:t>
      </w:r>
      <w:hyperlink r:id="rId32" w:history="1">
        <w:r w:rsidRPr="00BF5CE2">
          <w:rPr>
            <w:rStyle w:val="Hyperlink"/>
            <w:rFonts w:cstheme="minorHAnsi"/>
            <w:i/>
            <w:iCs/>
            <w:sz w:val="16"/>
            <w:szCs w:val="16"/>
            <w:shd w:val="clear" w:color="auto" w:fill="FFFFFF"/>
          </w:rPr>
          <w:t>https://fred.stlouisfed.org/series/SPCS20RSA</w:t>
        </w:r>
      </w:hyperlink>
      <w:r w:rsidRPr="00BF5CE2">
        <w:rPr>
          <w:rFonts w:cstheme="minorHAnsi"/>
          <w:i/>
          <w:iCs/>
          <w:color w:val="222222"/>
          <w:sz w:val="16"/>
          <w:szCs w:val="16"/>
          <w:shd w:val="clear" w:color="auto" w:fill="FFFFFF"/>
        </w:rPr>
        <w:t xml:space="preserve">, </w:t>
      </w:r>
      <w:r w:rsidR="00D213F9">
        <w:rPr>
          <w:rFonts w:cstheme="minorHAnsi"/>
          <w:i/>
          <w:iCs/>
          <w:color w:val="222222"/>
          <w:sz w:val="16"/>
          <w:szCs w:val="16"/>
          <w:shd w:val="clear" w:color="auto" w:fill="FFFFFF"/>
        </w:rPr>
        <w:t>Jul 28</w:t>
      </w:r>
      <w:r w:rsidR="00DD46A0">
        <w:rPr>
          <w:rFonts w:cstheme="minorHAnsi"/>
          <w:i/>
          <w:iCs/>
          <w:color w:val="222222"/>
          <w:sz w:val="16"/>
          <w:szCs w:val="16"/>
          <w:shd w:val="clear" w:color="auto" w:fill="FFFFFF"/>
        </w:rPr>
        <w:t>, 2023</w:t>
      </w:r>
      <w:r w:rsidRPr="00BF5CE2">
        <w:rPr>
          <w:rFonts w:cstheme="minorHAnsi"/>
          <w:i/>
          <w:iCs/>
          <w:color w:val="222222"/>
          <w:sz w:val="16"/>
          <w:szCs w:val="16"/>
          <w:shd w:val="clear" w:color="auto" w:fill="FFFFFF"/>
        </w:rPr>
        <w:t>.</w:t>
      </w:r>
    </w:p>
  </w:footnote>
  <w:footnote w:id="33">
    <w:p w14:paraId="3C84FE4A" w14:textId="2442DE3D" w:rsidR="00B36811" w:rsidRPr="00BF5CE2" w:rsidRDefault="00B36811">
      <w:pPr>
        <w:pStyle w:val="FootnoteText"/>
        <w:rPr>
          <w:sz w:val="16"/>
          <w:szCs w:val="16"/>
          <w:lang w:val="en-PH"/>
        </w:rPr>
      </w:pPr>
      <w:r w:rsidRPr="00BF5CE2">
        <w:rPr>
          <w:rStyle w:val="FootnoteReference"/>
          <w:sz w:val="16"/>
          <w:szCs w:val="16"/>
        </w:rPr>
        <w:footnoteRef/>
      </w:r>
      <w:r w:rsidRPr="00BF5CE2">
        <w:rPr>
          <w:sz w:val="16"/>
          <w:szCs w:val="16"/>
          <w:lang w:val="en-PH"/>
        </w:rPr>
        <w:t xml:space="preserve"> U.S. Bureau of Economic Analysis, Personal Consumption Expenditures [PCE],</w:t>
      </w:r>
      <w:r w:rsidRPr="00BF5CE2">
        <w:rPr>
          <w:rFonts w:cstheme="minorHAnsi"/>
          <w:i/>
          <w:iCs/>
          <w:color w:val="222222"/>
          <w:sz w:val="16"/>
          <w:szCs w:val="16"/>
          <w:shd w:val="clear" w:color="auto" w:fill="FFFFFF"/>
        </w:rPr>
        <w:t xml:space="preserve"> retrieved from FRED, Federal Reserve Bank of St. Louis; </w:t>
      </w:r>
      <w:hyperlink r:id="rId33" w:history="1">
        <w:r w:rsidRPr="00BF5CE2">
          <w:rPr>
            <w:rStyle w:val="Hyperlink"/>
            <w:rFonts w:cstheme="minorHAnsi"/>
            <w:i/>
            <w:iCs/>
            <w:sz w:val="16"/>
            <w:szCs w:val="16"/>
            <w:shd w:val="clear" w:color="auto" w:fill="FFFFFF"/>
          </w:rPr>
          <w:t>https://fred.stlouisfed.org/series/PCE</w:t>
        </w:r>
      </w:hyperlink>
      <w:r w:rsidRPr="00BF5CE2">
        <w:rPr>
          <w:rFonts w:cstheme="minorHAnsi"/>
          <w:i/>
          <w:iCs/>
          <w:color w:val="222222"/>
          <w:sz w:val="16"/>
          <w:szCs w:val="16"/>
          <w:shd w:val="clear" w:color="auto" w:fill="FFFFFF"/>
        </w:rPr>
        <w:t xml:space="preserve">, </w:t>
      </w:r>
      <w:r w:rsidR="00D213F9">
        <w:rPr>
          <w:rFonts w:cstheme="minorHAnsi"/>
          <w:i/>
          <w:iCs/>
          <w:color w:val="222222"/>
          <w:sz w:val="16"/>
          <w:szCs w:val="16"/>
          <w:shd w:val="clear" w:color="auto" w:fill="FFFFFF"/>
        </w:rPr>
        <w:t>Jul 28</w:t>
      </w:r>
      <w:r w:rsidR="00E82D66">
        <w:rPr>
          <w:rFonts w:cstheme="minorHAnsi"/>
          <w:i/>
          <w:iCs/>
          <w:color w:val="222222"/>
          <w:sz w:val="16"/>
          <w:szCs w:val="16"/>
          <w:shd w:val="clear" w:color="auto" w:fill="FFFFFF"/>
        </w:rPr>
        <w:t>, 2023</w:t>
      </w:r>
      <w:r w:rsidRPr="00BF5CE2">
        <w:rPr>
          <w:rFonts w:cstheme="minorHAnsi"/>
          <w:i/>
          <w:iCs/>
          <w:color w:val="222222"/>
          <w:sz w:val="16"/>
          <w:szCs w:val="16"/>
          <w:shd w:val="clear" w:color="auto" w:fill="FFFFFF"/>
        </w:rPr>
        <w:t>.</w:t>
      </w:r>
    </w:p>
  </w:footnote>
  <w:footnote w:id="34">
    <w:p w14:paraId="08E11874" w14:textId="2E17F3EF" w:rsidR="00B36811" w:rsidRPr="00933E80" w:rsidRDefault="00B36811">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Economic Analysis, Light Weight Vehicle Sales: Autos and Light Trucks [ALTSALES</w:t>
      </w:r>
      <w:bookmarkStart w:id="0" w:name="_Hlk79177981"/>
      <w:r w:rsidRPr="00BF5CE2">
        <w:rPr>
          <w:sz w:val="16"/>
          <w:szCs w:val="16"/>
          <w:lang w:val="en-PH"/>
        </w:rPr>
        <w:t>],</w:t>
      </w:r>
      <w:r w:rsidRPr="00BF5CE2">
        <w:rPr>
          <w:rFonts w:cstheme="minorHAnsi"/>
          <w:i/>
          <w:iCs/>
          <w:color w:val="222222"/>
          <w:sz w:val="16"/>
          <w:szCs w:val="16"/>
          <w:shd w:val="clear" w:color="auto" w:fill="FFFFFF"/>
        </w:rPr>
        <w:t xml:space="preserve"> retrieved from FRED, Federal Reserve Bank of St. Louis; </w:t>
      </w:r>
      <w:bookmarkEnd w:id="0"/>
      <w:r>
        <w:fldChar w:fldCharType="begin"/>
      </w:r>
      <w:r>
        <w:instrText xml:space="preserve"> HYPERLINK "https://fred.stlouisfed.org/series/ALTSALES" </w:instrText>
      </w:r>
      <w:r>
        <w:fldChar w:fldCharType="separate"/>
      </w:r>
      <w:r w:rsidRPr="00BF5CE2">
        <w:rPr>
          <w:rStyle w:val="Hyperlink"/>
          <w:rFonts w:cstheme="minorHAnsi"/>
          <w:i/>
          <w:iCs/>
          <w:sz w:val="16"/>
          <w:szCs w:val="16"/>
          <w:shd w:val="clear" w:color="auto" w:fill="FFFFFF"/>
        </w:rPr>
        <w:t>https://fred.stlouisfed.org/series/ALTSALES</w:t>
      </w:r>
      <w:r>
        <w:rPr>
          <w:rStyle w:val="Hyperlink"/>
          <w:rFonts w:cstheme="minorHAnsi"/>
          <w:i/>
          <w:iCs/>
          <w:sz w:val="16"/>
          <w:szCs w:val="16"/>
          <w:shd w:val="clear" w:color="auto" w:fill="FFFFFF"/>
        </w:rPr>
        <w:fldChar w:fldCharType="end"/>
      </w:r>
      <w:r w:rsidRPr="00BF5CE2">
        <w:rPr>
          <w:rFonts w:cstheme="minorHAnsi"/>
          <w:i/>
          <w:iCs/>
          <w:color w:val="222222"/>
          <w:sz w:val="16"/>
          <w:szCs w:val="16"/>
          <w:shd w:val="clear" w:color="auto" w:fill="FFFFFF"/>
        </w:rPr>
        <w:t xml:space="preserve">, </w:t>
      </w:r>
      <w:r w:rsidR="006F67DF">
        <w:rPr>
          <w:rFonts w:cstheme="minorHAnsi"/>
          <w:i/>
          <w:iCs/>
          <w:color w:val="222222"/>
          <w:sz w:val="16"/>
          <w:szCs w:val="16"/>
          <w:shd w:val="clear" w:color="auto" w:fill="FFFFFF"/>
        </w:rPr>
        <w:t>Jul 28</w:t>
      </w:r>
      <w:r w:rsidR="00B745AA">
        <w:rPr>
          <w:rFonts w:cstheme="minorHAnsi"/>
          <w:i/>
          <w:iCs/>
          <w:color w:val="222222"/>
          <w:sz w:val="16"/>
          <w:szCs w:val="16"/>
          <w:shd w:val="clear" w:color="auto" w:fill="FFFFFF"/>
        </w:rPr>
        <w:t>, 2023</w:t>
      </w:r>
      <w:r w:rsidRPr="00BF5CE2">
        <w:rPr>
          <w:rFonts w:cstheme="minorHAnsi"/>
          <w:i/>
          <w:iCs/>
          <w:color w:val="222222"/>
          <w:sz w:val="16"/>
          <w:szCs w:val="16"/>
          <w:shd w:val="clear" w:color="auto" w:fill="FFFFFF"/>
        </w:rPr>
        <w:t>.</w:t>
      </w:r>
    </w:p>
  </w:footnote>
  <w:footnote w:id="35">
    <w:p w14:paraId="1FBBD940" w14:textId="0484AAFE" w:rsidR="00B36811" w:rsidRPr="00D822BB" w:rsidRDefault="00B36811" w:rsidP="00B92952">
      <w:pPr>
        <w:pStyle w:val="FootnoteText"/>
        <w:rPr>
          <w:sz w:val="16"/>
          <w:szCs w:val="16"/>
          <w:lang w:val="en-PH"/>
        </w:rPr>
      </w:pPr>
      <w:r w:rsidRPr="00D822BB">
        <w:rPr>
          <w:rStyle w:val="FootnoteReference"/>
          <w:sz w:val="16"/>
          <w:szCs w:val="16"/>
        </w:rPr>
        <w:footnoteRef/>
      </w:r>
      <w:r w:rsidRPr="00D822BB">
        <w:rPr>
          <w:rStyle w:val="FootnoteReference"/>
          <w:sz w:val="16"/>
          <w:szCs w:val="16"/>
        </w:rPr>
        <w:t xml:space="preserve"> </w:t>
      </w:r>
      <w:r>
        <w:rPr>
          <w:rFonts w:ascii="Lucida Sans" w:eastAsia="Times New Roman" w:hAnsi="Lucida Sans" w:cs="Times New Roman"/>
          <w:color w:val="333333"/>
          <w:sz w:val="18"/>
          <w:szCs w:val="18"/>
          <w:shd w:val="clear" w:color="auto" w:fill="FFFFFF"/>
        </w:rPr>
        <w:t>U</w:t>
      </w:r>
      <w:r w:rsidRPr="00D822BB">
        <w:rPr>
          <w:sz w:val="16"/>
          <w:szCs w:val="16"/>
          <w:lang w:val="en-PH"/>
        </w:rPr>
        <w:t xml:space="preserve">.S. Bureau of Labor Statistics, Consumer Price Index for All Urban Consumers: New Vehicles in U.S. City Average [CUUR0000SETA01], </w:t>
      </w:r>
      <w:r w:rsidRPr="00D822BB">
        <w:rPr>
          <w:i/>
          <w:iCs/>
          <w:sz w:val="16"/>
          <w:szCs w:val="16"/>
          <w:lang w:val="en-PH"/>
        </w:rPr>
        <w:t xml:space="preserve">retrieved from FRED, </w:t>
      </w:r>
      <w:r w:rsidRPr="00B92952">
        <w:rPr>
          <w:rFonts w:cstheme="minorHAnsi"/>
          <w:i/>
          <w:iCs/>
          <w:color w:val="222222"/>
          <w:sz w:val="16"/>
          <w:szCs w:val="16"/>
          <w:shd w:val="clear" w:color="auto" w:fill="FFFFFF"/>
        </w:rPr>
        <w:t>Federal</w:t>
      </w:r>
      <w:r w:rsidRPr="00D822BB">
        <w:rPr>
          <w:i/>
          <w:iCs/>
          <w:sz w:val="16"/>
          <w:szCs w:val="16"/>
          <w:lang w:val="en-PH"/>
        </w:rPr>
        <w:t xml:space="preserve"> Reserve Bank of St. Louis; </w:t>
      </w:r>
      <w:hyperlink r:id="rId34" w:history="1">
        <w:r w:rsidRPr="00D822BB">
          <w:rPr>
            <w:rStyle w:val="Hyperlink"/>
            <w:i/>
            <w:iCs/>
            <w:sz w:val="16"/>
            <w:szCs w:val="16"/>
            <w:lang w:val="en-PH"/>
          </w:rPr>
          <w:t>https://fred.stlouisfed.org/series/CUUR0000SETA01</w:t>
        </w:r>
      </w:hyperlink>
      <w:r w:rsidRPr="00D822BB">
        <w:rPr>
          <w:i/>
          <w:iCs/>
          <w:sz w:val="16"/>
          <w:szCs w:val="16"/>
          <w:lang w:val="en-PH"/>
        </w:rPr>
        <w:t xml:space="preserve">, </w:t>
      </w:r>
      <w:r w:rsidR="006F67DF">
        <w:rPr>
          <w:rFonts w:cstheme="minorHAnsi"/>
          <w:i/>
          <w:iCs/>
          <w:color w:val="222222"/>
          <w:sz w:val="16"/>
          <w:szCs w:val="16"/>
          <w:shd w:val="clear" w:color="auto" w:fill="FFFFFF"/>
        </w:rPr>
        <w:t>Jul 28</w:t>
      </w:r>
      <w:r w:rsidR="00B745AA">
        <w:rPr>
          <w:rFonts w:cstheme="minorHAnsi"/>
          <w:i/>
          <w:iCs/>
          <w:color w:val="222222"/>
          <w:sz w:val="16"/>
          <w:szCs w:val="16"/>
          <w:shd w:val="clear" w:color="auto" w:fill="FFFFFF"/>
        </w:rPr>
        <w:t>, 2023</w:t>
      </w:r>
      <w:r w:rsidRPr="00D822BB">
        <w:rPr>
          <w:i/>
          <w:iCs/>
          <w:sz w:val="16"/>
          <w:szCs w:val="16"/>
          <w:lang w:val="en-PH"/>
        </w:rPr>
        <w:t>.</w:t>
      </w:r>
    </w:p>
  </w:footnote>
  <w:footnote w:id="36">
    <w:p w14:paraId="1D43F300" w14:textId="29E09ED7" w:rsidR="00B36811" w:rsidRDefault="00B36811">
      <w:pPr>
        <w:pStyle w:val="FootnoteText"/>
      </w:pPr>
      <w:r>
        <w:rPr>
          <w:rStyle w:val="FootnoteReference"/>
        </w:rPr>
        <w:footnoteRef/>
      </w:r>
      <w:r>
        <w:t xml:space="preserve"> </w:t>
      </w:r>
      <w:r w:rsidRPr="00611626">
        <w:rPr>
          <w:sz w:val="16"/>
          <w:szCs w:val="16"/>
        </w:rPr>
        <w:t>U.S. Bureau of Labor Statistics</w:t>
      </w:r>
      <w:r>
        <w:rPr>
          <w:sz w:val="16"/>
          <w:szCs w:val="16"/>
        </w:rPr>
        <w:t xml:space="preserve">, </w:t>
      </w:r>
      <w:r w:rsidRPr="00611626">
        <w:rPr>
          <w:sz w:val="16"/>
          <w:szCs w:val="16"/>
        </w:rPr>
        <w:t>Consumer Price Index for All Urban Consumers: Used Cars and Trucks in U.S. City Average</w:t>
      </w:r>
      <w:r>
        <w:rPr>
          <w:sz w:val="16"/>
          <w:szCs w:val="16"/>
        </w:rPr>
        <w:t xml:space="preserve"> [</w:t>
      </w:r>
      <w:r w:rsidRPr="00611626">
        <w:rPr>
          <w:sz w:val="16"/>
          <w:szCs w:val="16"/>
        </w:rPr>
        <w:t>CUSR0000SETA02</w:t>
      </w:r>
      <w:r>
        <w:rPr>
          <w:sz w:val="16"/>
          <w:szCs w:val="16"/>
        </w:rPr>
        <w:t>],</w:t>
      </w:r>
      <w:r w:rsidRPr="00611626">
        <w:rPr>
          <w:sz w:val="16"/>
          <w:szCs w:val="16"/>
        </w:rPr>
        <w:t xml:space="preserve"> </w:t>
      </w:r>
      <w:r w:rsidRPr="00D822BB">
        <w:rPr>
          <w:i/>
          <w:iCs/>
          <w:sz w:val="16"/>
          <w:szCs w:val="16"/>
        </w:rPr>
        <w:t xml:space="preserve">retrieved from FRED, Federal Reserve Bank of St. Louis; </w:t>
      </w:r>
      <w:hyperlink r:id="rId35" w:history="1">
        <w:r w:rsidRPr="00D822BB">
          <w:rPr>
            <w:rStyle w:val="Hyperlink"/>
            <w:i/>
            <w:iCs/>
            <w:sz w:val="16"/>
            <w:szCs w:val="16"/>
          </w:rPr>
          <w:t>https://fred.stlouisfed.org/series/CUSR0000SETA02</w:t>
        </w:r>
      </w:hyperlink>
      <w:r>
        <w:t xml:space="preserve">, </w:t>
      </w:r>
      <w:r w:rsidR="006F67DF">
        <w:rPr>
          <w:rFonts w:cstheme="minorHAnsi"/>
          <w:i/>
          <w:iCs/>
          <w:color w:val="222222"/>
          <w:sz w:val="16"/>
          <w:szCs w:val="16"/>
          <w:shd w:val="clear" w:color="auto" w:fill="FFFFFF"/>
        </w:rPr>
        <w:t>Jul 28</w:t>
      </w:r>
      <w:r w:rsidR="00B745AA">
        <w:rPr>
          <w:rFonts w:cstheme="minorHAnsi"/>
          <w:i/>
          <w:iCs/>
          <w:color w:val="222222"/>
          <w:sz w:val="16"/>
          <w:szCs w:val="16"/>
          <w:shd w:val="clear" w:color="auto" w:fill="FFFFFF"/>
        </w:rPr>
        <w:t>, 2023</w:t>
      </w:r>
      <w:r w:rsidRPr="00BF5CE2">
        <w:rPr>
          <w:rFonts w:cstheme="minorHAnsi"/>
          <w:i/>
          <w:iCs/>
          <w:color w:val="222222"/>
          <w:sz w:val="16"/>
          <w:szCs w:val="16"/>
          <w:shd w:val="clear" w:color="auto" w:fill="FFFFFF"/>
        </w:rPr>
        <w:t>.</w:t>
      </w:r>
    </w:p>
  </w:footnote>
  <w:footnote w:id="37">
    <w:p w14:paraId="01357EF0" w14:textId="655F3265" w:rsidR="00B36811" w:rsidRPr="00364347" w:rsidRDefault="00B36811" w:rsidP="00291FFB">
      <w:pPr>
        <w:pStyle w:val="FootnoteText"/>
        <w:rPr>
          <w:i/>
          <w:iCs/>
          <w:sz w:val="16"/>
          <w:szCs w:val="16"/>
          <w:lang w:val="en-PH"/>
        </w:rPr>
      </w:pPr>
      <w:r w:rsidRPr="00364347">
        <w:rPr>
          <w:rStyle w:val="FootnoteReference"/>
        </w:rPr>
        <w:footnoteRef/>
      </w:r>
      <w:r w:rsidRPr="00364347">
        <w:rPr>
          <w:rStyle w:val="FootnoteReference"/>
        </w:rPr>
        <w:t xml:space="preserve"> </w:t>
      </w:r>
      <w:r w:rsidRPr="00364347">
        <w:rPr>
          <w:i/>
          <w:iCs/>
          <w:sz w:val="16"/>
          <w:szCs w:val="16"/>
          <w:lang w:val="en-PH"/>
        </w:rPr>
        <w:t xml:space="preserve">University of Michigan, University of Michigan: Consumer Sentiment [UMCSENT], retrieved from FRED, Federal Reserve Bank of St. Louis; </w:t>
      </w:r>
      <w:hyperlink r:id="rId36" w:history="1">
        <w:r w:rsidRPr="00364347">
          <w:rPr>
            <w:rStyle w:val="Hyperlink"/>
            <w:i/>
            <w:iCs/>
            <w:sz w:val="16"/>
            <w:szCs w:val="16"/>
            <w:lang w:val="en-PH"/>
          </w:rPr>
          <w:t>https://fred.stlouisfed.org/series/UMCSENT</w:t>
        </w:r>
      </w:hyperlink>
      <w:r w:rsidRPr="00364347">
        <w:rPr>
          <w:i/>
          <w:iCs/>
          <w:sz w:val="16"/>
          <w:szCs w:val="16"/>
          <w:lang w:val="en-PH"/>
        </w:rPr>
        <w:t xml:space="preserve">, </w:t>
      </w:r>
      <w:r w:rsidR="006F67DF">
        <w:rPr>
          <w:rFonts w:cstheme="minorHAnsi"/>
          <w:i/>
          <w:iCs/>
          <w:color w:val="222222"/>
          <w:sz w:val="16"/>
          <w:szCs w:val="16"/>
          <w:shd w:val="clear" w:color="auto" w:fill="FFFFFF"/>
        </w:rPr>
        <w:t>Jul 28</w:t>
      </w:r>
      <w:r w:rsidR="00B745AA">
        <w:rPr>
          <w:rFonts w:cstheme="minorHAnsi"/>
          <w:i/>
          <w:iCs/>
          <w:color w:val="222222"/>
          <w:sz w:val="16"/>
          <w:szCs w:val="16"/>
          <w:shd w:val="clear" w:color="auto" w:fill="FFFFFF"/>
        </w:rPr>
        <w:t>, 2023</w:t>
      </w:r>
      <w:r w:rsidRPr="00364347">
        <w:rPr>
          <w:i/>
          <w:iCs/>
          <w:sz w:val="16"/>
          <w:szCs w:val="16"/>
          <w:lang w:val="en-PH"/>
        </w:rPr>
        <w:t>.</w:t>
      </w:r>
    </w:p>
    <w:p w14:paraId="10C86738" w14:textId="29101548" w:rsidR="00B36811" w:rsidRDefault="00B36811">
      <w:pPr>
        <w:pStyle w:val="FootnoteText"/>
      </w:pPr>
    </w:p>
  </w:footnote>
  <w:footnote w:id="38">
    <w:p w14:paraId="3E58D959" w14:textId="5C70DB60" w:rsidR="00B36811" w:rsidRPr="00364347" w:rsidRDefault="00B36811">
      <w:pPr>
        <w:pStyle w:val="FootnoteText"/>
        <w:rPr>
          <w:i/>
          <w:iCs/>
          <w:sz w:val="16"/>
          <w:szCs w:val="16"/>
        </w:rPr>
      </w:pPr>
      <w:r w:rsidRPr="00364347">
        <w:rPr>
          <w:rStyle w:val="FootnoteReference"/>
        </w:rPr>
        <w:footnoteRef/>
      </w:r>
      <w:r w:rsidRPr="00364347">
        <w:rPr>
          <w:rStyle w:val="FootnoteReference"/>
        </w:rPr>
        <w:t xml:space="preserve"> </w:t>
      </w:r>
      <w:r w:rsidRPr="00364347">
        <w:rPr>
          <w:i/>
          <w:iCs/>
          <w:sz w:val="16"/>
          <w:szCs w:val="16"/>
        </w:rPr>
        <w:t xml:space="preserve">Chicago Board Options Exchange, CBOE Volatility Index: VIX [VIXCLS], retrieved from FRED, Federal Reserve Bank of St. Louis; </w:t>
      </w:r>
      <w:hyperlink r:id="rId37" w:history="1">
        <w:r w:rsidRPr="00364347">
          <w:rPr>
            <w:rStyle w:val="Hyperlink"/>
            <w:i/>
            <w:iCs/>
            <w:sz w:val="16"/>
            <w:szCs w:val="16"/>
          </w:rPr>
          <w:t>https://fred.stlouisfed.org/series/VIXCLS</w:t>
        </w:r>
      </w:hyperlink>
      <w:r w:rsidRPr="00364347">
        <w:rPr>
          <w:i/>
          <w:iCs/>
          <w:sz w:val="16"/>
          <w:szCs w:val="16"/>
        </w:rPr>
        <w:t xml:space="preserve">, </w:t>
      </w:r>
      <w:r w:rsidR="00BA47E9">
        <w:rPr>
          <w:i/>
          <w:iCs/>
          <w:sz w:val="16"/>
          <w:szCs w:val="16"/>
        </w:rPr>
        <w:t>Jul 28</w:t>
      </w:r>
      <w:r w:rsidR="00D467A8">
        <w:rPr>
          <w:i/>
          <w:iCs/>
          <w:sz w:val="16"/>
          <w:szCs w:val="16"/>
        </w:rPr>
        <w:t>, 2023</w:t>
      </w:r>
      <w:r w:rsidRPr="00364347">
        <w:rPr>
          <w:i/>
          <w:iCs/>
          <w:sz w:val="16"/>
          <w:szCs w:val="16"/>
        </w:rPr>
        <w:t>.</w:t>
      </w:r>
    </w:p>
  </w:footnote>
  <w:footnote w:id="39">
    <w:p w14:paraId="1CF53D3A" w14:textId="72DE7EDE" w:rsidR="00B36811" w:rsidRPr="00BF5CE2" w:rsidRDefault="00B36811">
      <w:pPr>
        <w:pStyle w:val="FootnoteText"/>
        <w:rPr>
          <w:lang w:val="en-PH"/>
        </w:rPr>
      </w:pPr>
      <w:r w:rsidRPr="002B29C7">
        <w:rPr>
          <w:rStyle w:val="FootnoteReference"/>
          <w:sz w:val="16"/>
          <w:szCs w:val="16"/>
        </w:rPr>
        <w:footnoteRef/>
      </w:r>
      <w:r w:rsidRPr="002B29C7">
        <w:rPr>
          <w:sz w:val="16"/>
          <w:szCs w:val="16"/>
        </w:rPr>
        <w:t xml:space="preserve"> </w:t>
      </w:r>
      <w:r w:rsidRPr="00364347">
        <w:rPr>
          <w:i/>
          <w:iCs/>
          <w:sz w:val="16"/>
          <w:szCs w:val="16"/>
        </w:rPr>
        <w:t>Federal Reserve Bank of St. Louis</w:t>
      </w:r>
      <w:r w:rsidRPr="00364347">
        <w:rPr>
          <w:i/>
          <w:iCs/>
          <w:sz w:val="16"/>
          <w:szCs w:val="16"/>
          <w:lang w:val="en-PH"/>
        </w:rPr>
        <w:t>, FOMC Summary of Economic Projections for the Growth Rate of Real Gross Domestic Product [GDPC1CTM],</w:t>
      </w:r>
      <w:r w:rsidRPr="00364347">
        <w:rPr>
          <w:rFonts w:cstheme="minorHAnsi"/>
          <w:i/>
          <w:iCs/>
          <w:color w:val="222222"/>
          <w:sz w:val="16"/>
          <w:szCs w:val="16"/>
          <w:shd w:val="clear" w:color="auto" w:fill="FFFFFF"/>
        </w:rPr>
        <w:t xml:space="preserve"> retr</w:t>
      </w:r>
      <w:r w:rsidRPr="002B29C7">
        <w:rPr>
          <w:rFonts w:cstheme="minorHAnsi"/>
          <w:i/>
          <w:iCs/>
          <w:color w:val="222222"/>
          <w:sz w:val="16"/>
          <w:szCs w:val="16"/>
          <w:shd w:val="clear" w:color="auto" w:fill="FFFFFF"/>
        </w:rPr>
        <w:t>ieved from FRED, Federal Reserve Bank of St. Louis; </w:t>
      </w:r>
      <w:hyperlink r:id="rId38" w:history="1">
        <w:r w:rsidRPr="00DF1D66">
          <w:rPr>
            <w:rStyle w:val="Hyperlink"/>
            <w:rFonts w:cstheme="minorHAnsi"/>
            <w:i/>
            <w:iCs/>
            <w:sz w:val="16"/>
            <w:szCs w:val="16"/>
            <w:shd w:val="clear" w:color="auto" w:fill="FFFFFF"/>
          </w:rPr>
          <w:t>https://fred.stlouisfed.org/series/GDPC1CTM</w:t>
        </w:r>
      </w:hyperlink>
      <w:r w:rsidRPr="002B29C7">
        <w:rPr>
          <w:rFonts w:cstheme="minorHAnsi"/>
          <w:i/>
          <w:iCs/>
          <w:color w:val="222222"/>
          <w:sz w:val="16"/>
          <w:szCs w:val="16"/>
          <w:shd w:val="clear" w:color="auto" w:fill="FFFFFF"/>
        </w:rPr>
        <w:t>,</w:t>
      </w:r>
      <w:r>
        <w:rPr>
          <w:rFonts w:cstheme="minorHAnsi"/>
          <w:i/>
          <w:iCs/>
          <w:color w:val="222222"/>
          <w:sz w:val="16"/>
          <w:szCs w:val="16"/>
          <w:shd w:val="clear" w:color="auto" w:fill="FFFFFF"/>
        </w:rPr>
        <w:t xml:space="preserve"> </w:t>
      </w:r>
      <w:r w:rsidR="009839D2">
        <w:rPr>
          <w:rFonts w:cstheme="minorHAnsi"/>
          <w:i/>
          <w:iCs/>
          <w:color w:val="222222"/>
          <w:sz w:val="16"/>
          <w:szCs w:val="16"/>
          <w:shd w:val="clear" w:color="auto" w:fill="FFFFFF"/>
        </w:rPr>
        <w:t>Jul 28</w:t>
      </w:r>
      <w:r w:rsidR="006A3F6C">
        <w:rPr>
          <w:rFonts w:cstheme="minorHAnsi"/>
          <w:i/>
          <w:iCs/>
          <w:color w:val="222222"/>
          <w:sz w:val="16"/>
          <w:szCs w:val="16"/>
          <w:shd w:val="clear" w:color="auto" w:fill="FFFFFF"/>
        </w:rPr>
        <w:t>, 2023</w:t>
      </w:r>
      <w:r w:rsidRPr="002B29C7">
        <w:rPr>
          <w:rFonts w:cstheme="minorHAnsi"/>
          <w:i/>
          <w:iCs/>
          <w:color w:val="222222"/>
          <w:sz w:val="16"/>
          <w:szCs w:val="16"/>
          <w:shd w:val="clear" w:color="auto" w:fill="FFFFFF"/>
        </w:rPr>
        <w:t>.</w:t>
      </w:r>
    </w:p>
  </w:footnote>
  <w:footnote w:id="40">
    <w:p w14:paraId="054982F6" w14:textId="6537D6BD" w:rsidR="00B36811" w:rsidRPr="005D3CEF" w:rsidRDefault="00B36811">
      <w:pPr>
        <w:pStyle w:val="FootnoteText"/>
        <w:rPr>
          <w:sz w:val="16"/>
          <w:szCs w:val="16"/>
          <w:lang w:val="en-PH"/>
        </w:rPr>
      </w:pPr>
      <w:r w:rsidRPr="005D3CEF">
        <w:rPr>
          <w:rStyle w:val="FootnoteReference"/>
          <w:sz w:val="16"/>
          <w:szCs w:val="16"/>
        </w:rPr>
        <w:footnoteRef/>
      </w:r>
      <w:r w:rsidRPr="005D3CEF">
        <w:rPr>
          <w:sz w:val="16"/>
          <w:szCs w:val="16"/>
        </w:rPr>
        <w:t xml:space="preserve"> </w:t>
      </w:r>
      <w:r w:rsidRPr="00364347">
        <w:rPr>
          <w:i/>
          <w:iCs/>
          <w:sz w:val="16"/>
          <w:szCs w:val="16"/>
        </w:rPr>
        <w:t>Federal Reserve Bank of St. Louis</w:t>
      </w:r>
      <w:r w:rsidRPr="00364347">
        <w:rPr>
          <w:i/>
          <w:iCs/>
          <w:sz w:val="16"/>
          <w:szCs w:val="16"/>
          <w:lang w:val="en-PH"/>
        </w:rPr>
        <w:t>, FOMC Summary of Economic Projections for the Personal Consumption Expenditures Inflation Rate, Central Tendency, Midpoint [PCECTPICTM],</w:t>
      </w:r>
      <w:r w:rsidRPr="00364347">
        <w:rPr>
          <w:rFonts w:cstheme="minorHAnsi"/>
          <w:i/>
          <w:iCs/>
          <w:color w:val="222222"/>
          <w:sz w:val="16"/>
          <w:szCs w:val="16"/>
          <w:shd w:val="clear" w:color="auto" w:fill="FFFFFF"/>
        </w:rPr>
        <w:t xml:space="preserve"> retrieved from FRED, Federal Reserve Bank of St. Louis; </w:t>
      </w:r>
      <w:hyperlink r:id="rId39" w:history="1">
        <w:r w:rsidRPr="00364347">
          <w:rPr>
            <w:rStyle w:val="Hyperlink"/>
            <w:rFonts w:cstheme="minorHAnsi"/>
            <w:i/>
            <w:iCs/>
            <w:sz w:val="16"/>
            <w:szCs w:val="16"/>
            <w:shd w:val="clear" w:color="auto" w:fill="FFFFFF"/>
          </w:rPr>
          <w:t>https://fred.stlouisfed.org/series/PCECTPICTM</w:t>
        </w:r>
      </w:hyperlink>
      <w:r w:rsidRPr="00364347">
        <w:rPr>
          <w:rFonts w:cstheme="minorHAnsi"/>
          <w:i/>
          <w:iCs/>
          <w:color w:val="222222"/>
          <w:sz w:val="16"/>
          <w:szCs w:val="16"/>
          <w:shd w:val="clear" w:color="auto" w:fill="FFFFFF"/>
        </w:rPr>
        <w:t xml:space="preserve">, </w:t>
      </w:r>
      <w:r w:rsidR="009839D2">
        <w:rPr>
          <w:rFonts w:cstheme="minorHAnsi"/>
          <w:i/>
          <w:iCs/>
          <w:color w:val="222222"/>
          <w:sz w:val="16"/>
          <w:szCs w:val="16"/>
          <w:shd w:val="clear" w:color="auto" w:fill="FFFFFF"/>
        </w:rPr>
        <w:t>Jul 28</w:t>
      </w:r>
      <w:r w:rsidR="00D467A8">
        <w:rPr>
          <w:rFonts w:cstheme="minorHAnsi"/>
          <w:i/>
          <w:iCs/>
          <w:color w:val="222222"/>
          <w:sz w:val="16"/>
          <w:szCs w:val="16"/>
          <w:shd w:val="clear" w:color="auto" w:fill="FFFFFF"/>
        </w:rPr>
        <w:t>, 2023</w:t>
      </w:r>
      <w:r w:rsidRPr="00364347">
        <w:rPr>
          <w:rFonts w:cstheme="minorHAnsi"/>
          <w:i/>
          <w:iCs/>
          <w:color w:val="222222"/>
          <w:sz w:val="16"/>
          <w:szCs w:val="16"/>
          <w:shd w:val="clear" w:color="auto" w:fill="FFFFFF"/>
        </w:rPr>
        <w:t>.</w:t>
      </w:r>
    </w:p>
  </w:footnote>
  <w:footnote w:id="41">
    <w:p w14:paraId="4A7DBD07" w14:textId="60024761" w:rsidR="00B36811" w:rsidRPr="00E72196" w:rsidRDefault="00B36811" w:rsidP="0049182B">
      <w:pPr>
        <w:pStyle w:val="FootnoteText"/>
        <w:jc w:val="both"/>
        <w:rPr>
          <w:lang w:val="en-PH"/>
        </w:rPr>
      </w:pPr>
      <w:r>
        <w:rPr>
          <w:rStyle w:val="FootnoteReference"/>
        </w:rPr>
        <w:footnoteRef/>
      </w:r>
      <w:r>
        <w:t xml:space="preserve"> </w:t>
      </w:r>
      <w:r w:rsidRPr="00364347">
        <w:rPr>
          <w:i/>
          <w:iCs/>
          <w:sz w:val="16"/>
          <w:szCs w:val="16"/>
        </w:rPr>
        <w:t>Federal Reserve Bank of St. Louis</w:t>
      </w:r>
      <w:r w:rsidRPr="00364347">
        <w:rPr>
          <w:i/>
          <w:iCs/>
          <w:sz w:val="16"/>
          <w:szCs w:val="16"/>
          <w:lang w:val="en-PH"/>
        </w:rPr>
        <w:t>, FOMC Summary of Economic Projections for the Civilian Unemployment Rate, Central Tendency, Midpoint</w:t>
      </w:r>
      <w:r>
        <w:rPr>
          <w:i/>
          <w:iCs/>
          <w:sz w:val="16"/>
          <w:szCs w:val="16"/>
          <w:lang w:val="en-PH"/>
        </w:rPr>
        <w:t xml:space="preserve"> </w:t>
      </w:r>
      <w:r w:rsidRPr="00364347">
        <w:rPr>
          <w:i/>
          <w:iCs/>
          <w:sz w:val="16"/>
          <w:szCs w:val="16"/>
          <w:lang w:val="en-PH"/>
        </w:rPr>
        <w:t>[UNRATECTM],</w:t>
      </w:r>
      <w:r w:rsidRPr="00364347">
        <w:rPr>
          <w:rFonts w:cstheme="minorHAnsi"/>
          <w:i/>
          <w:iCs/>
          <w:color w:val="222222"/>
          <w:sz w:val="16"/>
          <w:szCs w:val="16"/>
          <w:shd w:val="clear" w:color="auto" w:fill="FFFFFF"/>
        </w:rPr>
        <w:t xml:space="preserve"> retri</w:t>
      </w:r>
      <w:r w:rsidRPr="005D3CEF">
        <w:rPr>
          <w:rFonts w:cstheme="minorHAnsi"/>
          <w:i/>
          <w:iCs/>
          <w:color w:val="222222"/>
          <w:sz w:val="16"/>
          <w:szCs w:val="16"/>
          <w:shd w:val="clear" w:color="auto" w:fill="FFFFFF"/>
        </w:rPr>
        <w:t>eved from FRED, Federal Reserve Bank of St. Louis; </w:t>
      </w:r>
      <w:hyperlink r:id="rId40" w:history="1">
        <w:r w:rsidRPr="00DF1D66">
          <w:rPr>
            <w:rStyle w:val="Hyperlink"/>
            <w:rFonts w:cstheme="minorHAnsi"/>
            <w:i/>
            <w:iCs/>
            <w:sz w:val="16"/>
            <w:szCs w:val="16"/>
            <w:shd w:val="clear" w:color="auto" w:fill="FFFFFF"/>
          </w:rPr>
          <w:t>https://fred.stlouisfed.org/series/UNRATECTM</w:t>
        </w:r>
      </w:hyperlink>
      <w:r w:rsidRPr="005D3CEF">
        <w:rPr>
          <w:rFonts w:cstheme="minorHAnsi"/>
          <w:i/>
          <w:iCs/>
          <w:color w:val="222222"/>
          <w:sz w:val="16"/>
          <w:szCs w:val="16"/>
          <w:shd w:val="clear" w:color="auto" w:fill="FFFFFF"/>
        </w:rPr>
        <w:t xml:space="preserve">, </w:t>
      </w:r>
      <w:r w:rsidR="009839D2">
        <w:rPr>
          <w:rFonts w:cstheme="minorHAnsi"/>
          <w:i/>
          <w:iCs/>
          <w:color w:val="222222"/>
          <w:sz w:val="16"/>
          <w:szCs w:val="16"/>
          <w:shd w:val="clear" w:color="auto" w:fill="FFFFFF"/>
        </w:rPr>
        <w:t>Jul 28</w:t>
      </w:r>
      <w:r w:rsidR="00D467A8">
        <w:rPr>
          <w:rFonts w:cstheme="minorHAnsi"/>
          <w:i/>
          <w:iCs/>
          <w:color w:val="222222"/>
          <w:sz w:val="16"/>
          <w:szCs w:val="16"/>
          <w:shd w:val="clear" w:color="auto" w:fill="FFFFFF"/>
        </w:rPr>
        <w:t>, 2023</w:t>
      </w:r>
      <w:r w:rsidRPr="005D3CEF">
        <w:rPr>
          <w:rFonts w:cstheme="minorHAnsi"/>
          <w:i/>
          <w:iCs/>
          <w:color w:val="222222"/>
          <w:sz w:val="16"/>
          <w:szCs w:val="16"/>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D5FE7" w14:textId="77777777" w:rsidR="00B36811" w:rsidRPr="00460436" w:rsidRDefault="00B36811" w:rsidP="00460436">
    <w:pPr>
      <w:pStyle w:val="Header"/>
      <w:jc w:val="right"/>
      <w:rPr>
        <w:rStyle w:val="IntenseEmphasis"/>
      </w:rPr>
    </w:pPr>
    <w:r w:rsidRPr="00460436">
      <w:rPr>
        <w:rStyle w:val="IntenseEmphasis"/>
      </w:rPr>
      <w:t>Quarterly Economic Update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5F2D28"/>
    <w:multiLevelType w:val="hybridMultilevel"/>
    <w:tmpl w:val="3CC48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254B19"/>
    <w:multiLevelType w:val="hybridMultilevel"/>
    <w:tmpl w:val="82C2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B907BB"/>
    <w:multiLevelType w:val="hybridMultilevel"/>
    <w:tmpl w:val="A0F67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1E6018"/>
    <w:multiLevelType w:val="hybridMultilevel"/>
    <w:tmpl w:val="62A6E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3085586">
    <w:abstractNumId w:val="1"/>
  </w:num>
  <w:num w:numId="2" w16cid:durableId="398282987">
    <w:abstractNumId w:val="2"/>
  </w:num>
  <w:num w:numId="3" w16cid:durableId="1758331900">
    <w:abstractNumId w:val="0"/>
  </w:num>
  <w:num w:numId="4" w16cid:durableId="2444154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111"/>
    <w:rsid w:val="0000055B"/>
    <w:rsid w:val="000017CB"/>
    <w:rsid w:val="00001B20"/>
    <w:rsid w:val="000022F6"/>
    <w:rsid w:val="000048BB"/>
    <w:rsid w:val="00005111"/>
    <w:rsid w:val="00014CBA"/>
    <w:rsid w:val="00015329"/>
    <w:rsid w:val="00021EA4"/>
    <w:rsid w:val="00022BB4"/>
    <w:rsid w:val="00023FB9"/>
    <w:rsid w:val="000248D0"/>
    <w:rsid w:val="00024E64"/>
    <w:rsid w:val="00025568"/>
    <w:rsid w:val="0002602B"/>
    <w:rsid w:val="0002760A"/>
    <w:rsid w:val="00027E1E"/>
    <w:rsid w:val="00030ECA"/>
    <w:rsid w:val="0003136B"/>
    <w:rsid w:val="00031DA4"/>
    <w:rsid w:val="00032178"/>
    <w:rsid w:val="000322F4"/>
    <w:rsid w:val="00033B75"/>
    <w:rsid w:val="000345F7"/>
    <w:rsid w:val="000346C8"/>
    <w:rsid w:val="00035810"/>
    <w:rsid w:val="00035F0C"/>
    <w:rsid w:val="00035F9F"/>
    <w:rsid w:val="000360A6"/>
    <w:rsid w:val="0003611B"/>
    <w:rsid w:val="0004025D"/>
    <w:rsid w:val="0004306B"/>
    <w:rsid w:val="0004341A"/>
    <w:rsid w:val="00043F5D"/>
    <w:rsid w:val="00046A04"/>
    <w:rsid w:val="00047034"/>
    <w:rsid w:val="00047E74"/>
    <w:rsid w:val="00050BF6"/>
    <w:rsid w:val="0005198D"/>
    <w:rsid w:val="00052F94"/>
    <w:rsid w:val="0005394D"/>
    <w:rsid w:val="00053E46"/>
    <w:rsid w:val="00056A46"/>
    <w:rsid w:val="00056DC1"/>
    <w:rsid w:val="0005726F"/>
    <w:rsid w:val="00057711"/>
    <w:rsid w:val="00060AA5"/>
    <w:rsid w:val="00061DAA"/>
    <w:rsid w:val="000644DB"/>
    <w:rsid w:val="000650B3"/>
    <w:rsid w:val="00065E14"/>
    <w:rsid w:val="0007056A"/>
    <w:rsid w:val="00071875"/>
    <w:rsid w:val="00071A81"/>
    <w:rsid w:val="0007242E"/>
    <w:rsid w:val="00072C36"/>
    <w:rsid w:val="000738AD"/>
    <w:rsid w:val="00074123"/>
    <w:rsid w:val="000742F7"/>
    <w:rsid w:val="0007515A"/>
    <w:rsid w:val="000755E2"/>
    <w:rsid w:val="00075FA5"/>
    <w:rsid w:val="000763E1"/>
    <w:rsid w:val="00076744"/>
    <w:rsid w:val="00076850"/>
    <w:rsid w:val="000773EC"/>
    <w:rsid w:val="000807FF"/>
    <w:rsid w:val="000841DA"/>
    <w:rsid w:val="00084604"/>
    <w:rsid w:val="00084608"/>
    <w:rsid w:val="00084C45"/>
    <w:rsid w:val="00086DBA"/>
    <w:rsid w:val="000874E3"/>
    <w:rsid w:val="00090A7B"/>
    <w:rsid w:val="00090DA6"/>
    <w:rsid w:val="00091209"/>
    <w:rsid w:val="00091282"/>
    <w:rsid w:val="0009284F"/>
    <w:rsid w:val="00093D9A"/>
    <w:rsid w:val="00093EF4"/>
    <w:rsid w:val="0009699C"/>
    <w:rsid w:val="000A0001"/>
    <w:rsid w:val="000A06BD"/>
    <w:rsid w:val="000A0FCA"/>
    <w:rsid w:val="000A1224"/>
    <w:rsid w:val="000A239B"/>
    <w:rsid w:val="000A2C4B"/>
    <w:rsid w:val="000A3240"/>
    <w:rsid w:val="000A4F8E"/>
    <w:rsid w:val="000A6B19"/>
    <w:rsid w:val="000A79DC"/>
    <w:rsid w:val="000B0583"/>
    <w:rsid w:val="000B0B86"/>
    <w:rsid w:val="000B42F9"/>
    <w:rsid w:val="000B43C0"/>
    <w:rsid w:val="000B487C"/>
    <w:rsid w:val="000B4F85"/>
    <w:rsid w:val="000B5DA2"/>
    <w:rsid w:val="000B6EBB"/>
    <w:rsid w:val="000C09E2"/>
    <w:rsid w:val="000C117B"/>
    <w:rsid w:val="000C1495"/>
    <w:rsid w:val="000C19DD"/>
    <w:rsid w:val="000C2E7D"/>
    <w:rsid w:val="000C371B"/>
    <w:rsid w:val="000C62E8"/>
    <w:rsid w:val="000C6EEB"/>
    <w:rsid w:val="000C71C7"/>
    <w:rsid w:val="000C722D"/>
    <w:rsid w:val="000D2357"/>
    <w:rsid w:val="000D3995"/>
    <w:rsid w:val="000D47AB"/>
    <w:rsid w:val="000D4973"/>
    <w:rsid w:val="000D4AF1"/>
    <w:rsid w:val="000D503C"/>
    <w:rsid w:val="000D5719"/>
    <w:rsid w:val="000D646D"/>
    <w:rsid w:val="000D66EE"/>
    <w:rsid w:val="000D76D6"/>
    <w:rsid w:val="000D7BDC"/>
    <w:rsid w:val="000E0FA4"/>
    <w:rsid w:val="000E1968"/>
    <w:rsid w:val="000E1BAA"/>
    <w:rsid w:val="000E3192"/>
    <w:rsid w:val="000E5860"/>
    <w:rsid w:val="000E6060"/>
    <w:rsid w:val="000E6A61"/>
    <w:rsid w:val="000F02FB"/>
    <w:rsid w:val="000F1648"/>
    <w:rsid w:val="000F3008"/>
    <w:rsid w:val="000F4AC6"/>
    <w:rsid w:val="000F59FF"/>
    <w:rsid w:val="000F7F33"/>
    <w:rsid w:val="00100023"/>
    <w:rsid w:val="001009B9"/>
    <w:rsid w:val="00100DF8"/>
    <w:rsid w:val="00100F15"/>
    <w:rsid w:val="00102080"/>
    <w:rsid w:val="0010260B"/>
    <w:rsid w:val="0010377C"/>
    <w:rsid w:val="00105413"/>
    <w:rsid w:val="001057AF"/>
    <w:rsid w:val="001058D4"/>
    <w:rsid w:val="00105A55"/>
    <w:rsid w:val="00107AB4"/>
    <w:rsid w:val="001116CA"/>
    <w:rsid w:val="00111911"/>
    <w:rsid w:val="00111974"/>
    <w:rsid w:val="00112619"/>
    <w:rsid w:val="00113C90"/>
    <w:rsid w:val="001149CD"/>
    <w:rsid w:val="00114EE2"/>
    <w:rsid w:val="00115717"/>
    <w:rsid w:val="00116B91"/>
    <w:rsid w:val="00117BB0"/>
    <w:rsid w:val="00121A39"/>
    <w:rsid w:val="00121E2F"/>
    <w:rsid w:val="00122842"/>
    <w:rsid w:val="001235D8"/>
    <w:rsid w:val="001277B9"/>
    <w:rsid w:val="00130055"/>
    <w:rsid w:val="00131885"/>
    <w:rsid w:val="00131A14"/>
    <w:rsid w:val="00132201"/>
    <w:rsid w:val="00134A21"/>
    <w:rsid w:val="00134DA5"/>
    <w:rsid w:val="00137248"/>
    <w:rsid w:val="00140712"/>
    <w:rsid w:val="00140763"/>
    <w:rsid w:val="00140B44"/>
    <w:rsid w:val="00140FEE"/>
    <w:rsid w:val="00142F71"/>
    <w:rsid w:val="001451F8"/>
    <w:rsid w:val="001460CC"/>
    <w:rsid w:val="001475FF"/>
    <w:rsid w:val="0015037B"/>
    <w:rsid w:val="00150655"/>
    <w:rsid w:val="001511FF"/>
    <w:rsid w:val="00152215"/>
    <w:rsid w:val="00153FBB"/>
    <w:rsid w:val="00154420"/>
    <w:rsid w:val="001545F2"/>
    <w:rsid w:val="00155E5F"/>
    <w:rsid w:val="00155E88"/>
    <w:rsid w:val="00156E24"/>
    <w:rsid w:val="00156FE4"/>
    <w:rsid w:val="0015736C"/>
    <w:rsid w:val="0016088B"/>
    <w:rsid w:val="00162E77"/>
    <w:rsid w:val="00163F37"/>
    <w:rsid w:val="001642E0"/>
    <w:rsid w:val="00164566"/>
    <w:rsid w:val="00166778"/>
    <w:rsid w:val="0016688A"/>
    <w:rsid w:val="00166C08"/>
    <w:rsid w:val="00166F90"/>
    <w:rsid w:val="00171C8E"/>
    <w:rsid w:val="00172307"/>
    <w:rsid w:val="001726E0"/>
    <w:rsid w:val="001737B6"/>
    <w:rsid w:val="00173FBF"/>
    <w:rsid w:val="001744C6"/>
    <w:rsid w:val="0017465F"/>
    <w:rsid w:val="00174B44"/>
    <w:rsid w:val="00174BCD"/>
    <w:rsid w:val="00174CC3"/>
    <w:rsid w:val="001750D1"/>
    <w:rsid w:val="001756EC"/>
    <w:rsid w:val="0017576B"/>
    <w:rsid w:val="00175A46"/>
    <w:rsid w:val="00176C00"/>
    <w:rsid w:val="00176F91"/>
    <w:rsid w:val="001773AA"/>
    <w:rsid w:val="0018096F"/>
    <w:rsid w:val="00180CA9"/>
    <w:rsid w:val="001819E6"/>
    <w:rsid w:val="00182738"/>
    <w:rsid w:val="001829D2"/>
    <w:rsid w:val="00183B61"/>
    <w:rsid w:val="00186318"/>
    <w:rsid w:val="00186873"/>
    <w:rsid w:val="001868CB"/>
    <w:rsid w:val="00187669"/>
    <w:rsid w:val="00193436"/>
    <w:rsid w:val="001945EC"/>
    <w:rsid w:val="0019513E"/>
    <w:rsid w:val="00195B12"/>
    <w:rsid w:val="001A21D2"/>
    <w:rsid w:val="001A3FBA"/>
    <w:rsid w:val="001A4F9E"/>
    <w:rsid w:val="001A5EDF"/>
    <w:rsid w:val="001A6B4E"/>
    <w:rsid w:val="001A6C20"/>
    <w:rsid w:val="001A6C86"/>
    <w:rsid w:val="001B1490"/>
    <w:rsid w:val="001B1D5E"/>
    <w:rsid w:val="001B4B76"/>
    <w:rsid w:val="001B4D24"/>
    <w:rsid w:val="001C0418"/>
    <w:rsid w:val="001C0F2A"/>
    <w:rsid w:val="001C1070"/>
    <w:rsid w:val="001C1077"/>
    <w:rsid w:val="001C14A1"/>
    <w:rsid w:val="001C2541"/>
    <w:rsid w:val="001C2553"/>
    <w:rsid w:val="001C38B9"/>
    <w:rsid w:val="001C5F4E"/>
    <w:rsid w:val="001C7617"/>
    <w:rsid w:val="001D097E"/>
    <w:rsid w:val="001D7D8D"/>
    <w:rsid w:val="001E04F8"/>
    <w:rsid w:val="001E1516"/>
    <w:rsid w:val="001E15B0"/>
    <w:rsid w:val="001E203A"/>
    <w:rsid w:val="001E26E8"/>
    <w:rsid w:val="001E42A6"/>
    <w:rsid w:val="001E483E"/>
    <w:rsid w:val="001E6FCC"/>
    <w:rsid w:val="001E7445"/>
    <w:rsid w:val="001E7D9C"/>
    <w:rsid w:val="001F297B"/>
    <w:rsid w:val="001F4E3D"/>
    <w:rsid w:val="001F7970"/>
    <w:rsid w:val="0020145F"/>
    <w:rsid w:val="002024E2"/>
    <w:rsid w:val="0020274B"/>
    <w:rsid w:val="00203609"/>
    <w:rsid w:val="00204969"/>
    <w:rsid w:val="00204D9D"/>
    <w:rsid w:val="00207E89"/>
    <w:rsid w:val="002106AF"/>
    <w:rsid w:val="002108BA"/>
    <w:rsid w:val="00210DB1"/>
    <w:rsid w:val="0021341A"/>
    <w:rsid w:val="0021377C"/>
    <w:rsid w:val="00217AD5"/>
    <w:rsid w:val="00220B63"/>
    <w:rsid w:val="002216F6"/>
    <w:rsid w:val="002218BC"/>
    <w:rsid w:val="002219B5"/>
    <w:rsid w:val="0022226D"/>
    <w:rsid w:val="0022416D"/>
    <w:rsid w:val="00224BBF"/>
    <w:rsid w:val="0022724A"/>
    <w:rsid w:val="002301AB"/>
    <w:rsid w:val="002308A9"/>
    <w:rsid w:val="00230D29"/>
    <w:rsid w:val="00231BB2"/>
    <w:rsid w:val="00231FA3"/>
    <w:rsid w:val="00232336"/>
    <w:rsid w:val="00234C71"/>
    <w:rsid w:val="00234E76"/>
    <w:rsid w:val="00234F94"/>
    <w:rsid w:val="00235B28"/>
    <w:rsid w:val="002361FB"/>
    <w:rsid w:val="002366E1"/>
    <w:rsid w:val="00236B68"/>
    <w:rsid w:val="00237901"/>
    <w:rsid w:val="00237E71"/>
    <w:rsid w:val="002406D9"/>
    <w:rsid w:val="0024113D"/>
    <w:rsid w:val="002435D7"/>
    <w:rsid w:val="00244369"/>
    <w:rsid w:val="00244C4D"/>
    <w:rsid w:val="00245903"/>
    <w:rsid w:val="00245B33"/>
    <w:rsid w:val="002502D5"/>
    <w:rsid w:val="00250313"/>
    <w:rsid w:val="00251456"/>
    <w:rsid w:val="002516C6"/>
    <w:rsid w:val="002521FF"/>
    <w:rsid w:val="0025222E"/>
    <w:rsid w:val="00252A9B"/>
    <w:rsid w:val="002530D7"/>
    <w:rsid w:val="00254176"/>
    <w:rsid w:val="0025469C"/>
    <w:rsid w:val="00254F79"/>
    <w:rsid w:val="00255530"/>
    <w:rsid w:val="00255C11"/>
    <w:rsid w:val="00255C32"/>
    <w:rsid w:val="0025666D"/>
    <w:rsid w:val="00257944"/>
    <w:rsid w:val="002608F3"/>
    <w:rsid w:val="00260D17"/>
    <w:rsid w:val="00261A6E"/>
    <w:rsid w:val="0026329B"/>
    <w:rsid w:val="00263EBD"/>
    <w:rsid w:val="00265131"/>
    <w:rsid w:val="0026599C"/>
    <w:rsid w:val="002731EF"/>
    <w:rsid w:val="00273406"/>
    <w:rsid w:val="00273DCA"/>
    <w:rsid w:val="002743DC"/>
    <w:rsid w:val="0027585A"/>
    <w:rsid w:val="002775DB"/>
    <w:rsid w:val="002803D6"/>
    <w:rsid w:val="002817E1"/>
    <w:rsid w:val="00281B1D"/>
    <w:rsid w:val="00281E64"/>
    <w:rsid w:val="0028237E"/>
    <w:rsid w:val="0028240F"/>
    <w:rsid w:val="00282C6E"/>
    <w:rsid w:val="00283D6F"/>
    <w:rsid w:val="002857FD"/>
    <w:rsid w:val="00285D03"/>
    <w:rsid w:val="00285F67"/>
    <w:rsid w:val="00291763"/>
    <w:rsid w:val="00291E5B"/>
    <w:rsid w:val="00291FFB"/>
    <w:rsid w:val="0029246D"/>
    <w:rsid w:val="00292B24"/>
    <w:rsid w:val="002930DF"/>
    <w:rsid w:val="00294A8D"/>
    <w:rsid w:val="00296BEB"/>
    <w:rsid w:val="002972D2"/>
    <w:rsid w:val="00297653"/>
    <w:rsid w:val="002978F9"/>
    <w:rsid w:val="002A0B80"/>
    <w:rsid w:val="002A14C5"/>
    <w:rsid w:val="002A375D"/>
    <w:rsid w:val="002A3CB2"/>
    <w:rsid w:val="002A45E8"/>
    <w:rsid w:val="002A496C"/>
    <w:rsid w:val="002A72F6"/>
    <w:rsid w:val="002A764F"/>
    <w:rsid w:val="002B0DF1"/>
    <w:rsid w:val="002B16D0"/>
    <w:rsid w:val="002B29C7"/>
    <w:rsid w:val="002B2BBA"/>
    <w:rsid w:val="002B2F86"/>
    <w:rsid w:val="002B4308"/>
    <w:rsid w:val="002B5EF5"/>
    <w:rsid w:val="002B5FDA"/>
    <w:rsid w:val="002B6581"/>
    <w:rsid w:val="002C0EC8"/>
    <w:rsid w:val="002C1F64"/>
    <w:rsid w:val="002C240B"/>
    <w:rsid w:val="002C261D"/>
    <w:rsid w:val="002C3C67"/>
    <w:rsid w:val="002C429F"/>
    <w:rsid w:val="002C5E52"/>
    <w:rsid w:val="002C601A"/>
    <w:rsid w:val="002C69A4"/>
    <w:rsid w:val="002D17D6"/>
    <w:rsid w:val="002D4C10"/>
    <w:rsid w:val="002D5CC3"/>
    <w:rsid w:val="002D660A"/>
    <w:rsid w:val="002D7154"/>
    <w:rsid w:val="002D78A5"/>
    <w:rsid w:val="002E0DC9"/>
    <w:rsid w:val="002E0F29"/>
    <w:rsid w:val="002E2644"/>
    <w:rsid w:val="002E3213"/>
    <w:rsid w:val="002E3647"/>
    <w:rsid w:val="002E3E26"/>
    <w:rsid w:val="002E4494"/>
    <w:rsid w:val="002E58CF"/>
    <w:rsid w:val="002E6FDE"/>
    <w:rsid w:val="002E782B"/>
    <w:rsid w:val="002E7ACF"/>
    <w:rsid w:val="002F0CDA"/>
    <w:rsid w:val="002F1660"/>
    <w:rsid w:val="002F1B2A"/>
    <w:rsid w:val="002F1B4B"/>
    <w:rsid w:val="002F1C7B"/>
    <w:rsid w:val="002F3682"/>
    <w:rsid w:val="002F3ADD"/>
    <w:rsid w:val="002F3CE6"/>
    <w:rsid w:val="002F4629"/>
    <w:rsid w:val="002F57B6"/>
    <w:rsid w:val="002F6282"/>
    <w:rsid w:val="002F63F8"/>
    <w:rsid w:val="002F6613"/>
    <w:rsid w:val="002F7404"/>
    <w:rsid w:val="002F7417"/>
    <w:rsid w:val="003028B3"/>
    <w:rsid w:val="00303DA5"/>
    <w:rsid w:val="00304B4E"/>
    <w:rsid w:val="003058BA"/>
    <w:rsid w:val="00306B1D"/>
    <w:rsid w:val="00306EFA"/>
    <w:rsid w:val="003071CD"/>
    <w:rsid w:val="00307A87"/>
    <w:rsid w:val="0031179D"/>
    <w:rsid w:val="00311E77"/>
    <w:rsid w:val="00313A4E"/>
    <w:rsid w:val="00314985"/>
    <w:rsid w:val="003167AC"/>
    <w:rsid w:val="00316CBD"/>
    <w:rsid w:val="00316E8F"/>
    <w:rsid w:val="00317448"/>
    <w:rsid w:val="003175DC"/>
    <w:rsid w:val="003218DD"/>
    <w:rsid w:val="00321912"/>
    <w:rsid w:val="00321AA2"/>
    <w:rsid w:val="00322C58"/>
    <w:rsid w:val="00323C75"/>
    <w:rsid w:val="003240BB"/>
    <w:rsid w:val="00326225"/>
    <w:rsid w:val="00327700"/>
    <w:rsid w:val="0033052C"/>
    <w:rsid w:val="0033144B"/>
    <w:rsid w:val="003316E9"/>
    <w:rsid w:val="00331CF3"/>
    <w:rsid w:val="00332197"/>
    <w:rsid w:val="00332C5D"/>
    <w:rsid w:val="00334DE4"/>
    <w:rsid w:val="0033537B"/>
    <w:rsid w:val="00336F2C"/>
    <w:rsid w:val="003376CD"/>
    <w:rsid w:val="00337BD8"/>
    <w:rsid w:val="00340262"/>
    <w:rsid w:val="00340B8A"/>
    <w:rsid w:val="003411C1"/>
    <w:rsid w:val="00341282"/>
    <w:rsid w:val="003412DA"/>
    <w:rsid w:val="003414E7"/>
    <w:rsid w:val="00346350"/>
    <w:rsid w:val="00346E54"/>
    <w:rsid w:val="0034740B"/>
    <w:rsid w:val="003477B7"/>
    <w:rsid w:val="003479C3"/>
    <w:rsid w:val="00350673"/>
    <w:rsid w:val="003509E7"/>
    <w:rsid w:val="003531E6"/>
    <w:rsid w:val="00353F0A"/>
    <w:rsid w:val="00354195"/>
    <w:rsid w:val="00354414"/>
    <w:rsid w:val="00354FA1"/>
    <w:rsid w:val="0035542E"/>
    <w:rsid w:val="00360100"/>
    <w:rsid w:val="00361E70"/>
    <w:rsid w:val="00362202"/>
    <w:rsid w:val="00363E78"/>
    <w:rsid w:val="00364347"/>
    <w:rsid w:val="003643F8"/>
    <w:rsid w:val="00365998"/>
    <w:rsid w:val="0036641E"/>
    <w:rsid w:val="00370D64"/>
    <w:rsid w:val="003711BF"/>
    <w:rsid w:val="00371414"/>
    <w:rsid w:val="00372F3C"/>
    <w:rsid w:val="00373A3D"/>
    <w:rsid w:val="00374F21"/>
    <w:rsid w:val="00376778"/>
    <w:rsid w:val="003802E7"/>
    <w:rsid w:val="003812D0"/>
    <w:rsid w:val="0038144F"/>
    <w:rsid w:val="00381A81"/>
    <w:rsid w:val="00382C86"/>
    <w:rsid w:val="003836A8"/>
    <w:rsid w:val="00384A65"/>
    <w:rsid w:val="00385105"/>
    <w:rsid w:val="00386023"/>
    <w:rsid w:val="00387C82"/>
    <w:rsid w:val="0039196F"/>
    <w:rsid w:val="00391D3A"/>
    <w:rsid w:val="003926DD"/>
    <w:rsid w:val="00392D01"/>
    <w:rsid w:val="00393B78"/>
    <w:rsid w:val="0039421C"/>
    <w:rsid w:val="00394236"/>
    <w:rsid w:val="00395B3E"/>
    <w:rsid w:val="00396933"/>
    <w:rsid w:val="00396E51"/>
    <w:rsid w:val="0039711B"/>
    <w:rsid w:val="0039736B"/>
    <w:rsid w:val="00397F57"/>
    <w:rsid w:val="003A0447"/>
    <w:rsid w:val="003A0B8A"/>
    <w:rsid w:val="003A2900"/>
    <w:rsid w:val="003A390C"/>
    <w:rsid w:val="003A3D8A"/>
    <w:rsid w:val="003A4B97"/>
    <w:rsid w:val="003A4BCC"/>
    <w:rsid w:val="003A4C56"/>
    <w:rsid w:val="003A679B"/>
    <w:rsid w:val="003B0615"/>
    <w:rsid w:val="003B0B22"/>
    <w:rsid w:val="003B2A9D"/>
    <w:rsid w:val="003B2BFB"/>
    <w:rsid w:val="003B3369"/>
    <w:rsid w:val="003B4D22"/>
    <w:rsid w:val="003C1A72"/>
    <w:rsid w:val="003C1F24"/>
    <w:rsid w:val="003C2173"/>
    <w:rsid w:val="003C3E65"/>
    <w:rsid w:val="003C4023"/>
    <w:rsid w:val="003C4CAF"/>
    <w:rsid w:val="003D112A"/>
    <w:rsid w:val="003D1D39"/>
    <w:rsid w:val="003D3C51"/>
    <w:rsid w:val="003D4159"/>
    <w:rsid w:val="003D52B8"/>
    <w:rsid w:val="003D5D19"/>
    <w:rsid w:val="003E18DF"/>
    <w:rsid w:val="003E282E"/>
    <w:rsid w:val="003E2CCE"/>
    <w:rsid w:val="003E3039"/>
    <w:rsid w:val="003E3E2D"/>
    <w:rsid w:val="003E4ACB"/>
    <w:rsid w:val="003E5CFB"/>
    <w:rsid w:val="003E62D6"/>
    <w:rsid w:val="003F007D"/>
    <w:rsid w:val="003F0EE9"/>
    <w:rsid w:val="003F14BE"/>
    <w:rsid w:val="003F24A9"/>
    <w:rsid w:val="003F2FE7"/>
    <w:rsid w:val="003F469F"/>
    <w:rsid w:val="003F4CDB"/>
    <w:rsid w:val="003F5061"/>
    <w:rsid w:val="004005A4"/>
    <w:rsid w:val="00401A65"/>
    <w:rsid w:val="0040211C"/>
    <w:rsid w:val="00403355"/>
    <w:rsid w:val="00404E89"/>
    <w:rsid w:val="0040653A"/>
    <w:rsid w:val="00407A82"/>
    <w:rsid w:val="0041138E"/>
    <w:rsid w:val="00411404"/>
    <w:rsid w:val="00411A4C"/>
    <w:rsid w:val="00412532"/>
    <w:rsid w:val="00412C1A"/>
    <w:rsid w:val="004134F4"/>
    <w:rsid w:val="00413EE3"/>
    <w:rsid w:val="00413F0F"/>
    <w:rsid w:val="00421F60"/>
    <w:rsid w:val="00422961"/>
    <w:rsid w:val="0042476E"/>
    <w:rsid w:val="00424E74"/>
    <w:rsid w:val="00426A6A"/>
    <w:rsid w:val="00427110"/>
    <w:rsid w:val="0042719D"/>
    <w:rsid w:val="0042797E"/>
    <w:rsid w:val="0043016A"/>
    <w:rsid w:val="004306FA"/>
    <w:rsid w:val="004330C8"/>
    <w:rsid w:val="004335C3"/>
    <w:rsid w:val="004406C3"/>
    <w:rsid w:val="00440FEB"/>
    <w:rsid w:val="00442163"/>
    <w:rsid w:val="00442565"/>
    <w:rsid w:val="00442A7A"/>
    <w:rsid w:val="00442BF6"/>
    <w:rsid w:val="00442D2A"/>
    <w:rsid w:val="00443A15"/>
    <w:rsid w:val="00445A11"/>
    <w:rsid w:val="00446C08"/>
    <w:rsid w:val="004476DE"/>
    <w:rsid w:val="00447A7B"/>
    <w:rsid w:val="00447E7F"/>
    <w:rsid w:val="00447F8B"/>
    <w:rsid w:val="00450276"/>
    <w:rsid w:val="004506CC"/>
    <w:rsid w:val="0045095D"/>
    <w:rsid w:val="0045097E"/>
    <w:rsid w:val="00450F1A"/>
    <w:rsid w:val="004513EB"/>
    <w:rsid w:val="00451755"/>
    <w:rsid w:val="00451F5B"/>
    <w:rsid w:val="00452720"/>
    <w:rsid w:val="004531BD"/>
    <w:rsid w:val="004534D1"/>
    <w:rsid w:val="00453708"/>
    <w:rsid w:val="00453738"/>
    <w:rsid w:val="00454F4B"/>
    <w:rsid w:val="00455043"/>
    <w:rsid w:val="0045550A"/>
    <w:rsid w:val="00455D78"/>
    <w:rsid w:val="0045641F"/>
    <w:rsid w:val="004564C6"/>
    <w:rsid w:val="00456741"/>
    <w:rsid w:val="004567EF"/>
    <w:rsid w:val="00457E1D"/>
    <w:rsid w:val="00460436"/>
    <w:rsid w:val="00460DE2"/>
    <w:rsid w:val="00460E43"/>
    <w:rsid w:val="00463560"/>
    <w:rsid w:val="00466612"/>
    <w:rsid w:val="00466861"/>
    <w:rsid w:val="00467365"/>
    <w:rsid w:val="00467AB1"/>
    <w:rsid w:val="004709B0"/>
    <w:rsid w:val="004759DB"/>
    <w:rsid w:val="004778D8"/>
    <w:rsid w:val="0048128D"/>
    <w:rsid w:val="0048403A"/>
    <w:rsid w:val="004846E4"/>
    <w:rsid w:val="00484D87"/>
    <w:rsid w:val="00485093"/>
    <w:rsid w:val="004903C9"/>
    <w:rsid w:val="004907DA"/>
    <w:rsid w:val="00490AFD"/>
    <w:rsid w:val="0049134B"/>
    <w:rsid w:val="0049180E"/>
    <w:rsid w:val="0049182B"/>
    <w:rsid w:val="00491B4B"/>
    <w:rsid w:val="00491F40"/>
    <w:rsid w:val="00493CF1"/>
    <w:rsid w:val="004940F1"/>
    <w:rsid w:val="00494933"/>
    <w:rsid w:val="00495F77"/>
    <w:rsid w:val="004965CE"/>
    <w:rsid w:val="00496E13"/>
    <w:rsid w:val="004A0649"/>
    <w:rsid w:val="004A0947"/>
    <w:rsid w:val="004A0ABB"/>
    <w:rsid w:val="004A4BD1"/>
    <w:rsid w:val="004A707E"/>
    <w:rsid w:val="004B047B"/>
    <w:rsid w:val="004B2BFB"/>
    <w:rsid w:val="004B2DF4"/>
    <w:rsid w:val="004B3923"/>
    <w:rsid w:val="004B3B5E"/>
    <w:rsid w:val="004B3D9F"/>
    <w:rsid w:val="004B5284"/>
    <w:rsid w:val="004B5394"/>
    <w:rsid w:val="004B6D7A"/>
    <w:rsid w:val="004B76BB"/>
    <w:rsid w:val="004B782C"/>
    <w:rsid w:val="004B7D92"/>
    <w:rsid w:val="004C1749"/>
    <w:rsid w:val="004C17A1"/>
    <w:rsid w:val="004C20AB"/>
    <w:rsid w:val="004C3365"/>
    <w:rsid w:val="004C587A"/>
    <w:rsid w:val="004C6B76"/>
    <w:rsid w:val="004C7928"/>
    <w:rsid w:val="004D0515"/>
    <w:rsid w:val="004D099A"/>
    <w:rsid w:val="004D1BCA"/>
    <w:rsid w:val="004D1C9D"/>
    <w:rsid w:val="004D1DA4"/>
    <w:rsid w:val="004D3A04"/>
    <w:rsid w:val="004E1574"/>
    <w:rsid w:val="004E2AB3"/>
    <w:rsid w:val="004E2C09"/>
    <w:rsid w:val="004E3393"/>
    <w:rsid w:val="004E3F0B"/>
    <w:rsid w:val="004E4723"/>
    <w:rsid w:val="004E4A45"/>
    <w:rsid w:val="004E4B6F"/>
    <w:rsid w:val="004E5EC0"/>
    <w:rsid w:val="004E7265"/>
    <w:rsid w:val="004F1136"/>
    <w:rsid w:val="004F1527"/>
    <w:rsid w:val="004F2735"/>
    <w:rsid w:val="004F307A"/>
    <w:rsid w:val="004F330B"/>
    <w:rsid w:val="004F3ADA"/>
    <w:rsid w:val="004F4F4F"/>
    <w:rsid w:val="004F55C9"/>
    <w:rsid w:val="004F67A9"/>
    <w:rsid w:val="004F73C7"/>
    <w:rsid w:val="00502627"/>
    <w:rsid w:val="00502B32"/>
    <w:rsid w:val="00504F45"/>
    <w:rsid w:val="00507645"/>
    <w:rsid w:val="00507B5A"/>
    <w:rsid w:val="005117CA"/>
    <w:rsid w:val="005125AE"/>
    <w:rsid w:val="005127D3"/>
    <w:rsid w:val="00515DB3"/>
    <w:rsid w:val="00515E9D"/>
    <w:rsid w:val="00516EDD"/>
    <w:rsid w:val="005200CA"/>
    <w:rsid w:val="0052077C"/>
    <w:rsid w:val="00521F1D"/>
    <w:rsid w:val="005232D6"/>
    <w:rsid w:val="005233AB"/>
    <w:rsid w:val="0052479C"/>
    <w:rsid w:val="00525C1B"/>
    <w:rsid w:val="005261C1"/>
    <w:rsid w:val="00530B69"/>
    <w:rsid w:val="00530EFD"/>
    <w:rsid w:val="00532A06"/>
    <w:rsid w:val="005356B5"/>
    <w:rsid w:val="00536317"/>
    <w:rsid w:val="00536754"/>
    <w:rsid w:val="00536AD4"/>
    <w:rsid w:val="00536B00"/>
    <w:rsid w:val="00536ED9"/>
    <w:rsid w:val="005378C5"/>
    <w:rsid w:val="00537FF8"/>
    <w:rsid w:val="00540D2B"/>
    <w:rsid w:val="00541D29"/>
    <w:rsid w:val="005425D7"/>
    <w:rsid w:val="00542F5A"/>
    <w:rsid w:val="00544623"/>
    <w:rsid w:val="005469DE"/>
    <w:rsid w:val="005475F2"/>
    <w:rsid w:val="0055033B"/>
    <w:rsid w:val="005505E0"/>
    <w:rsid w:val="005505E5"/>
    <w:rsid w:val="00550C7C"/>
    <w:rsid w:val="00551864"/>
    <w:rsid w:val="00551B4D"/>
    <w:rsid w:val="00551CFE"/>
    <w:rsid w:val="00554121"/>
    <w:rsid w:val="005554F5"/>
    <w:rsid w:val="0055555A"/>
    <w:rsid w:val="005563D4"/>
    <w:rsid w:val="00556560"/>
    <w:rsid w:val="0055673A"/>
    <w:rsid w:val="00556EAD"/>
    <w:rsid w:val="00557239"/>
    <w:rsid w:val="005573A8"/>
    <w:rsid w:val="00562791"/>
    <w:rsid w:val="00562B39"/>
    <w:rsid w:val="0056320C"/>
    <w:rsid w:val="005650CD"/>
    <w:rsid w:val="005662B5"/>
    <w:rsid w:val="00567138"/>
    <w:rsid w:val="00570005"/>
    <w:rsid w:val="00570346"/>
    <w:rsid w:val="00571BD4"/>
    <w:rsid w:val="00572F03"/>
    <w:rsid w:val="005734C4"/>
    <w:rsid w:val="0057468C"/>
    <w:rsid w:val="00575923"/>
    <w:rsid w:val="00576484"/>
    <w:rsid w:val="00576E9B"/>
    <w:rsid w:val="0057783F"/>
    <w:rsid w:val="005779B7"/>
    <w:rsid w:val="00577C8E"/>
    <w:rsid w:val="005807C6"/>
    <w:rsid w:val="00580F92"/>
    <w:rsid w:val="005828F0"/>
    <w:rsid w:val="0058330E"/>
    <w:rsid w:val="00583BEE"/>
    <w:rsid w:val="00584B8E"/>
    <w:rsid w:val="00587C5A"/>
    <w:rsid w:val="00587D0C"/>
    <w:rsid w:val="00590141"/>
    <w:rsid w:val="00590322"/>
    <w:rsid w:val="005917C1"/>
    <w:rsid w:val="00591A62"/>
    <w:rsid w:val="005933D9"/>
    <w:rsid w:val="00594B4A"/>
    <w:rsid w:val="005954B1"/>
    <w:rsid w:val="00595D8A"/>
    <w:rsid w:val="005979DD"/>
    <w:rsid w:val="005A0EC4"/>
    <w:rsid w:val="005A5095"/>
    <w:rsid w:val="005A5F06"/>
    <w:rsid w:val="005A693F"/>
    <w:rsid w:val="005A6F5B"/>
    <w:rsid w:val="005B08A9"/>
    <w:rsid w:val="005B1168"/>
    <w:rsid w:val="005B1ACA"/>
    <w:rsid w:val="005B2ED9"/>
    <w:rsid w:val="005B40E5"/>
    <w:rsid w:val="005B67F4"/>
    <w:rsid w:val="005B7A7E"/>
    <w:rsid w:val="005C021F"/>
    <w:rsid w:val="005C0423"/>
    <w:rsid w:val="005C0A6E"/>
    <w:rsid w:val="005C0D2D"/>
    <w:rsid w:val="005C2215"/>
    <w:rsid w:val="005C22CA"/>
    <w:rsid w:val="005C2F47"/>
    <w:rsid w:val="005C493F"/>
    <w:rsid w:val="005C532B"/>
    <w:rsid w:val="005C6411"/>
    <w:rsid w:val="005C6CD5"/>
    <w:rsid w:val="005C6F0D"/>
    <w:rsid w:val="005C70FC"/>
    <w:rsid w:val="005C771E"/>
    <w:rsid w:val="005D022C"/>
    <w:rsid w:val="005D06C9"/>
    <w:rsid w:val="005D1E0A"/>
    <w:rsid w:val="005D1E7F"/>
    <w:rsid w:val="005D3CEF"/>
    <w:rsid w:val="005D3F1A"/>
    <w:rsid w:val="005D3FB8"/>
    <w:rsid w:val="005D43B8"/>
    <w:rsid w:val="005D5553"/>
    <w:rsid w:val="005D6316"/>
    <w:rsid w:val="005E19C2"/>
    <w:rsid w:val="005E1BD2"/>
    <w:rsid w:val="005E306A"/>
    <w:rsid w:val="005E3622"/>
    <w:rsid w:val="005E56AE"/>
    <w:rsid w:val="005E67EF"/>
    <w:rsid w:val="005E747C"/>
    <w:rsid w:val="005E797B"/>
    <w:rsid w:val="005E7A94"/>
    <w:rsid w:val="005F07E9"/>
    <w:rsid w:val="005F1D7F"/>
    <w:rsid w:val="005F344C"/>
    <w:rsid w:val="005F5744"/>
    <w:rsid w:val="005F5E70"/>
    <w:rsid w:val="00600AF9"/>
    <w:rsid w:val="00600E5F"/>
    <w:rsid w:val="00602441"/>
    <w:rsid w:val="00603BFF"/>
    <w:rsid w:val="006055F4"/>
    <w:rsid w:val="00605F4E"/>
    <w:rsid w:val="006068F7"/>
    <w:rsid w:val="00610140"/>
    <w:rsid w:val="0061080D"/>
    <w:rsid w:val="00610894"/>
    <w:rsid w:val="00611626"/>
    <w:rsid w:val="00611F45"/>
    <w:rsid w:val="0061200D"/>
    <w:rsid w:val="00612E76"/>
    <w:rsid w:val="006130EE"/>
    <w:rsid w:val="00613599"/>
    <w:rsid w:val="006148A4"/>
    <w:rsid w:val="00615B70"/>
    <w:rsid w:val="006167DB"/>
    <w:rsid w:val="00617DFF"/>
    <w:rsid w:val="00617E5C"/>
    <w:rsid w:val="00620094"/>
    <w:rsid w:val="00620252"/>
    <w:rsid w:val="00621173"/>
    <w:rsid w:val="0062162D"/>
    <w:rsid w:val="00622313"/>
    <w:rsid w:val="00622D23"/>
    <w:rsid w:val="00623672"/>
    <w:rsid w:val="0062444A"/>
    <w:rsid w:val="00624AEF"/>
    <w:rsid w:val="0062659E"/>
    <w:rsid w:val="00626DAC"/>
    <w:rsid w:val="0062704B"/>
    <w:rsid w:val="00627C19"/>
    <w:rsid w:val="00627DE7"/>
    <w:rsid w:val="006314B9"/>
    <w:rsid w:val="00631555"/>
    <w:rsid w:val="00632532"/>
    <w:rsid w:val="00632A78"/>
    <w:rsid w:val="00632E2D"/>
    <w:rsid w:val="00632F4E"/>
    <w:rsid w:val="006331A2"/>
    <w:rsid w:val="006342D9"/>
    <w:rsid w:val="00634658"/>
    <w:rsid w:val="00634787"/>
    <w:rsid w:val="00635C43"/>
    <w:rsid w:val="00635EAA"/>
    <w:rsid w:val="006364F6"/>
    <w:rsid w:val="00640C9C"/>
    <w:rsid w:val="00640DD5"/>
    <w:rsid w:val="00641A51"/>
    <w:rsid w:val="00643797"/>
    <w:rsid w:val="006439EA"/>
    <w:rsid w:val="00643FBF"/>
    <w:rsid w:val="006449AC"/>
    <w:rsid w:val="006451FA"/>
    <w:rsid w:val="0064538F"/>
    <w:rsid w:val="00650430"/>
    <w:rsid w:val="00650582"/>
    <w:rsid w:val="00651AC2"/>
    <w:rsid w:val="006528B7"/>
    <w:rsid w:val="00654A68"/>
    <w:rsid w:val="00654B02"/>
    <w:rsid w:val="006553D1"/>
    <w:rsid w:val="006575D2"/>
    <w:rsid w:val="00657642"/>
    <w:rsid w:val="00660739"/>
    <w:rsid w:val="00660A13"/>
    <w:rsid w:val="00660C7A"/>
    <w:rsid w:val="00660C8A"/>
    <w:rsid w:val="006619DC"/>
    <w:rsid w:val="00661AA7"/>
    <w:rsid w:val="00662828"/>
    <w:rsid w:val="00662F16"/>
    <w:rsid w:val="006630E1"/>
    <w:rsid w:val="006635EE"/>
    <w:rsid w:val="006646E8"/>
    <w:rsid w:val="006663D0"/>
    <w:rsid w:val="00670FB1"/>
    <w:rsid w:val="0067215A"/>
    <w:rsid w:val="00673A89"/>
    <w:rsid w:val="00674475"/>
    <w:rsid w:val="0067456E"/>
    <w:rsid w:val="006748EE"/>
    <w:rsid w:val="00675122"/>
    <w:rsid w:val="00675F26"/>
    <w:rsid w:val="006816F7"/>
    <w:rsid w:val="00682ADE"/>
    <w:rsid w:val="00682B7E"/>
    <w:rsid w:val="00685277"/>
    <w:rsid w:val="006859BA"/>
    <w:rsid w:val="006908FA"/>
    <w:rsid w:val="00690C93"/>
    <w:rsid w:val="0069122E"/>
    <w:rsid w:val="0069186C"/>
    <w:rsid w:val="00691D14"/>
    <w:rsid w:val="00691FBD"/>
    <w:rsid w:val="00694585"/>
    <w:rsid w:val="00694624"/>
    <w:rsid w:val="00695441"/>
    <w:rsid w:val="00695980"/>
    <w:rsid w:val="00696388"/>
    <w:rsid w:val="006970E9"/>
    <w:rsid w:val="00697A66"/>
    <w:rsid w:val="006A01A0"/>
    <w:rsid w:val="006A05B4"/>
    <w:rsid w:val="006A0819"/>
    <w:rsid w:val="006A114D"/>
    <w:rsid w:val="006A3F6C"/>
    <w:rsid w:val="006A5321"/>
    <w:rsid w:val="006A62EE"/>
    <w:rsid w:val="006A656A"/>
    <w:rsid w:val="006A687C"/>
    <w:rsid w:val="006A6BFF"/>
    <w:rsid w:val="006B166E"/>
    <w:rsid w:val="006B19C3"/>
    <w:rsid w:val="006B1EB1"/>
    <w:rsid w:val="006B25BB"/>
    <w:rsid w:val="006B361C"/>
    <w:rsid w:val="006B394A"/>
    <w:rsid w:val="006B3D25"/>
    <w:rsid w:val="006B44DA"/>
    <w:rsid w:val="006B48FA"/>
    <w:rsid w:val="006B792C"/>
    <w:rsid w:val="006C08FA"/>
    <w:rsid w:val="006C1321"/>
    <w:rsid w:val="006C28D8"/>
    <w:rsid w:val="006C2AC0"/>
    <w:rsid w:val="006C2DAB"/>
    <w:rsid w:val="006C534C"/>
    <w:rsid w:val="006C5DCC"/>
    <w:rsid w:val="006C6752"/>
    <w:rsid w:val="006C7116"/>
    <w:rsid w:val="006C7B04"/>
    <w:rsid w:val="006C7BEF"/>
    <w:rsid w:val="006D2660"/>
    <w:rsid w:val="006D2D96"/>
    <w:rsid w:val="006D3877"/>
    <w:rsid w:val="006D3964"/>
    <w:rsid w:val="006D451B"/>
    <w:rsid w:val="006D4E8F"/>
    <w:rsid w:val="006D518C"/>
    <w:rsid w:val="006D579F"/>
    <w:rsid w:val="006D705D"/>
    <w:rsid w:val="006E0830"/>
    <w:rsid w:val="006E4B4F"/>
    <w:rsid w:val="006E5760"/>
    <w:rsid w:val="006E608A"/>
    <w:rsid w:val="006E621A"/>
    <w:rsid w:val="006E69A7"/>
    <w:rsid w:val="006E6EAA"/>
    <w:rsid w:val="006F060A"/>
    <w:rsid w:val="006F0678"/>
    <w:rsid w:val="006F154C"/>
    <w:rsid w:val="006F1876"/>
    <w:rsid w:val="006F1B14"/>
    <w:rsid w:val="006F370F"/>
    <w:rsid w:val="006F3E36"/>
    <w:rsid w:val="006F49C7"/>
    <w:rsid w:val="006F4DB7"/>
    <w:rsid w:val="006F58B0"/>
    <w:rsid w:val="006F6733"/>
    <w:rsid w:val="006F67DF"/>
    <w:rsid w:val="006F7760"/>
    <w:rsid w:val="006F7E2D"/>
    <w:rsid w:val="006F7FB2"/>
    <w:rsid w:val="00700166"/>
    <w:rsid w:val="0070151C"/>
    <w:rsid w:val="00701D95"/>
    <w:rsid w:val="007030F0"/>
    <w:rsid w:val="00703D80"/>
    <w:rsid w:val="007062B8"/>
    <w:rsid w:val="00707B5E"/>
    <w:rsid w:val="007102D3"/>
    <w:rsid w:val="007110AF"/>
    <w:rsid w:val="00714B74"/>
    <w:rsid w:val="00720495"/>
    <w:rsid w:val="00720E64"/>
    <w:rsid w:val="00720F25"/>
    <w:rsid w:val="00722380"/>
    <w:rsid w:val="00723B51"/>
    <w:rsid w:val="00724C08"/>
    <w:rsid w:val="0072697B"/>
    <w:rsid w:val="00730BC7"/>
    <w:rsid w:val="00730C3D"/>
    <w:rsid w:val="007329E1"/>
    <w:rsid w:val="0073598E"/>
    <w:rsid w:val="00735CBB"/>
    <w:rsid w:val="007361CC"/>
    <w:rsid w:val="00737D58"/>
    <w:rsid w:val="00740863"/>
    <w:rsid w:val="0074137C"/>
    <w:rsid w:val="00741DA8"/>
    <w:rsid w:val="00742ADB"/>
    <w:rsid w:val="00742E84"/>
    <w:rsid w:val="00743683"/>
    <w:rsid w:val="00743A12"/>
    <w:rsid w:val="00746558"/>
    <w:rsid w:val="007477D7"/>
    <w:rsid w:val="00753854"/>
    <w:rsid w:val="0075479C"/>
    <w:rsid w:val="00754C29"/>
    <w:rsid w:val="007550F3"/>
    <w:rsid w:val="00755B70"/>
    <w:rsid w:val="00756248"/>
    <w:rsid w:val="00756A49"/>
    <w:rsid w:val="00757148"/>
    <w:rsid w:val="007602B9"/>
    <w:rsid w:val="007618D6"/>
    <w:rsid w:val="00761D36"/>
    <w:rsid w:val="0076272C"/>
    <w:rsid w:val="00762921"/>
    <w:rsid w:val="007635CE"/>
    <w:rsid w:val="00764284"/>
    <w:rsid w:val="00764632"/>
    <w:rsid w:val="0076678E"/>
    <w:rsid w:val="0076714B"/>
    <w:rsid w:val="0076717F"/>
    <w:rsid w:val="007679B8"/>
    <w:rsid w:val="0077027E"/>
    <w:rsid w:val="00770759"/>
    <w:rsid w:val="00771CA2"/>
    <w:rsid w:val="00772342"/>
    <w:rsid w:val="007736DF"/>
    <w:rsid w:val="00773AC4"/>
    <w:rsid w:val="00773B5B"/>
    <w:rsid w:val="00773E0E"/>
    <w:rsid w:val="007740D3"/>
    <w:rsid w:val="0077416E"/>
    <w:rsid w:val="00774E67"/>
    <w:rsid w:val="007765F6"/>
    <w:rsid w:val="007768C7"/>
    <w:rsid w:val="00776A56"/>
    <w:rsid w:val="00777D25"/>
    <w:rsid w:val="007807DE"/>
    <w:rsid w:val="00782F5F"/>
    <w:rsid w:val="00783BA9"/>
    <w:rsid w:val="0078488C"/>
    <w:rsid w:val="007870C8"/>
    <w:rsid w:val="007875DE"/>
    <w:rsid w:val="0079151F"/>
    <w:rsid w:val="00791F5C"/>
    <w:rsid w:val="007929C4"/>
    <w:rsid w:val="007929DB"/>
    <w:rsid w:val="00792E5D"/>
    <w:rsid w:val="007939CA"/>
    <w:rsid w:val="00795053"/>
    <w:rsid w:val="00795569"/>
    <w:rsid w:val="00795ECE"/>
    <w:rsid w:val="0079609A"/>
    <w:rsid w:val="007962F0"/>
    <w:rsid w:val="00796EC8"/>
    <w:rsid w:val="007A0574"/>
    <w:rsid w:val="007A05AD"/>
    <w:rsid w:val="007A0E93"/>
    <w:rsid w:val="007A46C7"/>
    <w:rsid w:val="007A4896"/>
    <w:rsid w:val="007A4A4B"/>
    <w:rsid w:val="007A5255"/>
    <w:rsid w:val="007A6F60"/>
    <w:rsid w:val="007A770A"/>
    <w:rsid w:val="007A7FCF"/>
    <w:rsid w:val="007B08DC"/>
    <w:rsid w:val="007B0B25"/>
    <w:rsid w:val="007B0C0E"/>
    <w:rsid w:val="007B0FB5"/>
    <w:rsid w:val="007B132C"/>
    <w:rsid w:val="007B178B"/>
    <w:rsid w:val="007B3A9E"/>
    <w:rsid w:val="007B4191"/>
    <w:rsid w:val="007B5780"/>
    <w:rsid w:val="007B5CA1"/>
    <w:rsid w:val="007B69AE"/>
    <w:rsid w:val="007B70CF"/>
    <w:rsid w:val="007B7D73"/>
    <w:rsid w:val="007C1E79"/>
    <w:rsid w:val="007C25F4"/>
    <w:rsid w:val="007C29E7"/>
    <w:rsid w:val="007C4944"/>
    <w:rsid w:val="007C54CB"/>
    <w:rsid w:val="007C5517"/>
    <w:rsid w:val="007C659E"/>
    <w:rsid w:val="007D3E70"/>
    <w:rsid w:val="007D42CD"/>
    <w:rsid w:val="007D4FF9"/>
    <w:rsid w:val="007E1BB9"/>
    <w:rsid w:val="007E321E"/>
    <w:rsid w:val="007E3ED3"/>
    <w:rsid w:val="007E45F6"/>
    <w:rsid w:val="007E4E9D"/>
    <w:rsid w:val="007E4EA0"/>
    <w:rsid w:val="007E5B14"/>
    <w:rsid w:val="007E7320"/>
    <w:rsid w:val="007E76B7"/>
    <w:rsid w:val="007F0376"/>
    <w:rsid w:val="007F04AE"/>
    <w:rsid w:val="007F1968"/>
    <w:rsid w:val="007F34A5"/>
    <w:rsid w:val="007F58C3"/>
    <w:rsid w:val="007F590E"/>
    <w:rsid w:val="007F5A38"/>
    <w:rsid w:val="007F5D12"/>
    <w:rsid w:val="007F67C3"/>
    <w:rsid w:val="0080028D"/>
    <w:rsid w:val="0080052B"/>
    <w:rsid w:val="00802507"/>
    <w:rsid w:val="008048AD"/>
    <w:rsid w:val="00805C12"/>
    <w:rsid w:val="0080666E"/>
    <w:rsid w:val="00811606"/>
    <w:rsid w:val="00811FA7"/>
    <w:rsid w:val="008129B2"/>
    <w:rsid w:val="00813396"/>
    <w:rsid w:val="008143E8"/>
    <w:rsid w:val="00814E45"/>
    <w:rsid w:val="008155BA"/>
    <w:rsid w:val="008162B7"/>
    <w:rsid w:val="00816313"/>
    <w:rsid w:val="00816C0F"/>
    <w:rsid w:val="0081792D"/>
    <w:rsid w:val="00817CD9"/>
    <w:rsid w:val="00821578"/>
    <w:rsid w:val="00822038"/>
    <w:rsid w:val="00822897"/>
    <w:rsid w:val="00822A02"/>
    <w:rsid w:val="00823A4E"/>
    <w:rsid w:val="00823E2B"/>
    <w:rsid w:val="00826AE7"/>
    <w:rsid w:val="00826F0B"/>
    <w:rsid w:val="00830D32"/>
    <w:rsid w:val="00831041"/>
    <w:rsid w:val="0083191F"/>
    <w:rsid w:val="00831E7B"/>
    <w:rsid w:val="008339F4"/>
    <w:rsid w:val="00833A07"/>
    <w:rsid w:val="00835434"/>
    <w:rsid w:val="00835D2E"/>
    <w:rsid w:val="00835D9E"/>
    <w:rsid w:val="00836176"/>
    <w:rsid w:val="00836E7F"/>
    <w:rsid w:val="00837DF2"/>
    <w:rsid w:val="00842094"/>
    <w:rsid w:val="00842A68"/>
    <w:rsid w:val="0084463F"/>
    <w:rsid w:val="00844A75"/>
    <w:rsid w:val="0084528D"/>
    <w:rsid w:val="00850A64"/>
    <w:rsid w:val="00855A46"/>
    <w:rsid w:val="00855C4E"/>
    <w:rsid w:val="008564EA"/>
    <w:rsid w:val="00857079"/>
    <w:rsid w:val="00860631"/>
    <w:rsid w:val="00860777"/>
    <w:rsid w:val="00860D54"/>
    <w:rsid w:val="00860EAF"/>
    <w:rsid w:val="008636F9"/>
    <w:rsid w:val="0086476C"/>
    <w:rsid w:val="00865CE8"/>
    <w:rsid w:val="008664EB"/>
    <w:rsid w:val="00867D68"/>
    <w:rsid w:val="00870469"/>
    <w:rsid w:val="008723E8"/>
    <w:rsid w:val="00873466"/>
    <w:rsid w:val="008744EA"/>
    <w:rsid w:val="00874DE9"/>
    <w:rsid w:val="00875F25"/>
    <w:rsid w:val="0087715C"/>
    <w:rsid w:val="008778A9"/>
    <w:rsid w:val="00877D3C"/>
    <w:rsid w:val="00877F82"/>
    <w:rsid w:val="00880496"/>
    <w:rsid w:val="00882483"/>
    <w:rsid w:val="00882E60"/>
    <w:rsid w:val="00882F96"/>
    <w:rsid w:val="008844A2"/>
    <w:rsid w:val="008845A9"/>
    <w:rsid w:val="008860FC"/>
    <w:rsid w:val="00886D3A"/>
    <w:rsid w:val="008874C1"/>
    <w:rsid w:val="00890513"/>
    <w:rsid w:val="0089070C"/>
    <w:rsid w:val="00890B68"/>
    <w:rsid w:val="008925BC"/>
    <w:rsid w:val="0089260E"/>
    <w:rsid w:val="00892D49"/>
    <w:rsid w:val="008932A3"/>
    <w:rsid w:val="00893CB8"/>
    <w:rsid w:val="00894434"/>
    <w:rsid w:val="00894CA7"/>
    <w:rsid w:val="00894FB2"/>
    <w:rsid w:val="00895002"/>
    <w:rsid w:val="00895BD8"/>
    <w:rsid w:val="0089655B"/>
    <w:rsid w:val="00896C0D"/>
    <w:rsid w:val="00896D03"/>
    <w:rsid w:val="00896EB1"/>
    <w:rsid w:val="008972D1"/>
    <w:rsid w:val="00897BC8"/>
    <w:rsid w:val="008A0838"/>
    <w:rsid w:val="008A13E7"/>
    <w:rsid w:val="008A252E"/>
    <w:rsid w:val="008A3D99"/>
    <w:rsid w:val="008A3F35"/>
    <w:rsid w:val="008A581A"/>
    <w:rsid w:val="008A5F7F"/>
    <w:rsid w:val="008A63E2"/>
    <w:rsid w:val="008A6630"/>
    <w:rsid w:val="008A6DB9"/>
    <w:rsid w:val="008A7107"/>
    <w:rsid w:val="008A7D83"/>
    <w:rsid w:val="008B0154"/>
    <w:rsid w:val="008B088E"/>
    <w:rsid w:val="008B1963"/>
    <w:rsid w:val="008B20D0"/>
    <w:rsid w:val="008B24F2"/>
    <w:rsid w:val="008B2769"/>
    <w:rsid w:val="008B3356"/>
    <w:rsid w:val="008B3726"/>
    <w:rsid w:val="008B37F0"/>
    <w:rsid w:val="008B3E4E"/>
    <w:rsid w:val="008B41BC"/>
    <w:rsid w:val="008B4702"/>
    <w:rsid w:val="008B65B4"/>
    <w:rsid w:val="008C0F54"/>
    <w:rsid w:val="008C10DA"/>
    <w:rsid w:val="008C1C56"/>
    <w:rsid w:val="008C2435"/>
    <w:rsid w:val="008C2A57"/>
    <w:rsid w:val="008C5503"/>
    <w:rsid w:val="008C5726"/>
    <w:rsid w:val="008C798A"/>
    <w:rsid w:val="008D1615"/>
    <w:rsid w:val="008D1C86"/>
    <w:rsid w:val="008D3255"/>
    <w:rsid w:val="008D47F6"/>
    <w:rsid w:val="008D6371"/>
    <w:rsid w:val="008D69DA"/>
    <w:rsid w:val="008E1296"/>
    <w:rsid w:val="008E270A"/>
    <w:rsid w:val="008E2DC7"/>
    <w:rsid w:val="008E672E"/>
    <w:rsid w:val="008E72E3"/>
    <w:rsid w:val="008F1FD4"/>
    <w:rsid w:val="008F3BF2"/>
    <w:rsid w:val="008F4B7D"/>
    <w:rsid w:val="008F4B82"/>
    <w:rsid w:val="008F6F3B"/>
    <w:rsid w:val="00905C9B"/>
    <w:rsid w:val="00910D28"/>
    <w:rsid w:val="00912398"/>
    <w:rsid w:val="009130AF"/>
    <w:rsid w:val="00913825"/>
    <w:rsid w:val="009140B9"/>
    <w:rsid w:val="009141C1"/>
    <w:rsid w:val="009148CA"/>
    <w:rsid w:val="00914EA8"/>
    <w:rsid w:val="009157B6"/>
    <w:rsid w:val="0091664E"/>
    <w:rsid w:val="009169A4"/>
    <w:rsid w:val="009170B7"/>
    <w:rsid w:val="00920236"/>
    <w:rsid w:val="009206A6"/>
    <w:rsid w:val="00920AB5"/>
    <w:rsid w:val="009219D9"/>
    <w:rsid w:val="00922197"/>
    <w:rsid w:val="0092287E"/>
    <w:rsid w:val="00922A9D"/>
    <w:rsid w:val="0092347C"/>
    <w:rsid w:val="00923BA7"/>
    <w:rsid w:val="0092472D"/>
    <w:rsid w:val="00925F58"/>
    <w:rsid w:val="009262AA"/>
    <w:rsid w:val="00926438"/>
    <w:rsid w:val="009323CA"/>
    <w:rsid w:val="0093291C"/>
    <w:rsid w:val="00932DD8"/>
    <w:rsid w:val="00933213"/>
    <w:rsid w:val="00933E80"/>
    <w:rsid w:val="009343D3"/>
    <w:rsid w:val="00937D2C"/>
    <w:rsid w:val="00937FF2"/>
    <w:rsid w:val="00940DF6"/>
    <w:rsid w:val="009411C1"/>
    <w:rsid w:val="00942366"/>
    <w:rsid w:val="00943329"/>
    <w:rsid w:val="00943ED3"/>
    <w:rsid w:val="009443D6"/>
    <w:rsid w:val="009445E7"/>
    <w:rsid w:val="0094654A"/>
    <w:rsid w:val="0094736B"/>
    <w:rsid w:val="0095004D"/>
    <w:rsid w:val="00950B89"/>
    <w:rsid w:val="009515AA"/>
    <w:rsid w:val="00951DAA"/>
    <w:rsid w:val="009524D9"/>
    <w:rsid w:val="009526E8"/>
    <w:rsid w:val="00952AF7"/>
    <w:rsid w:val="00952E0A"/>
    <w:rsid w:val="00953DDB"/>
    <w:rsid w:val="00953DF2"/>
    <w:rsid w:val="00955094"/>
    <w:rsid w:val="009550AF"/>
    <w:rsid w:val="009577F1"/>
    <w:rsid w:val="00960B49"/>
    <w:rsid w:val="009648C3"/>
    <w:rsid w:val="00964DD4"/>
    <w:rsid w:val="009669F1"/>
    <w:rsid w:val="00966BA6"/>
    <w:rsid w:val="0096732C"/>
    <w:rsid w:val="009675A9"/>
    <w:rsid w:val="00967B10"/>
    <w:rsid w:val="009714E6"/>
    <w:rsid w:val="00971553"/>
    <w:rsid w:val="009717A1"/>
    <w:rsid w:val="00973948"/>
    <w:rsid w:val="00976765"/>
    <w:rsid w:val="00976B7D"/>
    <w:rsid w:val="009774D1"/>
    <w:rsid w:val="00977737"/>
    <w:rsid w:val="00981947"/>
    <w:rsid w:val="00981BE4"/>
    <w:rsid w:val="00981C70"/>
    <w:rsid w:val="00981FF8"/>
    <w:rsid w:val="00982654"/>
    <w:rsid w:val="00982B60"/>
    <w:rsid w:val="009839D2"/>
    <w:rsid w:val="009839F3"/>
    <w:rsid w:val="00983A76"/>
    <w:rsid w:val="00984B61"/>
    <w:rsid w:val="00985656"/>
    <w:rsid w:val="009878F0"/>
    <w:rsid w:val="0098795E"/>
    <w:rsid w:val="00987AB7"/>
    <w:rsid w:val="00987FB6"/>
    <w:rsid w:val="0099010B"/>
    <w:rsid w:val="00990761"/>
    <w:rsid w:val="0099207D"/>
    <w:rsid w:val="00992467"/>
    <w:rsid w:val="009972A2"/>
    <w:rsid w:val="0099783F"/>
    <w:rsid w:val="009A0B29"/>
    <w:rsid w:val="009A106A"/>
    <w:rsid w:val="009A13D9"/>
    <w:rsid w:val="009A15D9"/>
    <w:rsid w:val="009A160F"/>
    <w:rsid w:val="009A1711"/>
    <w:rsid w:val="009A181B"/>
    <w:rsid w:val="009A1C23"/>
    <w:rsid w:val="009A205A"/>
    <w:rsid w:val="009A36DD"/>
    <w:rsid w:val="009A3EEC"/>
    <w:rsid w:val="009A4508"/>
    <w:rsid w:val="009A6788"/>
    <w:rsid w:val="009A6A40"/>
    <w:rsid w:val="009B1B6B"/>
    <w:rsid w:val="009B2A0E"/>
    <w:rsid w:val="009B462A"/>
    <w:rsid w:val="009B52AF"/>
    <w:rsid w:val="009B5606"/>
    <w:rsid w:val="009B603A"/>
    <w:rsid w:val="009B7956"/>
    <w:rsid w:val="009C057C"/>
    <w:rsid w:val="009C0789"/>
    <w:rsid w:val="009C0945"/>
    <w:rsid w:val="009C0F33"/>
    <w:rsid w:val="009C125D"/>
    <w:rsid w:val="009C143E"/>
    <w:rsid w:val="009C1E6B"/>
    <w:rsid w:val="009C2041"/>
    <w:rsid w:val="009C4651"/>
    <w:rsid w:val="009C53E4"/>
    <w:rsid w:val="009C5CDE"/>
    <w:rsid w:val="009C6162"/>
    <w:rsid w:val="009C7466"/>
    <w:rsid w:val="009C74AB"/>
    <w:rsid w:val="009D05E3"/>
    <w:rsid w:val="009D26B5"/>
    <w:rsid w:val="009D3151"/>
    <w:rsid w:val="009D42AA"/>
    <w:rsid w:val="009D5A7B"/>
    <w:rsid w:val="009D6A5D"/>
    <w:rsid w:val="009D7CB0"/>
    <w:rsid w:val="009E013E"/>
    <w:rsid w:val="009E14E6"/>
    <w:rsid w:val="009E2682"/>
    <w:rsid w:val="009E35BC"/>
    <w:rsid w:val="009E44F2"/>
    <w:rsid w:val="009E4A2E"/>
    <w:rsid w:val="009E4D8D"/>
    <w:rsid w:val="009E56AD"/>
    <w:rsid w:val="009E6453"/>
    <w:rsid w:val="009E6751"/>
    <w:rsid w:val="009E7A0A"/>
    <w:rsid w:val="009F19E8"/>
    <w:rsid w:val="009F1C9C"/>
    <w:rsid w:val="009F272A"/>
    <w:rsid w:val="009F2830"/>
    <w:rsid w:val="009F2A15"/>
    <w:rsid w:val="009F3181"/>
    <w:rsid w:val="009F42E7"/>
    <w:rsid w:val="009F6EB6"/>
    <w:rsid w:val="009F790B"/>
    <w:rsid w:val="009F7EB5"/>
    <w:rsid w:val="00A01E81"/>
    <w:rsid w:val="00A04AD3"/>
    <w:rsid w:val="00A070BE"/>
    <w:rsid w:val="00A073CB"/>
    <w:rsid w:val="00A07D5A"/>
    <w:rsid w:val="00A1037F"/>
    <w:rsid w:val="00A11CAC"/>
    <w:rsid w:val="00A13F7D"/>
    <w:rsid w:val="00A1419D"/>
    <w:rsid w:val="00A141EE"/>
    <w:rsid w:val="00A14458"/>
    <w:rsid w:val="00A14C86"/>
    <w:rsid w:val="00A14CD4"/>
    <w:rsid w:val="00A1734E"/>
    <w:rsid w:val="00A17C3A"/>
    <w:rsid w:val="00A202A9"/>
    <w:rsid w:val="00A223EC"/>
    <w:rsid w:val="00A25362"/>
    <w:rsid w:val="00A262DF"/>
    <w:rsid w:val="00A2684A"/>
    <w:rsid w:val="00A26A65"/>
    <w:rsid w:val="00A27A9D"/>
    <w:rsid w:val="00A27EB6"/>
    <w:rsid w:val="00A30440"/>
    <w:rsid w:val="00A31D37"/>
    <w:rsid w:val="00A325AB"/>
    <w:rsid w:val="00A33C38"/>
    <w:rsid w:val="00A37DC4"/>
    <w:rsid w:val="00A40BC8"/>
    <w:rsid w:val="00A41316"/>
    <w:rsid w:val="00A41749"/>
    <w:rsid w:val="00A42997"/>
    <w:rsid w:val="00A43008"/>
    <w:rsid w:val="00A45AD4"/>
    <w:rsid w:val="00A45F59"/>
    <w:rsid w:val="00A5218C"/>
    <w:rsid w:val="00A52469"/>
    <w:rsid w:val="00A52E02"/>
    <w:rsid w:val="00A537B6"/>
    <w:rsid w:val="00A54ACF"/>
    <w:rsid w:val="00A57EA4"/>
    <w:rsid w:val="00A60213"/>
    <w:rsid w:val="00A6114B"/>
    <w:rsid w:val="00A615E8"/>
    <w:rsid w:val="00A61C0E"/>
    <w:rsid w:val="00A645D8"/>
    <w:rsid w:val="00A64D96"/>
    <w:rsid w:val="00A66F9B"/>
    <w:rsid w:val="00A670FB"/>
    <w:rsid w:val="00A702F9"/>
    <w:rsid w:val="00A708EB"/>
    <w:rsid w:val="00A70971"/>
    <w:rsid w:val="00A72343"/>
    <w:rsid w:val="00A730DC"/>
    <w:rsid w:val="00A73A66"/>
    <w:rsid w:val="00A74430"/>
    <w:rsid w:val="00A75687"/>
    <w:rsid w:val="00A762AA"/>
    <w:rsid w:val="00A768DC"/>
    <w:rsid w:val="00A76F02"/>
    <w:rsid w:val="00A77399"/>
    <w:rsid w:val="00A77444"/>
    <w:rsid w:val="00A77981"/>
    <w:rsid w:val="00A80B95"/>
    <w:rsid w:val="00A82B9E"/>
    <w:rsid w:val="00A82D0D"/>
    <w:rsid w:val="00A83597"/>
    <w:rsid w:val="00A838BD"/>
    <w:rsid w:val="00A83C79"/>
    <w:rsid w:val="00A841DE"/>
    <w:rsid w:val="00A8559D"/>
    <w:rsid w:val="00A86393"/>
    <w:rsid w:val="00A931A3"/>
    <w:rsid w:val="00A9408A"/>
    <w:rsid w:val="00A94F52"/>
    <w:rsid w:val="00A96584"/>
    <w:rsid w:val="00A96795"/>
    <w:rsid w:val="00A96A6A"/>
    <w:rsid w:val="00A96E27"/>
    <w:rsid w:val="00A97343"/>
    <w:rsid w:val="00AA1DAF"/>
    <w:rsid w:val="00AA236F"/>
    <w:rsid w:val="00AA2E90"/>
    <w:rsid w:val="00AA37BC"/>
    <w:rsid w:val="00AA3A84"/>
    <w:rsid w:val="00AA4A29"/>
    <w:rsid w:val="00AA651C"/>
    <w:rsid w:val="00AA74C1"/>
    <w:rsid w:val="00AA7A1B"/>
    <w:rsid w:val="00AB236A"/>
    <w:rsid w:val="00AB3D69"/>
    <w:rsid w:val="00AB498D"/>
    <w:rsid w:val="00AB4C96"/>
    <w:rsid w:val="00AB5122"/>
    <w:rsid w:val="00AB56C9"/>
    <w:rsid w:val="00AB6E43"/>
    <w:rsid w:val="00AB6F46"/>
    <w:rsid w:val="00AB7603"/>
    <w:rsid w:val="00AC0986"/>
    <w:rsid w:val="00AC45F1"/>
    <w:rsid w:val="00AC6BB2"/>
    <w:rsid w:val="00AD0524"/>
    <w:rsid w:val="00AD19F0"/>
    <w:rsid w:val="00AD2210"/>
    <w:rsid w:val="00AD5BB8"/>
    <w:rsid w:val="00AE1BDC"/>
    <w:rsid w:val="00AE306C"/>
    <w:rsid w:val="00AE3402"/>
    <w:rsid w:val="00AE3668"/>
    <w:rsid w:val="00AE3D01"/>
    <w:rsid w:val="00AE492E"/>
    <w:rsid w:val="00AE4E03"/>
    <w:rsid w:val="00AE53C0"/>
    <w:rsid w:val="00AE64EF"/>
    <w:rsid w:val="00AE7001"/>
    <w:rsid w:val="00AE7215"/>
    <w:rsid w:val="00AF1F92"/>
    <w:rsid w:val="00AF2763"/>
    <w:rsid w:val="00AF2BA7"/>
    <w:rsid w:val="00AF306C"/>
    <w:rsid w:val="00AF4095"/>
    <w:rsid w:val="00AF420E"/>
    <w:rsid w:val="00AF4229"/>
    <w:rsid w:val="00AF6040"/>
    <w:rsid w:val="00AF60A5"/>
    <w:rsid w:val="00AF653C"/>
    <w:rsid w:val="00AF7938"/>
    <w:rsid w:val="00B0030B"/>
    <w:rsid w:val="00B00681"/>
    <w:rsid w:val="00B008FE"/>
    <w:rsid w:val="00B00A5E"/>
    <w:rsid w:val="00B00E83"/>
    <w:rsid w:val="00B0120F"/>
    <w:rsid w:val="00B0395F"/>
    <w:rsid w:val="00B0457A"/>
    <w:rsid w:val="00B064A0"/>
    <w:rsid w:val="00B06916"/>
    <w:rsid w:val="00B071DB"/>
    <w:rsid w:val="00B12942"/>
    <w:rsid w:val="00B135D7"/>
    <w:rsid w:val="00B1388C"/>
    <w:rsid w:val="00B1397B"/>
    <w:rsid w:val="00B13CE7"/>
    <w:rsid w:val="00B13FE9"/>
    <w:rsid w:val="00B14691"/>
    <w:rsid w:val="00B162CD"/>
    <w:rsid w:val="00B17CFF"/>
    <w:rsid w:val="00B23279"/>
    <w:rsid w:val="00B23443"/>
    <w:rsid w:val="00B2531F"/>
    <w:rsid w:val="00B2585A"/>
    <w:rsid w:val="00B25898"/>
    <w:rsid w:val="00B25B77"/>
    <w:rsid w:val="00B2629D"/>
    <w:rsid w:val="00B3045C"/>
    <w:rsid w:val="00B31011"/>
    <w:rsid w:val="00B316F7"/>
    <w:rsid w:val="00B335AB"/>
    <w:rsid w:val="00B34926"/>
    <w:rsid w:val="00B36811"/>
    <w:rsid w:val="00B370B2"/>
    <w:rsid w:val="00B371D4"/>
    <w:rsid w:val="00B377D4"/>
    <w:rsid w:val="00B401C1"/>
    <w:rsid w:val="00B403A1"/>
    <w:rsid w:val="00B40456"/>
    <w:rsid w:val="00B40AF8"/>
    <w:rsid w:val="00B426A5"/>
    <w:rsid w:val="00B426C6"/>
    <w:rsid w:val="00B432FD"/>
    <w:rsid w:val="00B44219"/>
    <w:rsid w:val="00B445C8"/>
    <w:rsid w:val="00B45117"/>
    <w:rsid w:val="00B45F40"/>
    <w:rsid w:val="00B46091"/>
    <w:rsid w:val="00B524BD"/>
    <w:rsid w:val="00B53037"/>
    <w:rsid w:val="00B5315D"/>
    <w:rsid w:val="00B542EC"/>
    <w:rsid w:val="00B55FC5"/>
    <w:rsid w:val="00B5639B"/>
    <w:rsid w:val="00B60178"/>
    <w:rsid w:val="00B60EC4"/>
    <w:rsid w:val="00B61DE8"/>
    <w:rsid w:val="00B634D4"/>
    <w:rsid w:val="00B64313"/>
    <w:rsid w:val="00B64829"/>
    <w:rsid w:val="00B650A2"/>
    <w:rsid w:val="00B6548E"/>
    <w:rsid w:val="00B65667"/>
    <w:rsid w:val="00B6639B"/>
    <w:rsid w:val="00B66C70"/>
    <w:rsid w:val="00B66CB7"/>
    <w:rsid w:val="00B66CC0"/>
    <w:rsid w:val="00B7053E"/>
    <w:rsid w:val="00B71FC4"/>
    <w:rsid w:val="00B73CC4"/>
    <w:rsid w:val="00B745AA"/>
    <w:rsid w:val="00B748E1"/>
    <w:rsid w:val="00B7512F"/>
    <w:rsid w:val="00B767AE"/>
    <w:rsid w:val="00B76A73"/>
    <w:rsid w:val="00B76BDF"/>
    <w:rsid w:val="00B76D6D"/>
    <w:rsid w:val="00B77A7E"/>
    <w:rsid w:val="00B80D2B"/>
    <w:rsid w:val="00B82663"/>
    <w:rsid w:val="00B82B8B"/>
    <w:rsid w:val="00B82E0D"/>
    <w:rsid w:val="00B84330"/>
    <w:rsid w:val="00B84DED"/>
    <w:rsid w:val="00B85E37"/>
    <w:rsid w:val="00B860AC"/>
    <w:rsid w:val="00B875CA"/>
    <w:rsid w:val="00B87F2A"/>
    <w:rsid w:val="00B90547"/>
    <w:rsid w:val="00B91356"/>
    <w:rsid w:val="00B922C3"/>
    <w:rsid w:val="00B92952"/>
    <w:rsid w:val="00B92E54"/>
    <w:rsid w:val="00B931F9"/>
    <w:rsid w:val="00B9425C"/>
    <w:rsid w:val="00B94E68"/>
    <w:rsid w:val="00B973A1"/>
    <w:rsid w:val="00B97C78"/>
    <w:rsid w:val="00BA05F4"/>
    <w:rsid w:val="00BA13A5"/>
    <w:rsid w:val="00BA1931"/>
    <w:rsid w:val="00BA1CC0"/>
    <w:rsid w:val="00BA47E9"/>
    <w:rsid w:val="00BA5F96"/>
    <w:rsid w:val="00BA7A2C"/>
    <w:rsid w:val="00BB06C1"/>
    <w:rsid w:val="00BB096A"/>
    <w:rsid w:val="00BB142E"/>
    <w:rsid w:val="00BB226D"/>
    <w:rsid w:val="00BB24FD"/>
    <w:rsid w:val="00BB286D"/>
    <w:rsid w:val="00BB34CA"/>
    <w:rsid w:val="00BB3B00"/>
    <w:rsid w:val="00BB3B04"/>
    <w:rsid w:val="00BB4123"/>
    <w:rsid w:val="00BB5A8E"/>
    <w:rsid w:val="00BB5FF4"/>
    <w:rsid w:val="00BC00A7"/>
    <w:rsid w:val="00BC04D5"/>
    <w:rsid w:val="00BC13CC"/>
    <w:rsid w:val="00BC2F02"/>
    <w:rsid w:val="00BC32F2"/>
    <w:rsid w:val="00BC3ABE"/>
    <w:rsid w:val="00BC4BE2"/>
    <w:rsid w:val="00BC5C1E"/>
    <w:rsid w:val="00BC6211"/>
    <w:rsid w:val="00BC7261"/>
    <w:rsid w:val="00BC7E45"/>
    <w:rsid w:val="00BD0BA8"/>
    <w:rsid w:val="00BD1AF4"/>
    <w:rsid w:val="00BD32FB"/>
    <w:rsid w:val="00BD3693"/>
    <w:rsid w:val="00BD3FA1"/>
    <w:rsid w:val="00BD4FA3"/>
    <w:rsid w:val="00BD7409"/>
    <w:rsid w:val="00BD7CA7"/>
    <w:rsid w:val="00BE1260"/>
    <w:rsid w:val="00BE3AB7"/>
    <w:rsid w:val="00BE41AA"/>
    <w:rsid w:val="00BE4D4B"/>
    <w:rsid w:val="00BE4FA9"/>
    <w:rsid w:val="00BE7F85"/>
    <w:rsid w:val="00BF0A1F"/>
    <w:rsid w:val="00BF0B27"/>
    <w:rsid w:val="00BF33EF"/>
    <w:rsid w:val="00BF363C"/>
    <w:rsid w:val="00BF5CE2"/>
    <w:rsid w:val="00BF6BF5"/>
    <w:rsid w:val="00BF6CA6"/>
    <w:rsid w:val="00BF72BA"/>
    <w:rsid w:val="00C01B26"/>
    <w:rsid w:val="00C01B39"/>
    <w:rsid w:val="00C01ECD"/>
    <w:rsid w:val="00C02783"/>
    <w:rsid w:val="00C042DD"/>
    <w:rsid w:val="00C04D0B"/>
    <w:rsid w:val="00C05052"/>
    <w:rsid w:val="00C051CD"/>
    <w:rsid w:val="00C05B0C"/>
    <w:rsid w:val="00C060D2"/>
    <w:rsid w:val="00C07579"/>
    <w:rsid w:val="00C10F0A"/>
    <w:rsid w:val="00C12EFE"/>
    <w:rsid w:val="00C14310"/>
    <w:rsid w:val="00C1528C"/>
    <w:rsid w:val="00C16A86"/>
    <w:rsid w:val="00C17572"/>
    <w:rsid w:val="00C17C3A"/>
    <w:rsid w:val="00C21192"/>
    <w:rsid w:val="00C21AE0"/>
    <w:rsid w:val="00C228CA"/>
    <w:rsid w:val="00C22EE7"/>
    <w:rsid w:val="00C22FCD"/>
    <w:rsid w:val="00C24FE2"/>
    <w:rsid w:val="00C253A1"/>
    <w:rsid w:val="00C27776"/>
    <w:rsid w:val="00C27961"/>
    <w:rsid w:val="00C27E06"/>
    <w:rsid w:val="00C27E68"/>
    <w:rsid w:val="00C328EF"/>
    <w:rsid w:val="00C35489"/>
    <w:rsid w:val="00C35B2B"/>
    <w:rsid w:val="00C36857"/>
    <w:rsid w:val="00C36C62"/>
    <w:rsid w:val="00C40E95"/>
    <w:rsid w:val="00C41006"/>
    <w:rsid w:val="00C427E3"/>
    <w:rsid w:val="00C42A2D"/>
    <w:rsid w:val="00C43EF8"/>
    <w:rsid w:val="00C44C76"/>
    <w:rsid w:val="00C45B53"/>
    <w:rsid w:val="00C4790A"/>
    <w:rsid w:val="00C479D5"/>
    <w:rsid w:val="00C47DFF"/>
    <w:rsid w:val="00C50538"/>
    <w:rsid w:val="00C50E71"/>
    <w:rsid w:val="00C54129"/>
    <w:rsid w:val="00C5430F"/>
    <w:rsid w:val="00C56AE3"/>
    <w:rsid w:val="00C610B0"/>
    <w:rsid w:val="00C6227C"/>
    <w:rsid w:val="00C62610"/>
    <w:rsid w:val="00C64C77"/>
    <w:rsid w:val="00C65DCF"/>
    <w:rsid w:val="00C66CC9"/>
    <w:rsid w:val="00C675E2"/>
    <w:rsid w:val="00C70B5F"/>
    <w:rsid w:val="00C70D00"/>
    <w:rsid w:val="00C70EAC"/>
    <w:rsid w:val="00C70F5B"/>
    <w:rsid w:val="00C71C02"/>
    <w:rsid w:val="00C737DC"/>
    <w:rsid w:val="00C742C8"/>
    <w:rsid w:val="00C7535D"/>
    <w:rsid w:val="00C77196"/>
    <w:rsid w:val="00C82545"/>
    <w:rsid w:val="00C825EE"/>
    <w:rsid w:val="00C828B0"/>
    <w:rsid w:val="00C83561"/>
    <w:rsid w:val="00C8448F"/>
    <w:rsid w:val="00C84709"/>
    <w:rsid w:val="00C86473"/>
    <w:rsid w:val="00C867ED"/>
    <w:rsid w:val="00C879D3"/>
    <w:rsid w:val="00C90043"/>
    <w:rsid w:val="00C906E1"/>
    <w:rsid w:val="00C90C6F"/>
    <w:rsid w:val="00C91D90"/>
    <w:rsid w:val="00C91F35"/>
    <w:rsid w:val="00C92B4A"/>
    <w:rsid w:val="00C9379B"/>
    <w:rsid w:val="00C937ED"/>
    <w:rsid w:val="00C93FDB"/>
    <w:rsid w:val="00C94A31"/>
    <w:rsid w:val="00C94CE9"/>
    <w:rsid w:val="00C9694F"/>
    <w:rsid w:val="00C978AB"/>
    <w:rsid w:val="00CA015A"/>
    <w:rsid w:val="00CA07E7"/>
    <w:rsid w:val="00CA112C"/>
    <w:rsid w:val="00CA1E58"/>
    <w:rsid w:val="00CA260F"/>
    <w:rsid w:val="00CA2DA3"/>
    <w:rsid w:val="00CA2F0C"/>
    <w:rsid w:val="00CA4851"/>
    <w:rsid w:val="00CA74AC"/>
    <w:rsid w:val="00CB0612"/>
    <w:rsid w:val="00CB0C8A"/>
    <w:rsid w:val="00CB10F1"/>
    <w:rsid w:val="00CB1375"/>
    <w:rsid w:val="00CB2772"/>
    <w:rsid w:val="00CB3DAF"/>
    <w:rsid w:val="00CB5D37"/>
    <w:rsid w:val="00CB60B6"/>
    <w:rsid w:val="00CB629F"/>
    <w:rsid w:val="00CB6A6E"/>
    <w:rsid w:val="00CB6EF4"/>
    <w:rsid w:val="00CB7F52"/>
    <w:rsid w:val="00CC118C"/>
    <w:rsid w:val="00CC1275"/>
    <w:rsid w:val="00CC1966"/>
    <w:rsid w:val="00CC1A11"/>
    <w:rsid w:val="00CC1BC1"/>
    <w:rsid w:val="00CC6B03"/>
    <w:rsid w:val="00CD0AEC"/>
    <w:rsid w:val="00CD10EB"/>
    <w:rsid w:val="00CD1E76"/>
    <w:rsid w:val="00CD2441"/>
    <w:rsid w:val="00CD3C44"/>
    <w:rsid w:val="00CD3F6E"/>
    <w:rsid w:val="00CD40BC"/>
    <w:rsid w:val="00CD4B81"/>
    <w:rsid w:val="00CD643D"/>
    <w:rsid w:val="00CE2A21"/>
    <w:rsid w:val="00CE3F54"/>
    <w:rsid w:val="00CE3F8F"/>
    <w:rsid w:val="00CE4A3E"/>
    <w:rsid w:val="00CE5A3E"/>
    <w:rsid w:val="00CE6CB2"/>
    <w:rsid w:val="00CF06AE"/>
    <w:rsid w:val="00CF10AF"/>
    <w:rsid w:val="00CF2402"/>
    <w:rsid w:val="00CF3496"/>
    <w:rsid w:val="00CF3C9B"/>
    <w:rsid w:val="00CF4274"/>
    <w:rsid w:val="00CF5A27"/>
    <w:rsid w:val="00CF5CE8"/>
    <w:rsid w:val="00CF63FE"/>
    <w:rsid w:val="00CF666C"/>
    <w:rsid w:val="00CF6B8A"/>
    <w:rsid w:val="00D01E9D"/>
    <w:rsid w:val="00D02679"/>
    <w:rsid w:val="00D0278F"/>
    <w:rsid w:val="00D029B3"/>
    <w:rsid w:val="00D03164"/>
    <w:rsid w:val="00D038EC"/>
    <w:rsid w:val="00D03C98"/>
    <w:rsid w:val="00D03F0F"/>
    <w:rsid w:val="00D04964"/>
    <w:rsid w:val="00D04F3A"/>
    <w:rsid w:val="00D072A9"/>
    <w:rsid w:val="00D078B9"/>
    <w:rsid w:val="00D12309"/>
    <w:rsid w:val="00D1484A"/>
    <w:rsid w:val="00D148FE"/>
    <w:rsid w:val="00D20BA9"/>
    <w:rsid w:val="00D213F9"/>
    <w:rsid w:val="00D22722"/>
    <w:rsid w:val="00D22BFC"/>
    <w:rsid w:val="00D22D6A"/>
    <w:rsid w:val="00D24C85"/>
    <w:rsid w:val="00D25461"/>
    <w:rsid w:val="00D30343"/>
    <w:rsid w:val="00D31166"/>
    <w:rsid w:val="00D31480"/>
    <w:rsid w:val="00D325EC"/>
    <w:rsid w:val="00D34B81"/>
    <w:rsid w:val="00D36137"/>
    <w:rsid w:val="00D3650D"/>
    <w:rsid w:val="00D3695A"/>
    <w:rsid w:val="00D36CBD"/>
    <w:rsid w:val="00D3714D"/>
    <w:rsid w:val="00D377A4"/>
    <w:rsid w:val="00D37EF8"/>
    <w:rsid w:val="00D40A47"/>
    <w:rsid w:val="00D40E84"/>
    <w:rsid w:val="00D413C2"/>
    <w:rsid w:val="00D413F8"/>
    <w:rsid w:val="00D42A9D"/>
    <w:rsid w:val="00D44649"/>
    <w:rsid w:val="00D44971"/>
    <w:rsid w:val="00D44E28"/>
    <w:rsid w:val="00D459BE"/>
    <w:rsid w:val="00D464E1"/>
    <w:rsid w:val="00D465D5"/>
    <w:rsid w:val="00D467A8"/>
    <w:rsid w:val="00D477E7"/>
    <w:rsid w:val="00D501BC"/>
    <w:rsid w:val="00D5040E"/>
    <w:rsid w:val="00D50A07"/>
    <w:rsid w:val="00D5240C"/>
    <w:rsid w:val="00D54945"/>
    <w:rsid w:val="00D55969"/>
    <w:rsid w:val="00D55A04"/>
    <w:rsid w:val="00D567AB"/>
    <w:rsid w:val="00D571C6"/>
    <w:rsid w:val="00D5786C"/>
    <w:rsid w:val="00D57C94"/>
    <w:rsid w:val="00D57F60"/>
    <w:rsid w:val="00D6175A"/>
    <w:rsid w:val="00D61DD3"/>
    <w:rsid w:val="00D6213A"/>
    <w:rsid w:val="00D62169"/>
    <w:rsid w:val="00D62DD0"/>
    <w:rsid w:val="00D63AB3"/>
    <w:rsid w:val="00D644B7"/>
    <w:rsid w:val="00D647F2"/>
    <w:rsid w:val="00D64918"/>
    <w:rsid w:val="00D651FB"/>
    <w:rsid w:val="00D66022"/>
    <w:rsid w:val="00D6636B"/>
    <w:rsid w:val="00D67161"/>
    <w:rsid w:val="00D67485"/>
    <w:rsid w:val="00D7058E"/>
    <w:rsid w:val="00D708F8"/>
    <w:rsid w:val="00D70994"/>
    <w:rsid w:val="00D70A1E"/>
    <w:rsid w:val="00D70F48"/>
    <w:rsid w:val="00D7189D"/>
    <w:rsid w:val="00D71FDD"/>
    <w:rsid w:val="00D74F6D"/>
    <w:rsid w:val="00D750B7"/>
    <w:rsid w:val="00D75AA6"/>
    <w:rsid w:val="00D76538"/>
    <w:rsid w:val="00D76D32"/>
    <w:rsid w:val="00D770CE"/>
    <w:rsid w:val="00D8006A"/>
    <w:rsid w:val="00D80300"/>
    <w:rsid w:val="00D822BB"/>
    <w:rsid w:val="00D8327E"/>
    <w:rsid w:val="00D839AA"/>
    <w:rsid w:val="00D848EE"/>
    <w:rsid w:val="00D851AB"/>
    <w:rsid w:val="00D8538D"/>
    <w:rsid w:val="00D86638"/>
    <w:rsid w:val="00D92313"/>
    <w:rsid w:val="00D928C8"/>
    <w:rsid w:val="00D93550"/>
    <w:rsid w:val="00D93A8B"/>
    <w:rsid w:val="00D9587F"/>
    <w:rsid w:val="00D961EB"/>
    <w:rsid w:val="00D96764"/>
    <w:rsid w:val="00D976F9"/>
    <w:rsid w:val="00DA23B0"/>
    <w:rsid w:val="00DA394E"/>
    <w:rsid w:val="00DA3959"/>
    <w:rsid w:val="00DA5A96"/>
    <w:rsid w:val="00DA6A84"/>
    <w:rsid w:val="00DA7AE9"/>
    <w:rsid w:val="00DB0F3A"/>
    <w:rsid w:val="00DB12EF"/>
    <w:rsid w:val="00DB45D8"/>
    <w:rsid w:val="00DB5054"/>
    <w:rsid w:val="00DB663A"/>
    <w:rsid w:val="00DC072B"/>
    <w:rsid w:val="00DC1920"/>
    <w:rsid w:val="00DC79F9"/>
    <w:rsid w:val="00DD00AF"/>
    <w:rsid w:val="00DD1434"/>
    <w:rsid w:val="00DD1D52"/>
    <w:rsid w:val="00DD257B"/>
    <w:rsid w:val="00DD2ED8"/>
    <w:rsid w:val="00DD46A0"/>
    <w:rsid w:val="00DD577F"/>
    <w:rsid w:val="00DE2554"/>
    <w:rsid w:val="00DE4A5F"/>
    <w:rsid w:val="00DE61F3"/>
    <w:rsid w:val="00DE7623"/>
    <w:rsid w:val="00DF14A6"/>
    <w:rsid w:val="00DF482B"/>
    <w:rsid w:val="00DF543F"/>
    <w:rsid w:val="00DF57C7"/>
    <w:rsid w:val="00DF5EBC"/>
    <w:rsid w:val="00DF67C7"/>
    <w:rsid w:val="00DF6838"/>
    <w:rsid w:val="00DF7314"/>
    <w:rsid w:val="00E040D5"/>
    <w:rsid w:val="00E04D6B"/>
    <w:rsid w:val="00E13679"/>
    <w:rsid w:val="00E14E12"/>
    <w:rsid w:val="00E16DF8"/>
    <w:rsid w:val="00E171BC"/>
    <w:rsid w:val="00E2212C"/>
    <w:rsid w:val="00E2217E"/>
    <w:rsid w:val="00E2264B"/>
    <w:rsid w:val="00E2306A"/>
    <w:rsid w:val="00E23394"/>
    <w:rsid w:val="00E23CA2"/>
    <w:rsid w:val="00E2431F"/>
    <w:rsid w:val="00E24CD9"/>
    <w:rsid w:val="00E24F81"/>
    <w:rsid w:val="00E2557A"/>
    <w:rsid w:val="00E2559D"/>
    <w:rsid w:val="00E260D7"/>
    <w:rsid w:val="00E261F7"/>
    <w:rsid w:val="00E26E3C"/>
    <w:rsid w:val="00E27261"/>
    <w:rsid w:val="00E274D8"/>
    <w:rsid w:val="00E342CC"/>
    <w:rsid w:val="00E36C66"/>
    <w:rsid w:val="00E36DC4"/>
    <w:rsid w:val="00E37950"/>
    <w:rsid w:val="00E37A8F"/>
    <w:rsid w:val="00E37D74"/>
    <w:rsid w:val="00E4039F"/>
    <w:rsid w:val="00E40C93"/>
    <w:rsid w:val="00E4247E"/>
    <w:rsid w:val="00E42B68"/>
    <w:rsid w:val="00E42E00"/>
    <w:rsid w:val="00E43703"/>
    <w:rsid w:val="00E43C26"/>
    <w:rsid w:val="00E43FA8"/>
    <w:rsid w:val="00E44639"/>
    <w:rsid w:val="00E45DC1"/>
    <w:rsid w:val="00E46AEC"/>
    <w:rsid w:val="00E46B99"/>
    <w:rsid w:val="00E46CEA"/>
    <w:rsid w:val="00E4702E"/>
    <w:rsid w:val="00E474F0"/>
    <w:rsid w:val="00E47A9A"/>
    <w:rsid w:val="00E50993"/>
    <w:rsid w:val="00E50A6B"/>
    <w:rsid w:val="00E516F3"/>
    <w:rsid w:val="00E52311"/>
    <w:rsid w:val="00E528F7"/>
    <w:rsid w:val="00E528F9"/>
    <w:rsid w:val="00E536DC"/>
    <w:rsid w:val="00E55684"/>
    <w:rsid w:val="00E602D0"/>
    <w:rsid w:val="00E603C8"/>
    <w:rsid w:val="00E61348"/>
    <w:rsid w:val="00E64295"/>
    <w:rsid w:val="00E64DB8"/>
    <w:rsid w:val="00E64EB9"/>
    <w:rsid w:val="00E64F4D"/>
    <w:rsid w:val="00E6613F"/>
    <w:rsid w:val="00E66555"/>
    <w:rsid w:val="00E6698E"/>
    <w:rsid w:val="00E6770F"/>
    <w:rsid w:val="00E70CF0"/>
    <w:rsid w:val="00E71440"/>
    <w:rsid w:val="00E72196"/>
    <w:rsid w:val="00E72615"/>
    <w:rsid w:val="00E731AF"/>
    <w:rsid w:val="00E73654"/>
    <w:rsid w:val="00E736EF"/>
    <w:rsid w:val="00E742A9"/>
    <w:rsid w:val="00E742C0"/>
    <w:rsid w:val="00E753C8"/>
    <w:rsid w:val="00E75858"/>
    <w:rsid w:val="00E75EC5"/>
    <w:rsid w:val="00E75ECD"/>
    <w:rsid w:val="00E76F05"/>
    <w:rsid w:val="00E82192"/>
    <w:rsid w:val="00E82D66"/>
    <w:rsid w:val="00E848E3"/>
    <w:rsid w:val="00E86A90"/>
    <w:rsid w:val="00E87E60"/>
    <w:rsid w:val="00E9112A"/>
    <w:rsid w:val="00E933EB"/>
    <w:rsid w:val="00E93558"/>
    <w:rsid w:val="00E94C91"/>
    <w:rsid w:val="00E94F8C"/>
    <w:rsid w:val="00E95F9A"/>
    <w:rsid w:val="00E97314"/>
    <w:rsid w:val="00E976A2"/>
    <w:rsid w:val="00E97CBF"/>
    <w:rsid w:val="00EA0EFF"/>
    <w:rsid w:val="00EA2DEB"/>
    <w:rsid w:val="00EA4ED3"/>
    <w:rsid w:val="00EA58FE"/>
    <w:rsid w:val="00EA63F2"/>
    <w:rsid w:val="00EA6897"/>
    <w:rsid w:val="00EA6A36"/>
    <w:rsid w:val="00EA6EF0"/>
    <w:rsid w:val="00EA79E3"/>
    <w:rsid w:val="00EB0855"/>
    <w:rsid w:val="00EB0FF8"/>
    <w:rsid w:val="00EB1C37"/>
    <w:rsid w:val="00EB3490"/>
    <w:rsid w:val="00EB4F0F"/>
    <w:rsid w:val="00EB550A"/>
    <w:rsid w:val="00EC08F5"/>
    <w:rsid w:val="00EC1B0C"/>
    <w:rsid w:val="00EC2B2F"/>
    <w:rsid w:val="00EC41C3"/>
    <w:rsid w:val="00EC7CB1"/>
    <w:rsid w:val="00EC7DBC"/>
    <w:rsid w:val="00EC7F7D"/>
    <w:rsid w:val="00ED2780"/>
    <w:rsid w:val="00ED3258"/>
    <w:rsid w:val="00ED3491"/>
    <w:rsid w:val="00ED43DF"/>
    <w:rsid w:val="00ED4F2C"/>
    <w:rsid w:val="00ED61FF"/>
    <w:rsid w:val="00ED6446"/>
    <w:rsid w:val="00ED688E"/>
    <w:rsid w:val="00EE17DC"/>
    <w:rsid w:val="00EE18B8"/>
    <w:rsid w:val="00EE2870"/>
    <w:rsid w:val="00EE48CC"/>
    <w:rsid w:val="00EE617F"/>
    <w:rsid w:val="00EE7EE8"/>
    <w:rsid w:val="00EF0010"/>
    <w:rsid w:val="00EF008E"/>
    <w:rsid w:val="00EF1379"/>
    <w:rsid w:val="00EF14EE"/>
    <w:rsid w:val="00EF1834"/>
    <w:rsid w:val="00EF1A73"/>
    <w:rsid w:val="00EF1F20"/>
    <w:rsid w:val="00EF5461"/>
    <w:rsid w:val="00EF589B"/>
    <w:rsid w:val="00EF62C0"/>
    <w:rsid w:val="00EF66C8"/>
    <w:rsid w:val="00EF6BDF"/>
    <w:rsid w:val="00EF6CF6"/>
    <w:rsid w:val="00EF7D2D"/>
    <w:rsid w:val="00F02B3A"/>
    <w:rsid w:val="00F03302"/>
    <w:rsid w:val="00F03716"/>
    <w:rsid w:val="00F048C4"/>
    <w:rsid w:val="00F04A88"/>
    <w:rsid w:val="00F04BC9"/>
    <w:rsid w:val="00F051F3"/>
    <w:rsid w:val="00F0586B"/>
    <w:rsid w:val="00F10273"/>
    <w:rsid w:val="00F11B2B"/>
    <w:rsid w:val="00F13C1C"/>
    <w:rsid w:val="00F14BBD"/>
    <w:rsid w:val="00F151F3"/>
    <w:rsid w:val="00F179C0"/>
    <w:rsid w:val="00F205E9"/>
    <w:rsid w:val="00F20F1B"/>
    <w:rsid w:val="00F225BD"/>
    <w:rsid w:val="00F22E71"/>
    <w:rsid w:val="00F24605"/>
    <w:rsid w:val="00F253B2"/>
    <w:rsid w:val="00F25470"/>
    <w:rsid w:val="00F27237"/>
    <w:rsid w:val="00F277D7"/>
    <w:rsid w:val="00F2792C"/>
    <w:rsid w:val="00F27E28"/>
    <w:rsid w:val="00F307A2"/>
    <w:rsid w:val="00F3248D"/>
    <w:rsid w:val="00F32C8E"/>
    <w:rsid w:val="00F32D41"/>
    <w:rsid w:val="00F333DD"/>
    <w:rsid w:val="00F33A6B"/>
    <w:rsid w:val="00F34226"/>
    <w:rsid w:val="00F34E7B"/>
    <w:rsid w:val="00F361C0"/>
    <w:rsid w:val="00F3628D"/>
    <w:rsid w:val="00F363E0"/>
    <w:rsid w:val="00F36E63"/>
    <w:rsid w:val="00F36E82"/>
    <w:rsid w:val="00F376E4"/>
    <w:rsid w:val="00F404DF"/>
    <w:rsid w:val="00F417FC"/>
    <w:rsid w:val="00F42310"/>
    <w:rsid w:val="00F424B0"/>
    <w:rsid w:val="00F436D8"/>
    <w:rsid w:val="00F43F3B"/>
    <w:rsid w:val="00F44A8F"/>
    <w:rsid w:val="00F546BC"/>
    <w:rsid w:val="00F56A37"/>
    <w:rsid w:val="00F60507"/>
    <w:rsid w:val="00F60736"/>
    <w:rsid w:val="00F61C69"/>
    <w:rsid w:val="00F62F17"/>
    <w:rsid w:val="00F63839"/>
    <w:rsid w:val="00F6459B"/>
    <w:rsid w:val="00F66712"/>
    <w:rsid w:val="00F66850"/>
    <w:rsid w:val="00F66FF2"/>
    <w:rsid w:val="00F67FB8"/>
    <w:rsid w:val="00F70A8F"/>
    <w:rsid w:val="00F7139A"/>
    <w:rsid w:val="00F71D53"/>
    <w:rsid w:val="00F72052"/>
    <w:rsid w:val="00F72263"/>
    <w:rsid w:val="00F74174"/>
    <w:rsid w:val="00F7477C"/>
    <w:rsid w:val="00F7497B"/>
    <w:rsid w:val="00F75079"/>
    <w:rsid w:val="00F750FA"/>
    <w:rsid w:val="00F76A99"/>
    <w:rsid w:val="00F77FAF"/>
    <w:rsid w:val="00F80395"/>
    <w:rsid w:val="00F81F49"/>
    <w:rsid w:val="00F8456D"/>
    <w:rsid w:val="00F8588F"/>
    <w:rsid w:val="00F86BB9"/>
    <w:rsid w:val="00F8763E"/>
    <w:rsid w:val="00F90D02"/>
    <w:rsid w:val="00F92FD1"/>
    <w:rsid w:val="00F93467"/>
    <w:rsid w:val="00F94484"/>
    <w:rsid w:val="00F953DC"/>
    <w:rsid w:val="00F96716"/>
    <w:rsid w:val="00F97AF0"/>
    <w:rsid w:val="00F97E01"/>
    <w:rsid w:val="00FA0EAC"/>
    <w:rsid w:val="00FA1D86"/>
    <w:rsid w:val="00FA283E"/>
    <w:rsid w:val="00FA2FDA"/>
    <w:rsid w:val="00FA3F38"/>
    <w:rsid w:val="00FA5B2B"/>
    <w:rsid w:val="00FA62A0"/>
    <w:rsid w:val="00FA71AC"/>
    <w:rsid w:val="00FB02AC"/>
    <w:rsid w:val="00FB0F9F"/>
    <w:rsid w:val="00FB2D2D"/>
    <w:rsid w:val="00FB35E9"/>
    <w:rsid w:val="00FB4C93"/>
    <w:rsid w:val="00FB5FB0"/>
    <w:rsid w:val="00FB70B1"/>
    <w:rsid w:val="00FB745B"/>
    <w:rsid w:val="00FB7EF9"/>
    <w:rsid w:val="00FC013E"/>
    <w:rsid w:val="00FC2844"/>
    <w:rsid w:val="00FC293A"/>
    <w:rsid w:val="00FC3BE2"/>
    <w:rsid w:val="00FC4EEE"/>
    <w:rsid w:val="00FC7974"/>
    <w:rsid w:val="00FD0160"/>
    <w:rsid w:val="00FD0B0D"/>
    <w:rsid w:val="00FD1259"/>
    <w:rsid w:val="00FD23DE"/>
    <w:rsid w:val="00FD2C77"/>
    <w:rsid w:val="00FD35EB"/>
    <w:rsid w:val="00FD3700"/>
    <w:rsid w:val="00FD4516"/>
    <w:rsid w:val="00FD4C3E"/>
    <w:rsid w:val="00FD6064"/>
    <w:rsid w:val="00FD62C9"/>
    <w:rsid w:val="00FD6E1A"/>
    <w:rsid w:val="00FD75F3"/>
    <w:rsid w:val="00FD7F1A"/>
    <w:rsid w:val="00FE0A5A"/>
    <w:rsid w:val="00FE184D"/>
    <w:rsid w:val="00FE3845"/>
    <w:rsid w:val="00FE3C8B"/>
    <w:rsid w:val="00FE4D42"/>
    <w:rsid w:val="00FE5113"/>
    <w:rsid w:val="00FE5B60"/>
    <w:rsid w:val="00FE67AA"/>
    <w:rsid w:val="00FE6DD6"/>
    <w:rsid w:val="00FF0317"/>
    <w:rsid w:val="00FF0934"/>
    <w:rsid w:val="00FF1401"/>
    <w:rsid w:val="00FF2A82"/>
    <w:rsid w:val="00FF3086"/>
    <w:rsid w:val="00FF3D19"/>
    <w:rsid w:val="00FF5686"/>
    <w:rsid w:val="00FF6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shapelayout>
  </w:shapeDefaults>
  <w:decimalSymbol w:val="."/>
  <w:listSeparator w:val=","/>
  <w14:docId w14:val="149D5EEE"/>
  <w15:docId w15:val="{84CB119D-E443-4BDB-8B83-9CC2562C5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1C1"/>
    <w:rPr>
      <w:sz w:val="24"/>
    </w:rPr>
  </w:style>
  <w:style w:type="paragraph" w:styleId="Heading1">
    <w:name w:val="heading 1"/>
    <w:basedOn w:val="Normal"/>
    <w:next w:val="Normal"/>
    <w:link w:val="Heading1Char"/>
    <w:uiPriority w:val="9"/>
    <w:qFormat/>
    <w:rsid w:val="005261C1"/>
    <w:pPr>
      <w:keepNext/>
      <w:keepLines/>
      <w:spacing w:before="240" w:after="0"/>
      <w:outlineLvl w:val="0"/>
    </w:pPr>
    <w:rPr>
      <w:rFonts w:asciiTheme="majorHAnsi" w:eastAsiaTheme="majorEastAsia" w:hAnsiTheme="majorHAnsi" w:cstheme="majorBidi"/>
      <w:color w:val="008FD5"/>
      <w:sz w:val="36"/>
      <w:szCs w:val="32"/>
    </w:rPr>
  </w:style>
  <w:style w:type="paragraph" w:styleId="Heading2">
    <w:name w:val="heading 2"/>
    <w:basedOn w:val="Normal"/>
    <w:next w:val="Normal"/>
    <w:link w:val="Heading2Char"/>
    <w:uiPriority w:val="9"/>
    <w:unhideWhenUsed/>
    <w:qFormat/>
    <w:rsid w:val="001119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05111"/>
    <w:pPr>
      <w:spacing w:after="0" w:line="240" w:lineRule="auto"/>
    </w:pPr>
    <w:rPr>
      <w:rFonts w:eastAsiaTheme="minorEastAsia"/>
    </w:rPr>
  </w:style>
  <w:style w:type="character" w:customStyle="1" w:styleId="NoSpacingChar">
    <w:name w:val="No Spacing Char"/>
    <w:basedOn w:val="DefaultParagraphFont"/>
    <w:link w:val="NoSpacing"/>
    <w:uiPriority w:val="1"/>
    <w:rsid w:val="00005111"/>
    <w:rPr>
      <w:rFonts w:eastAsiaTheme="minorEastAsia"/>
    </w:rPr>
  </w:style>
  <w:style w:type="character" w:customStyle="1" w:styleId="Heading1Char">
    <w:name w:val="Heading 1 Char"/>
    <w:basedOn w:val="DefaultParagraphFont"/>
    <w:link w:val="Heading1"/>
    <w:uiPriority w:val="9"/>
    <w:rsid w:val="005261C1"/>
    <w:rPr>
      <w:rFonts w:asciiTheme="majorHAnsi" w:eastAsiaTheme="majorEastAsia" w:hAnsiTheme="majorHAnsi" w:cstheme="majorBidi"/>
      <w:color w:val="008FD5"/>
      <w:sz w:val="36"/>
      <w:szCs w:val="32"/>
    </w:rPr>
  </w:style>
  <w:style w:type="paragraph" w:styleId="ListParagraph">
    <w:name w:val="List Paragraph"/>
    <w:basedOn w:val="Normal"/>
    <w:uiPriority w:val="34"/>
    <w:qFormat/>
    <w:rsid w:val="00005111"/>
    <w:pPr>
      <w:ind w:left="720"/>
      <w:contextualSpacing/>
    </w:pPr>
  </w:style>
  <w:style w:type="paragraph" w:styleId="Header">
    <w:name w:val="header"/>
    <w:basedOn w:val="Normal"/>
    <w:link w:val="HeaderChar"/>
    <w:uiPriority w:val="99"/>
    <w:unhideWhenUsed/>
    <w:rsid w:val="00171C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C8E"/>
    <w:rPr>
      <w:sz w:val="24"/>
    </w:rPr>
  </w:style>
  <w:style w:type="paragraph" w:styleId="Footer">
    <w:name w:val="footer"/>
    <w:basedOn w:val="Normal"/>
    <w:link w:val="FooterChar"/>
    <w:uiPriority w:val="99"/>
    <w:unhideWhenUsed/>
    <w:rsid w:val="00171C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C8E"/>
    <w:rPr>
      <w:sz w:val="24"/>
    </w:rPr>
  </w:style>
  <w:style w:type="character" w:styleId="IntenseEmphasis">
    <w:name w:val="Intense Emphasis"/>
    <w:basedOn w:val="DefaultParagraphFont"/>
    <w:uiPriority w:val="21"/>
    <w:qFormat/>
    <w:rsid w:val="00460436"/>
    <w:rPr>
      <w:i/>
      <w:iCs/>
      <w:color w:val="008FD5"/>
    </w:rPr>
  </w:style>
  <w:style w:type="character" w:styleId="Hyperlink">
    <w:name w:val="Hyperlink"/>
    <w:basedOn w:val="DefaultParagraphFont"/>
    <w:uiPriority w:val="99"/>
    <w:unhideWhenUsed/>
    <w:rsid w:val="00230D29"/>
    <w:rPr>
      <w:color w:val="0563C1" w:themeColor="hyperlink"/>
      <w:u w:val="single"/>
    </w:rPr>
  </w:style>
  <w:style w:type="paragraph" w:styleId="FootnoteText">
    <w:name w:val="footnote text"/>
    <w:aliases w:val="Footnote_mpi"/>
    <w:basedOn w:val="Normal"/>
    <w:link w:val="FootnoteTextChar"/>
    <w:uiPriority w:val="99"/>
    <w:unhideWhenUsed/>
    <w:qFormat/>
    <w:rsid w:val="00D644B7"/>
    <w:pPr>
      <w:spacing w:after="0" w:line="240" w:lineRule="auto"/>
    </w:pPr>
    <w:rPr>
      <w:sz w:val="20"/>
      <w:szCs w:val="20"/>
    </w:rPr>
  </w:style>
  <w:style w:type="character" w:customStyle="1" w:styleId="FootnoteTextChar">
    <w:name w:val="Footnote Text Char"/>
    <w:aliases w:val="Footnote_mpi Char1"/>
    <w:basedOn w:val="DefaultParagraphFont"/>
    <w:link w:val="FootnoteText"/>
    <w:uiPriority w:val="99"/>
    <w:semiHidden/>
    <w:rsid w:val="00D644B7"/>
    <w:rPr>
      <w:sz w:val="20"/>
      <w:szCs w:val="20"/>
    </w:rPr>
  </w:style>
  <w:style w:type="character" w:styleId="FootnoteReference">
    <w:name w:val="footnote reference"/>
    <w:basedOn w:val="DefaultParagraphFont"/>
    <w:uiPriority w:val="99"/>
    <w:unhideWhenUsed/>
    <w:rsid w:val="00D644B7"/>
    <w:rPr>
      <w:vertAlign w:val="superscript"/>
    </w:rPr>
  </w:style>
  <w:style w:type="paragraph" w:styleId="BalloonText">
    <w:name w:val="Balloon Text"/>
    <w:basedOn w:val="Normal"/>
    <w:link w:val="BalloonTextChar"/>
    <w:uiPriority w:val="99"/>
    <w:semiHidden/>
    <w:unhideWhenUsed/>
    <w:rsid w:val="003414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4E7"/>
    <w:rPr>
      <w:rFonts w:ascii="Segoe UI" w:hAnsi="Segoe UI" w:cs="Segoe UI"/>
      <w:sz w:val="18"/>
      <w:szCs w:val="18"/>
    </w:rPr>
  </w:style>
  <w:style w:type="character" w:customStyle="1" w:styleId="UnresolvedMention1">
    <w:name w:val="Unresolved Mention1"/>
    <w:basedOn w:val="DefaultParagraphFont"/>
    <w:uiPriority w:val="99"/>
    <w:semiHidden/>
    <w:unhideWhenUsed/>
    <w:rsid w:val="00E602D0"/>
    <w:rPr>
      <w:color w:val="605E5C"/>
      <w:shd w:val="clear" w:color="auto" w:fill="E1DFDD"/>
    </w:rPr>
  </w:style>
  <w:style w:type="character" w:styleId="CommentReference">
    <w:name w:val="annotation reference"/>
    <w:basedOn w:val="DefaultParagraphFont"/>
    <w:uiPriority w:val="99"/>
    <w:semiHidden/>
    <w:unhideWhenUsed/>
    <w:rsid w:val="004709B0"/>
    <w:rPr>
      <w:sz w:val="16"/>
      <w:szCs w:val="16"/>
    </w:rPr>
  </w:style>
  <w:style w:type="paragraph" w:styleId="CommentText">
    <w:name w:val="annotation text"/>
    <w:basedOn w:val="Normal"/>
    <w:link w:val="CommentTextChar"/>
    <w:uiPriority w:val="99"/>
    <w:semiHidden/>
    <w:unhideWhenUsed/>
    <w:rsid w:val="004709B0"/>
    <w:pPr>
      <w:spacing w:line="240" w:lineRule="auto"/>
    </w:pPr>
    <w:rPr>
      <w:sz w:val="20"/>
      <w:szCs w:val="20"/>
    </w:rPr>
  </w:style>
  <w:style w:type="character" w:customStyle="1" w:styleId="CommentTextChar">
    <w:name w:val="Comment Text Char"/>
    <w:basedOn w:val="DefaultParagraphFont"/>
    <w:link w:val="CommentText"/>
    <w:uiPriority w:val="99"/>
    <w:semiHidden/>
    <w:rsid w:val="004709B0"/>
    <w:rPr>
      <w:sz w:val="20"/>
      <w:szCs w:val="20"/>
    </w:rPr>
  </w:style>
  <w:style w:type="paragraph" w:styleId="CommentSubject">
    <w:name w:val="annotation subject"/>
    <w:basedOn w:val="CommentText"/>
    <w:next w:val="CommentText"/>
    <w:link w:val="CommentSubjectChar"/>
    <w:uiPriority w:val="99"/>
    <w:semiHidden/>
    <w:unhideWhenUsed/>
    <w:rsid w:val="004709B0"/>
    <w:rPr>
      <w:b/>
      <w:bCs/>
    </w:rPr>
  </w:style>
  <w:style w:type="character" w:customStyle="1" w:styleId="CommentSubjectChar">
    <w:name w:val="Comment Subject Char"/>
    <w:basedOn w:val="CommentTextChar"/>
    <w:link w:val="CommentSubject"/>
    <w:uiPriority w:val="99"/>
    <w:semiHidden/>
    <w:rsid w:val="004709B0"/>
    <w:rPr>
      <w:b/>
      <w:bCs/>
      <w:sz w:val="20"/>
      <w:szCs w:val="20"/>
    </w:rPr>
  </w:style>
  <w:style w:type="paragraph" w:styleId="Revision">
    <w:name w:val="Revision"/>
    <w:hidden/>
    <w:uiPriority w:val="99"/>
    <w:semiHidden/>
    <w:rsid w:val="00773B5B"/>
    <w:pPr>
      <w:spacing w:after="0" w:line="240" w:lineRule="auto"/>
    </w:pPr>
    <w:rPr>
      <w:sz w:val="24"/>
    </w:rPr>
  </w:style>
  <w:style w:type="paragraph" w:styleId="EndnoteText">
    <w:name w:val="endnote text"/>
    <w:basedOn w:val="Normal"/>
    <w:link w:val="EndnoteTextChar"/>
    <w:uiPriority w:val="99"/>
    <w:semiHidden/>
    <w:unhideWhenUsed/>
    <w:rsid w:val="00BC621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6211"/>
    <w:rPr>
      <w:sz w:val="20"/>
      <w:szCs w:val="20"/>
    </w:rPr>
  </w:style>
  <w:style w:type="character" w:styleId="EndnoteReference">
    <w:name w:val="endnote reference"/>
    <w:basedOn w:val="DefaultParagraphFont"/>
    <w:uiPriority w:val="99"/>
    <w:semiHidden/>
    <w:unhideWhenUsed/>
    <w:rsid w:val="00BC6211"/>
    <w:rPr>
      <w:vertAlign w:val="superscript"/>
    </w:rPr>
  </w:style>
  <w:style w:type="character" w:styleId="FollowedHyperlink">
    <w:name w:val="FollowedHyperlink"/>
    <w:basedOn w:val="DefaultParagraphFont"/>
    <w:uiPriority w:val="99"/>
    <w:semiHidden/>
    <w:unhideWhenUsed/>
    <w:rsid w:val="00CE6CB2"/>
    <w:rPr>
      <w:color w:val="954F72" w:themeColor="followedHyperlink"/>
      <w:u w:val="single"/>
    </w:rPr>
  </w:style>
  <w:style w:type="table" w:styleId="TableGrid">
    <w:name w:val="Table Grid"/>
    <w:basedOn w:val="TableNormal"/>
    <w:uiPriority w:val="39"/>
    <w:rsid w:val="005D1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C0F5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617E5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Heading2Char">
    <w:name w:val="Heading 2 Char"/>
    <w:basedOn w:val="DefaultParagraphFont"/>
    <w:link w:val="Heading2"/>
    <w:uiPriority w:val="9"/>
    <w:rsid w:val="00111911"/>
    <w:rPr>
      <w:rFonts w:asciiTheme="majorHAnsi" w:eastAsiaTheme="majorEastAsia" w:hAnsiTheme="majorHAnsi" w:cstheme="majorBidi"/>
      <w:color w:val="2E74B5" w:themeColor="accent1" w:themeShade="BF"/>
      <w:sz w:val="26"/>
      <w:szCs w:val="26"/>
    </w:rPr>
  </w:style>
  <w:style w:type="paragraph" w:customStyle="1" w:styleId="H2-NoTOCmpi">
    <w:name w:val="H2 - No TOC_mpi"/>
    <w:link w:val="H2-NoTOCmpiChar"/>
    <w:qFormat/>
    <w:rsid w:val="004D1BCA"/>
    <w:pPr>
      <w:pBdr>
        <w:bottom w:val="single" w:sz="4" w:space="1" w:color="auto"/>
      </w:pBdr>
    </w:pPr>
    <w:rPr>
      <w:rFonts w:ascii="Times New Roman" w:eastAsia="Times New Roman" w:hAnsi="Times New Roman" w:cs="Times New Roman"/>
      <w:snapToGrid w:val="0"/>
      <w:spacing w:val="15"/>
      <w:sz w:val="24"/>
      <w:szCs w:val="24"/>
    </w:rPr>
  </w:style>
  <w:style w:type="character" w:customStyle="1" w:styleId="H2-NoTOCmpiChar">
    <w:name w:val="H2 - No TOC_mpi Char"/>
    <w:basedOn w:val="DefaultParagraphFont"/>
    <w:link w:val="H2-NoTOCmpi"/>
    <w:rsid w:val="004D1BCA"/>
    <w:rPr>
      <w:rFonts w:ascii="Times New Roman" w:eastAsia="Times New Roman" w:hAnsi="Times New Roman" w:cs="Times New Roman"/>
      <w:snapToGrid w:val="0"/>
      <w:spacing w:val="15"/>
      <w:sz w:val="24"/>
      <w:szCs w:val="24"/>
    </w:rPr>
  </w:style>
  <w:style w:type="character" w:styleId="UnresolvedMention">
    <w:name w:val="Unresolved Mention"/>
    <w:basedOn w:val="DefaultParagraphFont"/>
    <w:uiPriority w:val="99"/>
    <w:semiHidden/>
    <w:unhideWhenUsed/>
    <w:rsid w:val="00611626"/>
    <w:rPr>
      <w:color w:val="605E5C"/>
      <w:shd w:val="clear" w:color="auto" w:fill="E1DFDD"/>
    </w:rPr>
  </w:style>
  <w:style w:type="character" w:customStyle="1" w:styleId="FootnoteTextChar1">
    <w:name w:val="Footnote Text Char1"/>
    <w:aliases w:val="Footnote_mpi Char"/>
    <w:uiPriority w:val="99"/>
    <w:rsid w:val="006859BA"/>
    <w:rPr>
      <w:rFonts w:ascii="Times New Roman" w:eastAsia="Times New Roman" w:hAnsi="Times New Roman"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7830">
      <w:bodyDiv w:val="1"/>
      <w:marLeft w:val="0"/>
      <w:marRight w:val="0"/>
      <w:marTop w:val="0"/>
      <w:marBottom w:val="0"/>
      <w:divBdr>
        <w:top w:val="none" w:sz="0" w:space="0" w:color="auto"/>
        <w:left w:val="none" w:sz="0" w:space="0" w:color="auto"/>
        <w:bottom w:val="none" w:sz="0" w:space="0" w:color="auto"/>
        <w:right w:val="none" w:sz="0" w:space="0" w:color="auto"/>
      </w:divBdr>
    </w:div>
    <w:div w:id="18431151">
      <w:bodyDiv w:val="1"/>
      <w:marLeft w:val="0"/>
      <w:marRight w:val="0"/>
      <w:marTop w:val="0"/>
      <w:marBottom w:val="0"/>
      <w:divBdr>
        <w:top w:val="none" w:sz="0" w:space="0" w:color="auto"/>
        <w:left w:val="none" w:sz="0" w:space="0" w:color="auto"/>
        <w:bottom w:val="none" w:sz="0" w:space="0" w:color="auto"/>
        <w:right w:val="none" w:sz="0" w:space="0" w:color="auto"/>
      </w:divBdr>
    </w:div>
    <w:div w:id="29913422">
      <w:bodyDiv w:val="1"/>
      <w:marLeft w:val="0"/>
      <w:marRight w:val="0"/>
      <w:marTop w:val="0"/>
      <w:marBottom w:val="0"/>
      <w:divBdr>
        <w:top w:val="none" w:sz="0" w:space="0" w:color="auto"/>
        <w:left w:val="none" w:sz="0" w:space="0" w:color="auto"/>
        <w:bottom w:val="none" w:sz="0" w:space="0" w:color="auto"/>
        <w:right w:val="none" w:sz="0" w:space="0" w:color="auto"/>
      </w:divBdr>
    </w:div>
    <w:div w:id="30031645">
      <w:bodyDiv w:val="1"/>
      <w:marLeft w:val="0"/>
      <w:marRight w:val="0"/>
      <w:marTop w:val="0"/>
      <w:marBottom w:val="0"/>
      <w:divBdr>
        <w:top w:val="none" w:sz="0" w:space="0" w:color="auto"/>
        <w:left w:val="none" w:sz="0" w:space="0" w:color="auto"/>
        <w:bottom w:val="none" w:sz="0" w:space="0" w:color="auto"/>
        <w:right w:val="none" w:sz="0" w:space="0" w:color="auto"/>
      </w:divBdr>
    </w:div>
    <w:div w:id="55322555">
      <w:bodyDiv w:val="1"/>
      <w:marLeft w:val="0"/>
      <w:marRight w:val="0"/>
      <w:marTop w:val="0"/>
      <w:marBottom w:val="0"/>
      <w:divBdr>
        <w:top w:val="none" w:sz="0" w:space="0" w:color="auto"/>
        <w:left w:val="none" w:sz="0" w:space="0" w:color="auto"/>
        <w:bottom w:val="none" w:sz="0" w:space="0" w:color="auto"/>
        <w:right w:val="none" w:sz="0" w:space="0" w:color="auto"/>
      </w:divBdr>
    </w:div>
    <w:div w:id="59444217">
      <w:bodyDiv w:val="1"/>
      <w:marLeft w:val="0"/>
      <w:marRight w:val="0"/>
      <w:marTop w:val="0"/>
      <w:marBottom w:val="0"/>
      <w:divBdr>
        <w:top w:val="none" w:sz="0" w:space="0" w:color="auto"/>
        <w:left w:val="none" w:sz="0" w:space="0" w:color="auto"/>
        <w:bottom w:val="none" w:sz="0" w:space="0" w:color="auto"/>
        <w:right w:val="none" w:sz="0" w:space="0" w:color="auto"/>
      </w:divBdr>
    </w:div>
    <w:div w:id="79716338">
      <w:bodyDiv w:val="1"/>
      <w:marLeft w:val="0"/>
      <w:marRight w:val="0"/>
      <w:marTop w:val="0"/>
      <w:marBottom w:val="0"/>
      <w:divBdr>
        <w:top w:val="none" w:sz="0" w:space="0" w:color="auto"/>
        <w:left w:val="none" w:sz="0" w:space="0" w:color="auto"/>
        <w:bottom w:val="none" w:sz="0" w:space="0" w:color="auto"/>
        <w:right w:val="none" w:sz="0" w:space="0" w:color="auto"/>
      </w:divBdr>
    </w:div>
    <w:div w:id="80226077">
      <w:bodyDiv w:val="1"/>
      <w:marLeft w:val="0"/>
      <w:marRight w:val="0"/>
      <w:marTop w:val="0"/>
      <w:marBottom w:val="0"/>
      <w:divBdr>
        <w:top w:val="none" w:sz="0" w:space="0" w:color="auto"/>
        <w:left w:val="none" w:sz="0" w:space="0" w:color="auto"/>
        <w:bottom w:val="none" w:sz="0" w:space="0" w:color="auto"/>
        <w:right w:val="none" w:sz="0" w:space="0" w:color="auto"/>
      </w:divBdr>
    </w:div>
    <w:div w:id="137456972">
      <w:bodyDiv w:val="1"/>
      <w:marLeft w:val="0"/>
      <w:marRight w:val="0"/>
      <w:marTop w:val="0"/>
      <w:marBottom w:val="0"/>
      <w:divBdr>
        <w:top w:val="none" w:sz="0" w:space="0" w:color="auto"/>
        <w:left w:val="none" w:sz="0" w:space="0" w:color="auto"/>
        <w:bottom w:val="none" w:sz="0" w:space="0" w:color="auto"/>
        <w:right w:val="none" w:sz="0" w:space="0" w:color="auto"/>
      </w:divBdr>
    </w:div>
    <w:div w:id="154414549">
      <w:bodyDiv w:val="1"/>
      <w:marLeft w:val="0"/>
      <w:marRight w:val="0"/>
      <w:marTop w:val="0"/>
      <w:marBottom w:val="0"/>
      <w:divBdr>
        <w:top w:val="none" w:sz="0" w:space="0" w:color="auto"/>
        <w:left w:val="none" w:sz="0" w:space="0" w:color="auto"/>
        <w:bottom w:val="none" w:sz="0" w:space="0" w:color="auto"/>
        <w:right w:val="none" w:sz="0" w:space="0" w:color="auto"/>
      </w:divBdr>
    </w:div>
    <w:div w:id="170607531">
      <w:bodyDiv w:val="1"/>
      <w:marLeft w:val="0"/>
      <w:marRight w:val="0"/>
      <w:marTop w:val="0"/>
      <w:marBottom w:val="0"/>
      <w:divBdr>
        <w:top w:val="none" w:sz="0" w:space="0" w:color="auto"/>
        <w:left w:val="none" w:sz="0" w:space="0" w:color="auto"/>
        <w:bottom w:val="none" w:sz="0" w:space="0" w:color="auto"/>
        <w:right w:val="none" w:sz="0" w:space="0" w:color="auto"/>
      </w:divBdr>
    </w:div>
    <w:div w:id="196545567">
      <w:bodyDiv w:val="1"/>
      <w:marLeft w:val="0"/>
      <w:marRight w:val="0"/>
      <w:marTop w:val="0"/>
      <w:marBottom w:val="0"/>
      <w:divBdr>
        <w:top w:val="none" w:sz="0" w:space="0" w:color="auto"/>
        <w:left w:val="none" w:sz="0" w:space="0" w:color="auto"/>
        <w:bottom w:val="none" w:sz="0" w:space="0" w:color="auto"/>
        <w:right w:val="none" w:sz="0" w:space="0" w:color="auto"/>
      </w:divBdr>
    </w:div>
    <w:div w:id="220026142">
      <w:bodyDiv w:val="1"/>
      <w:marLeft w:val="0"/>
      <w:marRight w:val="0"/>
      <w:marTop w:val="0"/>
      <w:marBottom w:val="0"/>
      <w:divBdr>
        <w:top w:val="none" w:sz="0" w:space="0" w:color="auto"/>
        <w:left w:val="none" w:sz="0" w:space="0" w:color="auto"/>
        <w:bottom w:val="none" w:sz="0" w:space="0" w:color="auto"/>
        <w:right w:val="none" w:sz="0" w:space="0" w:color="auto"/>
      </w:divBdr>
    </w:div>
    <w:div w:id="256837985">
      <w:bodyDiv w:val="1"/>
      <w:marLeft w:val="0"/>
      <w:marRight w:val="0"/>
      <w:marTop w:val="0"/>
      <w:marBottom w:val="0"/>
      <w:divBdr>
        <w:top w:val="none" w:sz="0" w:space="0" w:color="auto"/>
        <w:left w:val="none" w:sz="0" w:space="0" w:color="auto"/>
        <w:bottom w:val="none" w:sz="0" w:space="0" w:color="auto"/>
        <w:right w:val="none" w:sz="0" w:space="0" w:color="auto"/>
      </w:divBdr>
    </w:div>
    <w:div w:id="296960702">
      <w:bodyDiv w:val="1"/>
      <w:marLeft w:val="0"/>
      <w:marRight w:val="0"/>
      <w:marTop w:val="0"/>
      <w:marBottom w:val="0"/>
      <w:divBdr>
        <w:top w:val="none" w:sz="0" w:space="0" w:color="auto"/>
        <w:left w:val="none" w:sz="0" w:space="0" w:color="auto"/>
        <w:bottom w:val="none" w:sz="0" w:space="0" w:color="auto"/>
        <w:right w:val="none" w:sz="0" w:space="0" w:color="auto"/>
      </w:divBdr>
    </w:div>
    <w:div w:id="332997528">
      <w:bodyDiv w:val="1"/>
      <w:marLeft w:val="0"/>
      <w:marRight w:val="0"/>
      <w:marTop w:val="0"/>
      <w:marBottom w:val="0"/>
      <w:divBdr>
        <w:top w:val="none" w:sz="0" w:space="0" w:color="auto"/>
        <w:left w:val="none" w:sz="0" w:space="0" w:color="auto"/>
        <w:bottom w:val="none" w:sz="0" w:space="0" w:color="auto"/>
        <w:right w:val="none" w:sz="0" w:space="0" w:color="auto"/>
      </w:divBdr>
    </w:div>
    <w:div w:id="339547230">
      <w:bodyDiv w:val="1"/>
      <w:marLeft w:val="0"/>
      <w:marRight w:val="0"/>
      <w:marTop w:val="0"/>
      <w:marBottom w:val="0"/>
      <w:divBdr>
        <w:top w:val="none" w:sz="0" w:space="0" w:color="auto"/>
        <w:left w:val="none" w:sz="0" w:space="0" w:color="auto"/>
        <w:bottom w:val="none" w:sz="0" w:space="0" w:color="auto"/>
        <w:right w:val="none" w:sz="0" w:space="0" w:color="auto"/>
      </w:divBdr>
    </w:div>
    <w:div w:id="356741846">
      <w:bodyDiv w:val="1"/>
      <w:marLeft w:val="0"/>
      <w:marRight w:val="0"/>
      <w:marTop w:val="0"/>
      <w:marBottom w:val="0"/>
      <w:divBdr>
        <w:top w:val="none" w:sz="0" w:space="0" w:color="auto"/>
        <w:left w:val="none" w:sz="0" w:space="0" w:color="auto"/>
        <w:bottom w:val="none" w:sz="0" w:space="0" w:color="auto"/>
        <w:right w:val="none" w:sz="0" w:space="0" w:color="auto"/>
      </w:divBdr>
    </w:div>
    <w:div w:id="360976092">
      <w:bodyDiv w:val="1"/>
      <w:marLeft w:val="0"/>
      <w:marRight w:val="0"/>
      <w:marTop w:val="0"/>
      <w:marBottom w:val="0"/>
      <w:divBdr>
        <w:top w:val="none" w:sz="0" w:space="0" w:color="auto"/>
        <w:left w:val="none" w:sz="0" w:space="0" w:color="auto"/>
        <w:bottom w:val="none" w:sz="0" w:space="0" w:color="auto"/>
        <w:right w:val="none" w:sz="0" w:space="0" w:color="auto"/>
      </w:divBdr>
    </w:div>
    <w:div w:id="416874909">
      <w:bodyDiv w:val="1"/>
      <w:marLeft w:val="0"/>
      <w:marRight w:val="0"/>
      <w:marTop w:val="0"/>
      <w:marBottom w:val="0"/>
      <w:divBdr>
        <w:top w:val="none" w:sz="0" w:space="0" w:color="auto"/>
        <w:left w:val="none" w:sz="0" w:space="0" w:color="auto"/>
        <w:bottom w:val="none" w:sz="0" w:space="0" w:color="auto"/>
        <w:right w:val="none" w:sz="0" w:space="0" w:color="auto"/>
      </w:divBdr>
    </w:div>
    <w:div w:id="430008622">
      <w:bodyDiv w:val="1"/>
      <w:marLeft w:val="0"/>
      <w:marRight w:val="0"/>
      <w:marTop w:val="0"/>
      <w:marBottom w:val="0"/>
      <w:divBdr>
        <w:top w:val="none" w:sz="0" w:space="0" w:color="auto"/>
        <w:left w:val="none" w:sz="0" w:space="0" w:color="auto"/>
        <w:bottom w:val="none" w:sz="0" w:space="0" w:color="auto"/>
        <w:right w:val="none" w:sz="0" w:space="0" w:color="auto"/>
      </w:divBdr>
    </w:div>
    <w:div w:id="438374378">
      <w:bodyDiv w:val="1"/>
      <w:marLeft w:val="0"/>
      <w:marRight w:val="0"/>
      <w:marTop w:val="0"/>
      <w:marBottom w:val="0"/>
      <w:divBdr>
        <w:top w:val="none" w:sz="0" w:space="0" w:color="auto"/>
        <w:left w:val="none" w:sz="0" w:space="0" w:color="auto"/>
        <w:bottom w:val="none" w:sz="0" w:space="0" w:color="auto"/>
        <w:right w:val="none" w:sz="0" w:space="0" w:color="auto"/>
      </w:divBdr>
    </w:div>
    <w:div w:id="443580113">
      <w:bodyDiv w:val="1"/>
      <w:marLeft w:val="0"/>
      <w:marRight w:val="0"/>
      <w:marTop w:val="0"/>
      <w:marBottom w:val="0"/>
      <w:divBdr>
        <w:top w:val="none" w:sz="0" w:space="0" w:color="auto"/>
        <w:left w:val="none" w:sz="0" w:space="0" w:color="auto"/>
        <w:bottom w:val="none" w:sz="0" w:space="0" w:color="auto"/>
        <w:right w:val="none" w:sz="0" w:space="0" w:color="auto"/>
      </w:divBdr>
    </w:div>
    <w:div w:id="445317164">
      <w:bodyDiv w:val="1"/>
      <w:marLeft w:val="0"/>
      <w:marRight w:val="0"/>
      <w:marTop w:val="0"/>
      <w:marBottom w:val="0"/>
      <w:divBdr>
        <w:top w:val="none" w:sz="0" w:space="0" w:color="auto"/>
        <w:left w:val="none" w:sz="0" w:space="0" w:color="auto"/>
        <w:bottom w:val="none" w:sz="0" w:space="0" w:color="auto"/>
        <w:right w:val="none" w:sz="0" w:space="0" w:color="auto"/>
      </w:divBdr>
    </w:div>
    <w:div w:id="450560519">
      <w:bodyDiv w:val="1"/>
      <w:marLeft w:val="0"/>
      <w:marRight w:val="0"/>
      <w:marTop w:val="0"/>
      <w:marBottom w:val="0"/>
      <w:divBdr>
        <w:top w:val="none" w:sz="0" w:space="0" w:color="auto"/>
        <w:left w:val="none" w:sz="0" w:space="0" w:color="auto"/>
        <w:bottom w:val="none" w:sz="0" w:space="0" w:color="auto"/>
        <w:right w:val="none" w:sz="0" w:space="0" w:color="auto"/>
      </w:divBdr>
    </w:div>
    <w:div w:id="456947011">
      <w:bodyDiv w:val="1"/>
      <w:marLeft w:val="0"/>
      <w:marRight w:val="0"/>
      <w:marTop w:val="0"/>
      <w:marBottom w:val="0"/>
      <w:divBdr>
        <w:top w:val="none" w:sz="0" w:space="0" w:color="auto"/>
        <w:left w:val="none" w:sz="0" w:space="0" w:color="auto"/>
        <w:bottom w:val="none" w:sz="0" w:space="0" w:color="auto"/>
        <w:right w:val="none" w:sz="0" w:space="0" w:color="auto"/>
      </w:divBdr>
    </w:div>
    <w:div w:id="493179046">
      <w:bodyDiv w:val="1"/>
      <w:marLeft w:val="0"/>
      <w:marRight w:val="0"/>
      <w:marTop w:val="0"/>
      <w:marBottom w:val="0"/>
      <w:divBdr>
        <w:top w:val="none" w:sz="0" w:space="0" w:color="auto"/>
        <w:left w:val="none" w:sz="0" w:space="0" w:color="auto"/>
        <w:bottom w:val="none" w:sz="0" w:space="0" w:color="auto"/>
        <w:right w:val="none" w:sz="0" w:space="0" w:color="auto"/>
      </w:divBdr>
    </w:div>
    <w:div w:id="507868590">
      <w:bodyDiv w:val="1"/>
      <w:marLeft w:val="0"/>
      <w:marRight w:val="0"/>
      <w:marTop w:val="0"/>
      <w:marBottom w:val="0"/>
      <w:divBdr>
        <w:top w:val="none" w:sz="0" w:space="0" w:color="auto"/>
        <w:left w:val="none" w:sz="0" w:space="0" w:color="auto"/>
        <w:bottom w:val="none" w:sz="0" w:space="0" w:color="auto"/>
        <w:right w:val="none" w:sz="0" w:space="0" w:color="auto"/>
      </w:divBdr>
    </w:div>
    <w:div w:id="546181748">
      <w:bodyDiv w:val="1"/>
      <w:marLeft w:val="0"/>
      <w:marRight w:val="0"/>
      <w:marTop w:val="0"/>
      <w:marBottom w:val="0"/>
      <w:divBdr>
        <w:top w:val="none" w:sz="0" w:space="0" w:color="auto"/>
        <w:left w:val="none" w:sz="0" w:space="0" w:color="auto"/>
        <w:bottom w:val="none" w:sz="0" w:space="0" w:color="auto"/>
        <w:right w:val="none" w:sz="0" w:space="0" w:color="auto"/>
      </w:divBdr>
    </w:div>
    <w:div w:id="548538255">
      <w:bodyDiv w:val="1"/>
      <w:marLeft w:val="0"/>
      <w:marRight w:val="0"/>
      <w:marTop w:val="0"/>
      <w:marBottom w:val="0"/>
      <w:divBdr>
        <w:top w:val="none" w:sz="0" w:space="0" w:color="auto"/>
        <w:left w:val="none" w:sz="0" w:space="0" w:color="auto"/>
        <w:bottom w:val="none" w:sz="0" w:space="0" w:color="auto"/>
        <w:right w:val="none" w:sz="0" w:space="0" w:color="auto"/>
      </w:divBdr>
    </w:div>
    <w:div w:id="565185324">
      <w:bodyDiv w:val="1"/>
      <w:marLeft w:val="0"/>
      <w:marRight w:val="0"/>
      <w:marTop w:val="0"/>
      <w:marBottom w:val="0"/>
      <w:divBdr>
        <w:top w:val="none" w:sz="0" w:space="0" w:color="auto"/>
        <w:left w:val="none" w:sz="0" w:space="0" w:color="auto"/>
        <w:bottom w:val="none" w:sz="0" w:space="0" w:color="auto"/>
        <w:right w:val="none" w:sz="0" w:space="0" w:color="auto"/>
      </w:divBdr>
    </w:div>
    <w:div w:id="585456076">
      <w:bodyDiv w:val="1"/>
      <w:marLeft w:val="0"/>
      <w:marRight w:val="0"/>
      <w:marTop w:val="0"/>
      <w:marBottom w:val="0"/>
      <w:divBdr>
        <w:top w:val="none" w:sz="0" w:space="0" w:color="auto"/>
        <w:left w:val="none" w:sz="0" w:space="0" w:color="auto"/>
        <w:bottom w:val="none" w:sz="0" w:space="0" w:color="auto"/>
        <w:right w:val="none" w:sz="0" w:space="0" w:color="auto"/>
      </w:divBdr>
    </w:div>
    <w:div w:id="591545703">
      <w:bodyDiv w:val="1"/>
      <w:marLeft w:val="0"/>
      <w:marRight w:val="0"/>
      <w:marTop w:val="0"/>
      <w:marBottom w:val="0"/>
      <w:divBdr>
        <w:top w:val="none" w:sz="0" w:space="0" w:color="auto"/>
        <w:left w:val="none" w:sz="0" w:space="0" w:color="auto"/>
        <w:bottom w:val="none" w:sz="0" w:space="0" w:color="auto"/>
        <w:right w:val="none" w:sz="0" w:space="0" w:color="auto"/>
      </w:divBdr>
    </w:div>
    <w:div w:id="606501779">
      <w:bodyDiv w:val="1"/>
      <w:marLeft w:val="0"/>
      <w:marRight w:val="0"/>
      <w:marTop w:val="0"/>
      <w:marBottom w:val="0"/>
      <w:divBdr>
        <w:top w:val="none" w:sz="0" w:space="0" w:color="auto"/>
        <w:left w:val="none" w:sz="0" w:space="0" w:color="auto"/>
        <w:bottom w:val="none" w:sz="0" w:space="0" w:color="auto"/>
        <w:right w:val="none" w:sz="0" w:space="0" w:color="auto"/>
      </w:divBdr>
    </w:div>
    <w:div w:id="608438806">
      <w:bodyDiv w:val="1"/>
      <w:marLeft w:val="0"/>
      <w:marRight w:val="0"/>
      <w:marTop w:val="0"/>
      <w:marBottom w:val="0"/>
      <w:divBdr>
        <w:top w:val="none" w:sz="0" w:space="0" w:color="auto"/>
        <w:left w:val="none" w:sz="0" w:space="0" w:color="auto"/>
        <w:bottom w:val="none" w:sz="0" w:space="0" w:color="auto"/>
        <w:right w:val="none" w:sz="0" w:space="0" w:color="auto"/>
      </w:divBdr>
    </w:div>
    <w:div w:id="616059246">
      <w:bodyDiv w:val="1"/>
      <w:marLeft w:val="0"/>
      <w:marRight w:val="0"/>
      <w:marTop w:val="0"/>
      <w:marBottom w:val="0"/>
      <w:divBdr>
        <w:top w:val="none" w:sz="0" w:space="0" w:color="auto"/>
        <w:left w:val="none" w:sz="0" w:space="0" w:color="auto"/>
        <w:bottom w:val="none" w:sz="0" w:space="0" w:color="auto"/>
        <w:right w:val="none" w:sz="0" w:space="0" w:color="auto"/>
      </w:divBdr>
    </w:div>
    <w:div w:id="645160764">
      <w:bodyDiv w:val="1"/>
      <w:marLeft w:val="0"/>
      <w:marRight w:val="0"/>
      <w:marTop w:val="0"/>
      <w:marBottom w:val="0"/>
      <w:divBdr>
        <w:top w:val="none" w:sz="0" w:space="0" w:color="auto"/>
        <w:left w:val="none" w:sz="0" w:space="0" w:color="auto"/>
        <w:bottom w:val="none" w:sz="0" w:space="0" w:color="auto"/>
        <w:right w:val="none" w:sz="0" w:space="0" w:color="auto"/>
      </w:divBdr>
    </w:div>
    <w:div w:id="651908575">
      <w:bodyDiv w:val="1"/>
      <w:marLeft w:val="0"/>
      <w:marRight w:val="0"/>
      <w:marTop w:val="0"/>
      <w:marBottom w:val="0"/>
      <w:divBdr>
        <w:top w:val="none" w:sz="0" w:space="0" w:color="auto"/>
        <w:left w:val="none" w:sz="0" w:space="0" w:color="auto"/>
        <w:bottom w:val="none" w:sz="0" w:space="0" w:color="auto"/>
        <w:right w:val="none" w:sz="0" w:space="0" w:color="auto"/>
      </w:divBdr>
    </w:div>
    <w:div w:id="659964185">
      <w:bodyDiv w:val="1"/>
      <w:marLeft w:val="0"/>
      <w:marRight w:val="0"/>
      <w:marTop w:val="0"/>
      <w:marBottom w:val="0"/>
      <w:divBdr>
        <w:top w:val="none" w:sz="0" w:space="0" w:color="auto"/>
        <w:left w:val="none" w:sz="0" w:space="0" w:color="auto"/>
        <w:bottom w:val="none" w:sz="0" w:space="0" w:color="auto"/>
        <w:right w:val="none" w:sz="0" w:space="0" w:color="auto"/>
      </w:divBdr>
      <w:divsChild>
        <w:div w:id="1251282028">
          <w:marLeft w:val="0"/>
          <w:marRight w:val="0"/>
          <w:marTop w:val="0"/>
          <w:marBottom w:val="0"/>
          <w:divBdr>
            <w:top w:val="none" w:sz="0" w:space="0" w:color="auto"/>
            <w:left w:val="none" w:sz="0" w:space="0" w:color="auto"/>
            <w:bottom w:val="none" w:sz="0" w:space="0" w:color="auto"/>
            <w:right w:val="none" w:sz="0" w:space="0" w:color="auto"/>
          </w:divBdr>
          <w:divsChild>
            <w:div w:id="946699561">
              <w:marLeft w:val="0"/>
              <w:marRight w:val="0"/>
              <w:marTop w:val="0"/>
              <w:marBottom w:val="0"/>
              <w:divBdr>
                <w:top w:val="none" w:sz="0" w:space="0" w:color="auto"/>
                <w:left w:val="none" w:sz="0" w:space="0" w:color="auto"/>
                <w:bottom w:val="none" w:sz="0" w:space="0" w:color="auto"/>
                <w:right w:val="none" w:sz="0" w:space="0" w:color="auto"/>
              </w:divBdr>
              <w:divsChild>
                <w:div w:id="1631281293">
                  <w:marLeft w:val="0"/>
                  <w:marRight w:val="0"/>
                  <w:marTop w:val="0"/>
                  <w:marBottom w:val="0"/>
                  <w:divBdr>
                    <w:top w:val="none" w:sz="0" w:space="0" w:color="auto"/>
                    <w:left w:val="none" w:sz="0" w:space="0" w:color="auto"/>
                    <w:bottom w:val="none" w:sz="0" w:space="0" w:color="auto"/>
                    <w:right w:val="none" w:sz="0" w:space="0" w:color="auto"/>
                  </w:divBdr>
                  <w:divsChild>
                    <w:div w:id="13703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80962">
      <w:bodyDiv w:val="1"/>
      <w:marLeft w:val="0"/>
      <w:marRight w:val="0"/>
      <w:marTop w:val="0"/>
      <w:marBottom w:val="0"/>
      <w:divBdr>
        <w:top w:val="none" w:sz="0" w:space="0" w:color="auto"/>
        <w:left w:val="none" w:sz="0" w:space="0" w:color="auto"/>
        <w:bottom w:val="none" w:sz="0" w:space="0" w:color="auto"/>
        <w:right w:val="none" w:sz="0" w:space="0" w:color="auto"/>
      </w:divBdr>
    </w:div>
    <w:div w:id="696203426">
      <w:bodyDiv w:val="1"/>
      <w:marLeft w:val="0"/>
      <w:marRight w:val="0"/>
      <w:marTop w:val="0"/>
      <w:marBottom w:val="0"/>
      <w:divBdr>
        <w:top w:val="none" w:sz="0" w:space="0" w:color="auto"/>
        <w:left w:val="none" w:sz="0" w:space="0" w:color="auto"/>
        <w:bottom w:val="none" w:sz="0" w:space="0" w:color="auto"/>
        <w:right w:val="none" w:sz="0" w:space="0" w:color="auto"/>
      </w:divBdr>
    </w:div>
    <w:div w:id="707339193">
      <w:bodyDiv w:val="1"/>
      <w:marLeft w:val="0"/>
      <w:marRight w:val="0"/>
      <w:marTop w:val="0"/>
      <w:marBottom w:val="0"/>
      <w:divBdr>
        <w:top w:val="none" w:sz="0" w:space="0" w:color="auto"/>
        <w:left w:val="none" w:sz="0" w:space="0" w:color="auto"/>
        <w:bottom w:val="none" w:sz="0" w:space="0" w:color="auto"/>
        <w:right w:val="none" w:sz="0" w:space="0" w:color="auto"/>
      </w:divBdr>
    </w:div>
    <w:div w:id="735318178">
      <w:bodyDiv w:val="1"/>
      <w:marLeft w:val="0"/>
      <w:marRight w:val="0"/>
      <w:marTop w:val="0"/>
      <w:marBottom w:val="0"/>
      <w:divBdr>
        <w:top w:val="none" w:sz="0" w:space="0" w:color="auto"/>
        <w:left w:val="none" w:sz="0" w:space="0" w:color="auto"/>
        <w:bottom w:val="none" w:sz="0" w:space="0" w:color="auto"/>
        <w:right w:val="none" w:sz="0" w:space="0" w:color="auto"/>
      </w:divBdr>
    </w:div>
    <w:div w:id="738670271">
      <w:bodyDiv w:val="1"/>
      <w:marLeft w:val="0"/>
      <w:marRight w:val="0"/>
      <w:marTop w:val="0"/>
      <w:marBottom w:val="0"/>
      <w:divBdr>
        <w:top w:val="none" w:sz="0" w:space="0" w:color="auto"/>
        <w:left w:val="none" w:sz="0" w:space="0" w:color="auto"/>
        <w:bottom w:val="none" w:sz="0" w:space="0" w:color="auto"/>
        <w:right w:val="none" w:sz="0" w:space="0" w:color="auto"/>
      </w:divBdr>
      <w:divsChild>
        <w:div w:id="1137451999">
          <w:marLeft w:val="0"/>
          <w:marRight w:val="0"/>
          <w:marTop w:val="0"/>
          <w:marBottom w:val="0"/>
          <w:divBdr>
            <w:top w:val="none" w:sz="0" w:space="0" w:color="auto"/>
            <w:left w:val="none" w:sz="0" w:space="0" w:color="auto"/>
            <w:bottom w:val="none" w:sz="0" w:space="0" w:color="auto"/>
            <w:right w:val="none" w:sz="0" w:space="0" w:color="auto"/>
          </w:divBdr>
          <w:divsChild>
            <w:div w:id="860168319">
              <w:marLeft w:val="0"/>
              <w:marRight w:val="0"/>
              <w:marTop w:val="0"/>
              <w:marBottom w:val="0"/>
              <w:divBdr>
                <w:top w:val="none" w:sz="0" w:space="0" w:color="auto"/>
                <w:left w:val="none" w:sz="0" w:space="0" w:color="auto"/>
                <w:bottom w:val="none" w:sz="0" w:space="0" w:color="auto"/>
                <w:right w:val="none" w:sz="0" w:space="0" w:color="auto"/>
              </w:divBdr>
              <w:divsChild>
                <w:div w:id="65001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2">
      <w:bodyDiv w:val="1"/>
      <w:marLeft w:val="0"/>
      <w:marRight w:val="0"/>
      <w:marTop w:val="0"/>
      <w:marBottom w:val="0"/>
      <w:divBdr>
        <w:top w:val="none" w:sz="0" w:space="0" w:color="auto"/>
        <w:left w:val="none" w:sz="0" w:space="0" w:color="auto"/>
        <w:bottom w:val="none" w:sz="0" w:space="0" w:color="auto"/>
        <w:right w:val="none" w:sz="0" w:space="0" w:color="auto"/>
      </w:divBdr>
    </w:div>
    <w:div w:id="818884400">
      <w:bodyDiv w:val="1"/>
      <w:marLeft w:val="0"/>
      <w:marRight w:val="0"/>
      <w:marTop w:val="0"/>
      <w:marBottom w:val="0"/>
      <w:divBdr>
        <w:top w:val="none" w:sz="0" w:space="0" w:color="auto"/>
        <w:left w:val="none" w:sz="0" w:space="0" w:color="auto"/>
        <w:bottom w:val="none" w:sz="0" w:space="0" w:color="auto"/>
        <w:right w:val="none" w:sz="0" w:space="0" w:color="auto"/>
      </w:divBdr>
    </w:div>
    <w:div w:id="828525220">
      <w:bodyDiv w:val="1"/>
      <w:marLeft w:val="0"/>
      <w:marRight w:val="0"/>
      <w:marTop w:val="0"/>
      <w:marBottom w:val="0"/>
      <w:divBdr>
        <w:top w:val="none" w:sz="0" w:space="0" w:color="auto"/>
        <w:left w:val="none" w:sz="0" w:space="0" w:color="auto"/>
        <w:bottom w:val="none" w:sz="0" w:space="0" w:color="auto"/>
        <w:right w:val="none" w:sz="0" w:space="0" w:color="auto"/>
      </w:divBdr>
      <w:divsChild>
        <w:div w:id="901452873">
          <w:marLeft w:val="0"/>
          <w:marRight w:val="0"/>
          <w:marTop w:val="0"/>
          <w:marBottom w:val="0"/>
          <w:divBdr>
            <w:top w:val="none" w:sz="0" w:space="0" w:color="auto"/>
            <w:left w:val="none" w:sz="0" w:space="0" w:color="auto"/>
            <w:bottom w:val="none" w:sz="0" w:space="0" w:color="auto"/>
            <w:right w:val="none" w:sz="0" w:space="0" w:color="auto"/>
          </w:divBdr>
          <w:divsChild>
            <w:div w:id="392242213">
              <w:marLeft w:val="0"/>
              <w:marRight w:val="0"/>
              <w:marTop w:val="0"/>
              <w:marBottom w:val="0"/>
              <w:divBdr>
                <w:top w:val="none" w:sz="0" w:space="0" w:color="auto"/>
                <w:left w:val="none" w:sz="0" w:space="0" w:color="auto"/>
                <w:bottom w:val="none" w:sz="0" w:space="0" w:color="auto"/>
                <w:right w:val="none" w:sz="0" w:space="0" w:color="auto"/>
              </w:divBdr>
              <w:divsChild>
                <w:div w:id="1383749035">
                  <w:marLeft w:val="0"/>
                  <w:marRight w:val="0"/>
                  <w:marTop w:val="0"/>
                  <w:marBottom w:val="0"/>
                  <w:divBdr>
                    <w:top w:val="none" w:sz="0" w:space="0" w:color="auto"/>
                    <w:left w:val="none" w:sz="0" w:space="0" w:color="auto"/>
                    <w:bottom w:val="none" w:sz="0" w:space="0" w:color="auto"/>
                    <w:right w:val="none" w:sz="0" w:space="0" w:color="auto"/>
                  </w:divBdr>
                  <w:divsChild>
                    <w:div w:id="104826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17095">
      <w:bodyDiv w:val="1"/>
      <w:marLeft w:val="0"/>
      <w:marRight w:val="0"/>
      <w:marTop w:val="0"/>
      <w:marBottom w:val="0"/>
      <w:divBdr>
        <w:top w:val="none" w:sz="0" w:space="0" w:color="auto"/>
        <w:left w:val="none" w:sz="0" w:space="0" w:color="auto"/>
        <w:bottom w:val="none" w:sz="0" w:space="0" w:color="auto"/>
        <w:right w:val="none" w:sz="0" w:space="0" w:color="auto"/>
      </w:divBdr>
    </w:div>
    <w:div w:id="843252920">
      <w:bodyDiv w:val="1"/>
      <w:marLeft w:val="0"/>
      <w:marRight w:val="0"/>
      <w:marTop w:val="0"/>
      <w:marBottom w:val="0"/>
      <w:divBdr>
        <w:top w:val="none" w:sz="0" w:space="0" w:color="auto"/>
        <w:left w:val="none" w:sz="0" w:space="0" w:color="auto"/>
        <w:bottom w:val="none" w:sz="0" w:space="0" w:color="auto"/>
        <w:right w:val="none" w:sz="0" w:space="0" w:color="auto"/>
      </w:divBdr>
    </w:div>
    <w:div w:id="864637420">
      <w:bodyDiv w:val="1"/>
      <w:marLeft w:val="0"/>
      <w:marRight w:val="0"/>
      <w:marTop w:val="0"/>
      <w:marBottom w:val="0"/>
      <w:divBdr>
        <w:top w:val="none" w:sz="0" w:space="0" w:color="auto"/>
        <w:left w:val="none" w:sz="0" w:space="0" w:color="auto"/>
        <w:bottom w:val="none" w:sz="0" w:space="0" w:color="auto"/>
        <w:right w:val="none" w:sz="0" w:space="0" w:color="auto"/>
      </w:divBdr>
      <w:divsChild>
        <w:div w:id="1278367411">
          <w:marLeft w:val="0"/>
          <w:marRight w:val="0"/>
          <w:marTop w:val="0"/>
          <w:marBottom w:val="0"/>
          <w:divBdr>
            <w:top w:val="none" w:sz="0" w:space="0" w:color="auto"/>
            <w:left w:val="none" w:sz="0" w:space="0" w:color="auto"/>
            <w:bottom w:val="none" w:sz="0" w:space="0" w:color="auto"/>
            <w:right w:val="none" w:sz="0" w:space="0" w:color="auto"/>
          </w:divBdr>
          <w:divsChild>
            <w:div w:id="1435663934">
              <w:marLeft w:val="0"/>
              <w:marRight w:val="0"/>
              <w:marTop w:val="0"/>
              <w:marBottom w:val="0"/>
              <w:divBdr>
                <w:top w:val="none" w:sz="0" w:space="0" w:color="auto"/>
                <w:left w:val="none" w:sz="0" w:space="0" w:color="auto"/>
                <w:bottom w:val="none" w:sz="0" w:space="0" w:color="auto"/>
                <w:right w:val="none" w:sz="0" w:space="0" w:color="auto"/>
              </w:divBdr>
              <w:divsChild>
                <w:div w:id="35534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576881">
      <w:bodyDiv w:val="1"/>
      <w:marLeft w:val="0"/>
      <w:marRight w:val="0"/>
      <w:marTop w:val="0"/>
      <w:marBottom w:val="0"/>
      <w:divBdr>
        <w:top w:val="none" w:sz="0" w:space="0" w:color="auto"/>
        <w:left w:val="none" w:sz="0" w:space="0" w:color="auto"/>
        <w:bottom w:val="none" w:sz="0" w:space="0" w:color="auto"/>
        <w:right w:val="none" w:sz="0" w:space="0" w:color="auto"/>
      </w:divBdr>
    </w:div>
    <w:div w:id="895630664">
      <w:bodyDiv w:val="1"/>
      <w:marLeft w:val="0"/>
      <w:marRight w:val="0"/>
      <w:marTop w:val="0"/>
      <w:marBottom w:val="0"/>
      <w:divBdr>
        <w:top w:val="none" w:sz="0" w:space="0" w:color="auto"/>
        <w:left w:val="none" w:sz="0" w:space="0" w:color="auto"/>
        <w:bottom w:val="none" w:sz="0" w:space="0" w:color="auto"/>
        <w:right w:val="none" w:sz="0" w:space="0" w:color="auto"/>
      </w:divBdr>
    </w:div>
    <w:div w:id="898134511">
      <w:bodyDiv w:val="1"/>
      <w:marLeft w:val="0"/>
      <w:marRight w:val="0"/>
      <w:marTop w:val="0"/>
      <w:marBottom w:val="0"/>
      <w:divBdr>
        <w:top w:val="none" w:sz="0" w:space="0" w:color="auto"/>
        <w:left w:val="none" w:sz="0" w:space="0" w:color="auto"/>
        <w:bottom w:val="none" w:sz="0" w:space="0" w:color="auto"/>
        <w:right w:val="none" w:sz="0" w:space="0" w:color="auto"/>
      </w:divBdr>
    </w:div>
    <w:div w:id="899751794">
      <w:bodyDiv w:val="1"/>
      <w:marLeft w:val="0"/>
      <w:marRight w:val="0"/>
      <w:marTop w:val="0"/>
      <w:marBottom w:val="0"/>
      <w:divBdr>
        <w:top w:val="none" w:sz="0" w:space="0" w:color="auto"/>
        <w:left w:val="none" w:sz="0" w:space="0" w:color="auto"/>
        <w:bottom w:val="none" w:sz="0" w:space="0" w:color="auto"/>
        <w:right w:val="none" w:sz="0" w:space="0" w:color="auto"/>
      </w:divBdr>
    </w:div>
    <w:div w:id="964964673">
      <w:bodyDiv w:val="1"/>
      <w:marLeft w:val="0"/>
      <w:marRight w:val="0"/>
      <w:marTop w:val="0"/>
      <w:marBottom w:val="0"/>
      <w:divBdr>
        <w:top w:val="none" w:sz="0" w:space="0" w:color="auto"/>
        <w:left w:val="none" w:sz="0" w:space="0" w:color="auto"/>
        <w:bottom w:val="none" w:sz="0" w:space="0" w:color="auto"/>
        <w:right w:val="none" w:sz="0" w:space="0" w:color="auto"/>
      </w:divBdr>
    </w:div>
    <w:div w:id="977370349">
      <w:bodyDiv w:val="1"/>
      <w:marLeft w:val="0"/>
      <w:marRight w:val="0"/>
      <w:marTop w:val="0"/>
      <w:marBottom w:val="0"/>
      <w:divBdr>
        <w:top w:val="none" w:sz="0" w:space="0" w:color="auto"/>
        <w:left w:val="none" w:sz="0" w:space="0" w:color="auto"/>
        <w:bottom w:val="none" w:sz="0" w:space="0" w:color="auto"/>
        <w:right w:val="none" w:sz="0" w:space="0" w:color="auto"/>
      </w:divBdr>
    </w:div>
    <w:div w:id="992954216">
      <w:bodyDiv w:val="1"/>
      <w:marLeft w:val="0"/>
      <w:marRight w:val="0"/>
      <w:marTop w:val="0"/>
      <w:marBottom w:val="0"/>
      <w:divBdr>
        <w:top w:val="none" w:sz="0" w:space="0" w:color="auto"/>
        <w:left w:val="none" w:sz="0" w:space="0" w:color="auto"/>
        <w:bottom w:val="none" w:sz="0" w:space="0" w:color="auto"/>
        <w:right w:val="none" w:sz="0" w:space="0" w:color="auto"/>
      </w:divBdr>
    </w:div>
    <w:div w:id="1003359468">
      <w:bodyDiv w:val="1"/>
      <w:marLeft w:val="0"/>
      <w:marRight w:val="0"/>
      <w:marTop w:val="0"/>
      <w:marBottom w:val="0"/>
      <w:divBdr>
        <w:top w:val="none" w:sz="0" w:space="0" w:color="auto"/>
        <w:left w:val="none" w:sz="0" w:space="0" w:color="auto"/>
        <w:bottom w:val="none" w:sz="0" w:space="0" w:color="auto"/>
        <w:right w:val="none" w:sz="0" w:space="0" w:color="auto"/>
      </w:divBdr>
    </w:div>
    <w:div w:id="1004865342">
      <w:bodyDiv w:val="1"/>
      <w:marLeft w:val="0"/>
      <w:marRight w:val="0"/>
      <w:marTop w:val="0"/>
      <w:marBottom w:val="0"/>
      <w:divBdr>
        <w:top w:val="none" w:sz="0" w:space="0" w:color="auto"/>
        <w:left w:val="none" w:sz="0" w:space="0" w:color="auto"/>
        <w:bottom w:val="none" w:sz="0" w:space="0" w:color="auto"/>
        <w:right w:val="none" w:sz="0" w:space="0" w:color="auto"/>
      </w:divBdr>
    </w:div>
    <w:div w:id="1008290522">
      <w:bodyDiv w:val="1"/>
      <w:marLeft w:val="0"/>
      <w:marRight w:val="0"/>
      <w:marTop w:val="0"/>
      <w:marBottom w:val="0"/>
      <w:divBdr>
        <w:top w:val="none" w:sz="0" w:space="0" w:color="auto"/>
        <w:left w:val="none" w:sz="0" w:space="0" w:color="auto"/>
        <w:bottom w:val="none" w:sz="0" w:space="0" w:color="auto"/>
        <w:right w:val="none" w:sz="0" w:space="0" w:color="auto"/>
      </w:divBdr>
    </w:div>
    <w:div w:id="1010647406">
      <w:bodyDiv w:val="1"/>
      <w:marLeft w:val="0"/>
      <w:marRight w:val="0"/>
      <w:marTop w:val="0"/>
      <w:marBottom w:val="0"/>
      <w:divBdr>
        <w:top w:val="none" w:sz="0" w:space="0" w:color="auto"/>
        <w:left w:val="none" w:sz="0" w:space="0" w:color="auto"/>
        <w:bottom w:val="none" w:sz="0" w:space="0" w:color="auto"/>
        <w:right w:val="none" w:sz="0" w:space="0" w:color="auto"/>
      </w:divBdr>
    </w:div>
    <w:div w:id="1014767179">
      <w:bodyDiv w:val="1"/>
      <w:marLeft w:val="0"/>
      <w:marRight w:val="0"/>
      <w:marTop w:val="0"/>
      <w:marBottom w:val="0"/>
      <w:divBdr>
        <w:top w:val="none" w:sz="0" w:space="0" w:color="auto"/>
        <w:left w:val="none" w:sz="0" w:space="0" w:color="auto"/>
        <w:bottom w:val="none" w:sz="0" w:space="0" w:color="auto"/>
        <w:right w:val="none" w:sz="0" w:space="0" w:color="auto"/>
      </w:divBdr>
    </w:div>
    <w:div w:id="1026172496">
      <w:bodyDiv w:val="1"/>
      <w:marLeft w:val="0"/>
      <w:marRight w:val="0"/>
      <w:marTop w:val="0"/>
      <w:marBottom w:val="0"/>
      <w:divBdr>
        <w:top w:val="none" w:sz="0" w:space="0" w:color="auto"/>
        <w:left w:val="none" w:sz="0" w:space="0" w:color="auto"/>
        <w:bottom w:val="none" w:sz="0" w:space="0" w:color="auto"/>
        <w:right w:val="none" w:sz="0" w:space="0" w:color="auto"/>
      </w:divBdr>
    </w:div>
    <w:div w:id="1033652809">
      <w:bodyDiv w:val="1"/>
      <w:marLeft w:val="0"/>
      <w:marRight w:val="0"/>
      <w:marTop w:val="0"/>
      <w:marBottom w:val="0"/>
      <w:divBdr>
        <w:top w:val="none" w:sz="0" w:space="0" w:color="auto"/>
        <w:left w:val="none" w:sz="0" w:space="0" w:color="auto"/>
        <w:bottom w:val="none" w:sz="0" w:space="0" w:color="auto"/>
        <w:right w:val="none" w:sz="0" w:space="0" w:color="auto"/>
      </w:divBdr>
    </w:div>
    <w:div w:id="1039938774">
      <w:bodyDiv w:val="1"/>
      <w:marLeft w:val="0"/>
      <w:marRight w:val="0"/>
      <w:marTop w:val="0"/>
      <w:marBottom w:val="0"/>
      <w:divBdr>
        <w:top w:val="none" w:sz="0" w:space="0" w:color="auto"/>
        <w:left w:val="none" w:sz="0" w:space="0" w:color="auto"/>
        <w:bottom w:val="none" w:sz="0" w:space="0" w:color="auto"/>
        <w:right w:val="none" w:sz="0" w:space="0" w:color="auto"/>
      </w:divBdr>
    </w:div>
    <w:div w:id="1053382858">
      <w:bodyDiv w:val="1"/>
      <w:marLeft w:val="0"/>
      <w:marRight w:val="0"/>
      <w:marTop w:val="0"/>
      <w:marBottom w:val="0"/>
      <w:divBdr>
        <w:top w:val="none" w:sz="0" w:space="0" w:color="auto"/>
        <w:left w:val="none" w:sz="0" w:space="0" w:color="auto"/>
        <w:bottom w:val="none" w:sz="0" w:space="0" w:color="auto"/>
        <w:right w:val="none" w:sz="0" w:space="0" w:color="auto"/>
      </w:divBdr>
    </w:div>
    <w:div w:id="1054350867">
      <w:bodyDiv w:val="1"/>
      <w:marLeft w:val="0"/>
      <w:marRight w:val="0"/>
      <w:marTop w:val="0"/>
      <w:marBottom w:val="0"/>
      <w:divBdr>
        <w:top w:val="none" w:sz="0" w:space="0" w:color="auto"/>
        <w:left w:val="none" w:sz="0" w:space="0" w:color="auto"/>
        <w:bottom w:val="none" w:sz="0" w:space="0" w:color="auto"/>
        <w:right w:val="none" w:sz="0" w:space="0" w:color="auto"/>
      </w:divBdr>
    </w:div>
    <w:div w:id="1093478532">
      <w:bodyDiv w:val="1"/>
      <w:marLeft w:val="0"/>
      <w:marRight w:val="0"/>
      <w:marTop w:val="0"/>
      <w:marBottom w:val="0"/>
      <w:divBdr>
        <w:top w:val="none" w:sz="0" w:space="0" w:color="auto"/>
        <w:left w:val="none" w:sz="0" w:space="0" w:color="auto"/>
        <w:bottom w:val="none" w:sz="0" w:space="0" w:color="auto"/>
        <w:right w:val="none" w:sz="0" w:space="0" w:color="auto"/>
      </w:divBdr>
    </w:div>
    <w:div w:id="1102990296">
      <w:bodyDiv w:val="1"/>
      <w:marLeft w:val="0"/>
      <w:marRight w:val="0"/>
      <w:marTop w:val="0"/>
      <w:marBottom w:val="0"/>
      <w:divBdr>
        <w:top w:val="none" w:sz="0" w:space="0" w:color="auto"/>
        <w:left w:val="none" w:sz="0" w:space="0" w:color="auto"/>
        <w:bottom w:val="none" w:sz="0" w:space="0" w:color="auto"/>
        <w:right w:val="none" w:sz="0" w:space="0" w:color="auto"/>
      </w:divBdr>
    </w:div>
    <w:div w:id="1104880367">
      <w:bodyDiv w:val="1"/>
      <w:marLeft w:val="0"/>
      <w:marRight w:val="0"/>
      <w:marTop w:val="0"/>
      <w:marBottom w:val="0"/>
      <w:divBdr>
        <w:top w:val="none" w:sz="0" w:space="0" w:color="auto"/>
        <w:left w:val="none" w:sz="0" w:space="0" w:color="auto"/>
        <w:bottom w:val="none" w:sz="0" w:space="0" w:color="auto"/>
        <w:right w:val="none" w:sz="0" w:space="0" w:color="auto"/>
      </w:divBdr>
      <w:divsChild>
        <w:div w:id="568658873">
          <w:marLeft w:val="0"/>
          <w:marRight w:val="0"/>
          <w:marTop w:val="0"/>
          <w:marBottom w:val="0"/>
          <w:divBdr>
            <w:top w:val="none" w:sz="0" w:space="0" w:color="auto"/>
            <w:left w:val="none" w:sz="0" w:space="0" w:color="auto"/>
            <w:bottom w:val="none" w:sz="0" w:space="0" w:color="auto"/>
            <w:right w:val="none" w:sz="0" w:space="0" w:color="auto"/>
          </w:divBdr>
          <w:divsChild>
            <w:div w:id="2028822579">
              <w:marLeft w:val="0"/>
              <w:marRight w:val="0"/>
              <w:marTop w:val="0"/>
              <w:marBottom w:val="0"/>
              <w:divBdr>
                <w:top w:val="none" w:sz="0" w:space="0" w:color="auto"/>
                <w:left w:val="none" w:sz="0" w:space="0" w:color="auto"/>
                <w:bottom w:val="none" w:sz="0" w:space="0" w:color="auto"/>
                <w:right w:val="none" w:sz="0" w:space="0" w:color="auto"/>
              </w:divBdr>
              <w:divsChild>
                <w:div w:id="138160377">
                  <w:marLeft w:val="0"/>
                  <w:marRight w:val="0"/>
                  <w:marTop w:val="0"/>
                  <w:marBottom w:val="0"/>
                  <w:divBdr>
                    <w:top w:val="none" w:sz="0" w:space="0" w:color="auto"/>
                    <w:left w:val="none" w:sz="0" w:space="0" w:color="auto"/>
                    <w:bottom w:val="none" w:sz="0" w:space="0" w:color="auto"/>
                    <w:right w:val="none" w:sz="0" w:space="0" w:color="auto"/>
                  </w:divBdr>
                  <w:divsChild>
                    <w:div w:id="128754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227601">
      <w:bodyDiv w:val="1"/>
      <w:marLeft w:val="0"/>
      <w:marRight w:val="0"/>
      <w:marTop w:val="0"/>
      <w:marBottom w:val="0"/>
      <w:divBdr>
        <w:top w:val="none" w:sz="0" w:space="0" w:color="auto"/>
        <w:left w:val="none" w:sz="0" w:space="0" w:color="auto"/>
        <w:bottom w:val="none" w:sz="0" w:space="0" w:color="auto"/>
        <w:right w:val="none" w:sz="0" w:space="0" w:color="auto"/>
      </w:divBdr>
    </w:div>
    <w:div w:id="1140458367">
      <w:bodyDiv w:val="1"/>
      <w:marLeft w:val="0"/>
      <w:marRight w:val="0"/>
      <w:marTop w:val="0"/>
      <w:marBottom w:val="0"/>
      <w:divBdr>
        <w:top w:val="none" w:sz="0" w:space="0" w:color="auto"/>
        <w:left w:val="none" w:sz="0" w:space="0" w:color="auto"/>
        <w:bottom w:val="none" w:sz="0" w:space="0" w:color="auto"/>
        <w:right w:val="none" w:sz="0" w:space="0" w:color="auto"/>
      </w:divBdr>
    </w:div>
    <w:div w:id="1144080784">
      <w:bodyDiv w:val="1"/>
      <w:marLeft w:val="0"/>
      <w:marRight w:val="0"/>
      <w:marTop w:val="0"/>
      <w:marBottom w:val="0"/>
      <w:divBdr>
        <w:top w:val="none" w:sz="0" w:space="0" w:color="auto"/>
        <w:left w:val="none" w:sz="0" w:space="0" w:color="auto"/>
        <w:bottom w:val="none" w:sz="0" w:space="0" w:color="auto"/>
        <w:right w:val="none" w:sz="0" w:space="0" w:color="auto"/>
      </w:divBdr>
    </w:div>
    <w:div w:id="1147548262">
      <w:bodyDiv w:val="1"/>
      <w:marLeft w:val="0"/>
      <w:marRight w:val="0"/>
      <w:marTop w:val="0"/>
      <w:marBottom w:val="0"/>
      <w:divBdr>
        <w:top w:val="none" w:sz="0" w:space="0" w:color="auto"/>
        <w:left w:val="none" w:sz="0" w:space="0" w:color="auto"/>
        <w:bottom w:val="none" w:sz="0" w:space="0" w:color="auto"/>
        <w:right w:val="none" w:sz="0" w:space="0" w:color="auto"/>
      </w:divBdr>
      <w:divsChild>
        <w:div w:id="1657340860">
          <w:marLeft w:val="0"/>
          <w:marRight w:val="0"/>
          <w:marTop w:val="0"/>
          <w:marBottom w:val="0"/>
          <w:divBdr>
            <w:top w:val="none" w:sz="0" w:space="0" w:color="auto"/>
            <w:left w:val="none" w:sz="0" w:space="0" w:color="auto"/>
            <w:bottom w:val="none" w:sz="0" w:space="0" w:color="auto"/>
            <w:right w:val="none" w:sz="0" w:space="0" w:color="auto"/>
          </w:divBdr>
          <w:divsChild>
            <w:div w:id="236289129">
              <w:marLeft w:val="0"/>
              <w:marRight w:val="0"/>
              <w:marTop w:val="0"/>
              <w:marBottom w:val="0"/>
              <w:divBdr>
                <w:top w:val="none" w:sz="0" w:space="0" w:color="auto"/>
                <w:left w:val="none" w:sz="0" w:space="0" w:color="auto"/>
                <w:bottom w:val="none" w:sz="0" w:space="0" w:color="auto"/>
                <w:right w:val="none" w:sz="0" w:space="0" w:color="auto"/>
              </w:divBdr>
              <w:divsChild>
                <w:div w:id="1114862390">
                  <w:marLeft w:val="0"/>
                  <w:marRight w:val="0"/>
                  <w:marTop w:val="0"/>
                  <w:marBottom w:val="0"/>
                  <w:divBdr>
                    <w:top w:val="none" w:sz="0" w:space="0" w:color="auto"/>
                    <w:left w:val="none" w:sz="0" w:space="0" w:color="auto"/>
                    <w:bottom w:val="none" w:sz="0" w:space="0" w:color="auto"/>
                    <w:right w:val="none" w:sz="0" w:space="0" w:color="auto"/>
                  </w:divBdr>
                  <w:divsChild>
                    <w:div w:id="97021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351212">
      <w:bodyDiv w:val="1"/>
      <w:marLeft w:val="0"/>
      <w:marRight w:val="0"/>
      <w:marTop w:val="0"/>
      <w:marBottom w:val="0"/>
      <w:divBdr>
        <w:top w:val="none" w:sz="0" w:space="0" w:color="auto"/>
        <w:left w:val="none" w:sz="0" w:space="0" w:color="auto"/>
        <w:bottom w:val="none" w:sz="0" w:space="0" w:color="auto"/>
        <w:right w:val="none" w:sz="0" w:space="0" w:color="auto"/>
      </w:divBdr>
    </w:div>
    <w:div w:id="1190680990">
      <w:bodyDiv w:val="1"/>
      <w:marLeft w:val="0"/>
      <w:marRight w:val="0"/>
      <w:marTop w:val="0"/>
      <w:marBottom w:val="0"/>
      <w:divBdr>
        <w:top w:val="none" w:sz="0" w:space="0" w:color="auto"/>
        <w:left w:val="none" w:sz="0" w:space="0" w:color="auto"/>
        <w:bottom w:val="none" w:sz="0" w:space="0" w:color="auto"/>
        <w:right w:val="none" w:sz="0" w:space="0" w:color="auto"/>
      </w:divBdr>
    </w:div>
    <w:div w:id="1196697823">
      <w:bodyDiv w:val="1"/>
      <w:marLeft w:val="0"/>
      <w:marRight w:val="0"/>
      <w:marTop w:val="0"/>
      <w:marBottom w:val="0"/>
      <w:divBdr>
        <w:top w:val="none" w:sz="0" w:space="0" w:color="auto"/>
        <w:left w:val="none" w:sz="0" w:space="0" w:color="auto"/>
        <w:bottom w:val="none" w:sz="0" w:space="0" w:color="auto"/>
        <w:right w:val="none" w:sz="0" w:space="0" w:color="auto"/>
      </w:divBdr>
    </w:div>
    <w:div w:id="1206716471">
      <w:bodyDiv w:val="1"/>
      <w:marLeft w:val="0"/>
      <w:marRight w:val="0"/>
      <w:marTop w:val="0"/>
      <w:marBottom w:val="0"/>
      <w:divBdr>
        <w:top w:val="none" w:sz="0" w:space="0" w:color="auto"/>
        <w:left w:val="none" w:sz="0" w:space="0" w:color="auto"/>
        <w:bottom w:val="none" w:sz="0" w:space="0" w:color="auto"/>
        <w:right w:val="none" w:sz="0" w:space="0" w:color="auto"/>
      </w:divBdr>
    </w:div>
    <w:div w:id="1211264712">
      <w:bodyDiv w:val="1"/>
      <w:marLeft w:val="0"/>
      <w:marRight w:val="0"/>
      <w:marTop w:val="0"/>
      <w:marBottom w:val="0"/>
      <w:divBdr>
        <w:top w:val="none" w:sz="0" w:space="0" w:color="auto"/>
        <w:left w:val="none" w:sz="0" w:space="0" w:color="auto"/>
        <w:bottom w:val="none" w:sz="0" w:space="0" w:color="auto"/>
        <w:right w:val="none" w:sz="0" w:space="0" w:color="auto"/>
      </w:divBdr>
    </w:div>
    <w:div w:id="1219323280">
      <w:bodyDiv w:val="1"/>
      <w:marLeft w:val="0"/>
      <w:marRight w:val="0"/>
      <w:marTop w:val="0"/>
      <w:marBottom w:val="0"/>
      <w:divBdr>
        <w:top w:val="none" w:sz="0" w:space="0" w:color="auto"/>
        <w:left w:val="none" w:sz="0" w:space="0" w:color="auto"/>
        <w:bottom w:val="none" w:sz="0" w:space="0" w:color="auto"/>
        <w:right w:val="none" w:sz="0" w:space="0" w:color="auto"/>
      </w:divBdr>
    </w:div>
    <w:div w:id="1245720020">
      <w:bodyDiv w:val="1"/>
      <w:marLeft w:val="0"/>
      <w:marRight w:val="0"/>
      <w:marTop w:val="0"/>
      <w:marBottom w:val="0"/>
      <w:divBdr>
        <w:top w:val="none" w:sz="0" w:space="0" w:color="auto"/>
        <w:left w:val="none" w:sz="0" w:space="0" w:color="auto"/>
        <w:bottom w:val="none" w:sz="0" w:space="0" w:color="auto"/>
        <w:right w:val="none" w:sz="0" w:space="0" w:color="auto"/>
      </w:divBdr>
    </w:div>
    <w:div w:id="1254437181">
      <w:bodyDiv w:val="1"/>
      <w:marLeft w:val="0"/>
      <w:marRight w:val="0"/>
      <w:marTop w:val="0"/>
      <w:marBottom w:val="0"/>
      <w:divBdr>
        <w:top w:val="none" w:sz="0" w:space="0" w:color="auto"/>
        <w:left w:val="none" w:sz="0" w:space="0" w:color="auto"/>
        <w:bottom w:val="none" w:sz="0" w:space="0" w:color="auto"/>
        <w:right w:val="none" w:sz="0" w:space="0" w:color="auto"/>
      </w:divBdr>
    </w:div>
    <w:div w:id="1258713464">
      <w:bodyDiv w:val="1"/>
      <w:marLeft w:val="0"/>
      <w:marRight w:val="0"/>
      <w:marTop w:val="0"/>
      <w:marBottom w:val="0"/>
      <w:divBdr>
        <w:top w:val="none" w:sz="0" w:space="0" w:color="auto"/>
        <w:left w:val="none" w:sz="0" w:space="0" w:color="auto"/>
        <w:bottom w:val="none" w:sz="0" w:space="0" w:color="auto"/>
        <w:right w:val="none" w:sz="0" w:space="0" w:color="auto"/>
      </w:divBdr>
    </w:div>
    <w:div w:id="1270699333">
      <w:bodyDiv w:val="1"/>
      <w:marLeft w:val="0"/>
      <w:marRight w:val="0"/>
      <w:marTop w:val="0"/>
      <w:marBottom w:val="0"/>
      <w:divBdr>
        <w:top w:val="none" w:sz="0" w:space="0" w:color="auto"/>
        <w:left w:val="none" w:sz="0" w:space="0" w:color="auto"/>
        <w:bottom w:val="none" w:sz="0" w:space="0" w:color="auto"/>
        <w:right w:val="none" w:sz="0" w:space="0" w:color="auto"/>
      </w:divBdr>
    </w:div>
    <w:div w:id="1276207251">
      <w:bodyDiv w:val="1"/>
      <w:marLeft w:val="0"/>
      <w:marRight w:val="0"/>
      <w:marTop w:val="0"/>
      <w:marBottom w:val="0"/>
      <w:divBdr>
        <w:top w:val="none" w:sz="0" w:space="0" w:color="auto"/>
        <w:left w:val="none" w:sz="0" w:space="0" w:color="auto"/>
        <w:bottom w:val="none" w:sz="0" w:space="0" w:color="auto"/>
        <w:right w:val="none" w:sz="0" w:space="0" w:color="auto"/>
      </w:divBdr>
    </w:div>
    <w:div w:id="1279219945">
      <w:bodyDiv w:val="1"/>
      <w:marLeft w:val="0"/>
      <w:marRight w:val="0"/>
      <w:marTop w:val="0"/>
      <w:marBottom w:val="0"/>
      <w:divBdr>
        <w:top w:val="none" w:sz="0" w:space="0" w:color="auto"/>
        <w:left w:val="none" w:sz="0" w:space="0" w:color="auto"/>
        <w:bottom w:val="none" w:sz="0" w:space="0" w:color="auto"/>
        <w:right w:val="none" w:sz="0" w:space="0" w:color="auto"/>
      </w:divBdr>
    </w:div>
    <w:div w:id="1281035771">
      <w:bodyDiv w:val="1"/>
      <w:marLeft w:val="0"/>
      <w:marRight w:val="0"/>
      <w:marTop w:val="0"/>
      <w:marBottom w:val="0"/>
      <w:divBdr>
        <w:top w:val="none" w:sz="0" w:space="0" w:color="auto"/>
        <w:left w:val="none" w:sz="0" w:space="0" w:color="auto"/>
        <w:bottom w:val="none" w:sz="0" w:space="0" w:color="auto"/>
        <w:right w:val="none" w:sz="0" w:space="0" w:color="auto"/>
      </w:divBdr>
    </w:div>
    <w:div w:id="1287080175">
      <w:bodyDiv w:val="1"/>
      <w:marLeft w:val="0"/>
      <w:marRight w:val="0"/>
      <w:marTop w:val="0"/>
      <w:marBottom w:val="0"/>
      <w:divBdr>
        <w:top w:val="none" w:sz="0" w:space="0" w:color="auto"/>
        <w:left w:val="none" w:sz="0" w:space="0" w:color="auto"/>
        <w:bottom w:val="none" w:sz="0" w:space="0" w:color="auto"/>
        <w:right w:val="none" w:sz="0" w:space="0" w:color="auto"/>
      </w:divBdr>
    </w:div>
    <w:div w:id="1296137557">
      <w:bodyDiv w:val="1"/>
      <w:marLeft w:val="0"/>
      <w:marRight w:val="0"/>
      <w:marTop w:val="0"/>
      <w:marBottom w:val="0"/>
      <w:divBdr>
        <w:top w:val="none" w:sz="0" w:space="0" w:color="auto"/>
        <w:left w:val="none" w:sz="0" w:space="0" w:color="auto"/>
        <w:bottom w:val="none" w:sz="0" w:space="0" w:color="auto"/>
        <w:right w:val="none" w:sz="0" w:space="0" w:color="auto"/>
      </w:divBdr>
      <w:divsChild>
        <w:div w:id="484589314">
          <w:marLeft w:val="0"/>
          <w:marRight w:val="0"/>
          <w:marTop w:val="0"/>
          <w:marBottom w:val="0"/>
          <w:divBdr>
            <w:top w:val="none" w:sz="0" w:space="0" w:color="auto"/>
            <w:left w:val="none" w:sz="0" w:space="0" w:color="auto"/>
            <w:bottom w:val="none" w:sz="0" w:space="0" w:color="auto"/>
            <w:right w:val="none" w:sz="0" w:space="0" w:color="auto"/>
          </w:divBdr>
          <w:divsChild>
            <w:div w:id="1035738428">
              <w:marLeft w:val="0"/>
              <w:marRight w:val="0"/>
              <w:marTop w:val="0"/>
              <w:marBottom w:val="0"/>
              <w:divBdr>
                <w:top w:val="none" w:sz="0" w:space="0" w:color="auto"/>
                <w:left w:val="none" w:sz="0" w:space="0" w:color="auto"/>
                <w:bottom w:val="none" w:sz="0" w:space="0" w:color="auto"/>
                <w:right w:val="none" w:sz="0" w:space="0" w:color="auto"/>
              </w:divBdr>
              <w:divsChild>
                <w:div w:id="1480880815">
                  <w:marLeft w:val="0"/>
                  <w:marRight w:val="0"/>
                  <w:marTop w:val="0"/>
                  <w:marBottom w:val="0"/>
                  <w:divBdr>
                    <w:top w:val="none" w:sz="0" w:space="0" w:color="auto"/>
                    <w:left w:val="none" w:sz="0" w:space="0" w:color="auto"/>
                    <w:bottom w:val="none" w:sz="0" w:space="0" w:color="auto"/>
                    <w:right w:val="none" w:sz="0" w:space="0" w:color="auto"/>
                  </w:divBdr>
                  <w:divsChild>
                    <w:div w:id="21126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763432">
      <w:bodyDiv w:val="1"/>
      <w:marLeft w:val="0"/>
      <w:marRight w:val="0"/>
      <w:marTop w:val="0"/>
      <w:marBottom w:val="0"/>
      <w:divBdr>
        <w:top w:val="none" w:sz="0" w:space="0" w:color="auto"/>
        <w:left w:val="none" w:sz="0" w:space="0" w:color="auto"/>
        <w:bottom w:val="none" w:sz="0" w:space="0" w:color="auto"/>
        <w:right w:val="none" w:sz="0" w:space="0" w:color="auto"/>
      </w:divBdr>
    </w:div>
    <w:div w:id="1297376329">
      <w:bodyDiv w:val="1"/>
      <w:marLeft w:val="0"/>
      <w:marRight w:val="0"/>
      <w:marTop w:val="0"/>
      <w:marBottom w:val="0"/>
      <w:divBdr>
        <w:top w:val="none" w:sz="0" w:space="0" w:color="auto"/>
        <w:left w:val="none" w:sz="0" w:space="0" w:color="auto"/>
        <w:bottom w:val="none" w:sz="0" w:space="0" w:color="auto"/>
        <w:right w:val="none" w:sz="0" w:space="0" w:color="auto"/>
      </w:divBdr>
    </w:div>
    <w:div w:id="1320160521">
      <w:bodyDiv w:val="1"/>
      <w:marLeft w:val="0"/>
      <w:marRight w:val="0"/>
      <w:marTop w:val="0"/>
      <w:marBottom w:val="0"/>
      <w:divBdr>
        <w:top w:val="none" w:sz="0" w:space="0" w:color="auto"/>
        <w:left w:val="none" w:sz="0" w:space="0" w:color="auto"/>
        <w:bottom w:val="none" w:sz="0" w:space="0" w:color="auto"/>
        <w:right w:val="none" w:sz="0" w:space="0" w:color="auto"/>
      </w:divBdr>
    </w:div>
    <w:div w:id="1338188518">
      <w:bodyDiv w:val="1"/>
      <w:marLeft w:val="0"/>
      <w:marRight w:val="0"/>
      <w:marTop w:val="0"/>
      <w:marBottom w:val="0"/>
      <w:divBdr>
        <w:top w:val="none" w:sz="0" w:space="0" w:color="auto"/>
        <w:left w:val="none" w:sz="0" w:space="0" w:color="auto"/>
        <w:bottom w:val="none" w:sz="0" w:space="0" w:color="auto"/>
        <w:right w:val="none" w:sz="0" w:space="0" w:color="auto"/>
      </w:divBdr>
    </w:div>
    <w:div w:id="1360623294">
      <w:bodyDiv w:val="1"/>
      <w:marLeft w:val="0"/>
      <w:marRight w:val="0"/>
      <w:marTop w:val="0"/>
      <w:marBottom w:val="0"/>
      <w:divBdr>
        <w:top w:val="none" w:sz="0" w:space="0" w:color="auto"/>
        <w:left w:val="none" w:sz="0" w:space="0" w:color="auto"/>
        <w:bottom w:val="none" w:sz="0" w:space="0" w:color="auto"/>
        <w:right w:val="none" w:sz="0" w:space="0" w:color="auto"/>
      </w:divBdr>
    </w:div>
    <w:div w:id="1375960458">
      <w:bodyDiv w:val="1"/>
      <w:marLeft w:val="0"/>
      <w:marRight w:val="0"/>
      <w:marTop w:val="0"/>
      <w:marBottom w:val="0"/>
      <w:divBdr>
        <w:top w:val="none" w:sz="0" w:space="0" w:color="auto"/>
        <w:left w:val="none" w:sz="0" w:space="0" w:color="auto"/>
        <w:bottom w:val="none" w:sz="0" w:space="0" w:color="auto"/>
        <w:right w:val="none" w:sz="0" w:space="0" w:color="auto"/>
      </w:divBdr>
    </w:div>
    <w:div w:id="1384060099">
      <w:bodyDiv w:val="1"/>
      <w:marLeft w:val="0"/>
      <w:marRight w:val="0"/>
      <w:marTop w:val="0"/>
      <w:marBottom w:val="0"/>
      <w:divBdr>
        <w:top w:val="none" w:sz="0" w:space="0" w:color="auto"/>
        <w:left w:val="none" w:sz="0" w:space="0" w:color="auto"/>
        <w:bottom w:val="none" w:sz="0" w:space="0" w:color="auto"/>
        <w:right w:val="none" w:sz="0" w:space="0" w:color="auto"/>
      </w:divBdr>
    </w:div>
    <w:div w:id="1392270615">
      <w:bodyDiv w:val="1"/>
      <w:marLeft w:val="0"/>
      <w:marRight w:val="0"/>
      <w:marTop w:val="0"/>
      <w:marBottom w:val="0"/>
      <w:divBdr>
        <w:top w:val="none" w:sz="0" w:space="0" w:color="auto"/>
        <w:left w:val="none" w:sz="0" w:space="0" w:color="auto"/>
        <w:bottom w:val="none" w:sz="0" w:space="0" w:color="auto"/>
        <w:right w:val="none" w:sz="0" w:space="0" w:color="auto"/>
      </w:divBdr>
    </w:div>
    <w:div w:id="1446774377">
      <w:bodyDiv w:val="1"/>
      <w:marLeft w:val="0"/>
      <w:marRight w:val="0"/>
      <w:marTop w:val="0"/>
      <w:marBottom w:val="0"/>
      <w:divBdr>
        <w:top w:val="none" w:sz="0" w:space="0" w:color="auto"/>
        <w:left w:val="none" w:sz="0" w:space="0" w:color="auto"/>
        <w:bottom w:val="none" w:sz="0" w:space="0" w:color="auto"/>
        <w:right w:val="none" w:sz="0" w:space="0" w:color="auto"/>
      </w:divBdr>
    </w:div>
    <w:div w:id="1472285852">
      <w:bodyDiv w:val="1"/>
      <w:marLeft w:val="0"/>
      <w:marRight w:val="0"/>
      <w:marTop w:val="0"/>
      <w:marBottom w:val="0"/>
      <w:divBdr>
        <w:top w:val="none" w:sz="0" w:space="0" w:color="auto"/>
        <w:left w:val="none" w:sz="0" w:space="0" w:color="auto"/>
        <w:bottom w:val="none" w:sz="0" w:space="0" w:color="auto"/>
        <w:right w:val="none" w:sz="0" w:space="0" w:color="auto"/>
      </w:divBdr>
    </w:div>
    <w:div w:id="1498764091">
      <w:bodyDiv w:val="1"/>
      <w:marLeft w:val="0"/>
      <w:marRight w:val="0"/>
      <w:marTop w:val="0"/>
      <w:marBottom w:val="0"/>
      <w:divBdr>
        <w:top w:val="none" w:sz="0" w:space="0" w:color="auto"/>
        <w:left w:val="none" w:sz="0" w:space="0" w:color="auto"/>
        <w:bottom w:val="none" w:sz="0" w:space="0" w:color="auto"/>
        <w:right w:val="none" w:sz="0" w:space="0" w:color="auto"/>
      </w:divBdr>
    </w:div>
    <w:div w:id="1511599098">
      <w:bodyDiv w:val="1"/>
      <w:marLeft w:val="0"/>
      <w:marRight w:val="0"/>
      <w:marTop w:val="0"/>
      <w:marBottom w:val="0"/>
      <w:divBdr>
        <w:top w:val="none" w:sz="0" w:space="0" w:color="auto"/>
        <w:left w:val="none" w:sz="0" w:space="0" w:color="auto"/>
        <w:bottom w:val="none" w:sz="0" w:space="0" w:color="auto"/>
        <w:right w:val="none" w:sz="0" w:space="0" w:color="auto"/>
      </w:divBdr>
    </w:div>
    <w:div w:id="1525825513">
      <w:bodyDiv w:val="1"/>
      <w:marLeft w:val="0"/>
      <w:marRight w:val="0"/>
      <w:marTop w:val="0"/>
      <w:marBottom w:val="0"/>
      <w:divBdr>
        <w:top w:val="none" w:sz="0" w:space="0" w:color="auto"/>
        <w:left w:val="none" w:sz="0" w:space="0" w:color="auto"/>
        <w:bottom w:val="none" w:sz="0" w:space="0" w:color="auto"/>
        <w:right w:val="none" w:sz="0" w:space="0" w:color="auto"/>
      </w:divBdr>
    </w:div>
    <w:div w:id="1581989953">
      <w:bodyDiv w:val="1"/>
      <w:marLeft w:val="0"/>
      <w:marRight w:val="0"/>
      <w:marTop w:val="0"/>
      <w:marBottom w:val="0"/>
      <w:divBdr>
        <w:top w:val="none" w:sz="0" w:space="0" w:color="auto"/>
        <w:left w:val="none" w:sz="0" w:space="0" w:color="auto"/>
        <w:bottom w:val="none" w:sz="0" w:space="0" w:color="auto"/>
        <w:right w:val="none" w:sz="0" w:space="0" w:color="auto"/>
      </w:divBdr>
    </w:div>
    <w:div w:id="1595287220">
      <w:bodyDiv w:val="1"/>
      <w:marLeft w:val="0"/>
      <w:marRight w:val="0"/>
      <w:marTop w:val="0"/>
      <w:marBottom w:val="0"/>
      <w:divBdr>
        <w:top w:val="none" w:sz="0" w:space="0" w:color="auto"/>
        <w:left w:val="none" w:sz="0" w:space="0" w:color="auto"/>
        <w:bottom w:val="none" w:sz="0" w:space="0" w:color="auto"/>
        <w:right w:val="none" w:sz="0" w:space="0" w:color="auto"/>
      </w:divBdr>
    </w:div>
    <w:div w:id="1607805794">
      <w:bodyDiv w:val="1"/>
      <w:marLeft w:val="0"/>
      <w:marRight w:val="0"/>
      <w:marTop w:val="0"/>
      <w:marBottom w:val="0"/>
      <w:divBdr>
        <w:top w:val="none" w:sz="0" w:space="0" w:color="auto"/>
        <w:left w:val="none" w:sz="0" w:space="0" w:color="auto"/>
        <w:bottom w:val="none" w:sz="0" w:space="0" w:color="auto"/>
        <w:right w:val="none" w:sz="0" w:space="0" w:color="auto"/>
      </w:divBdr>
    </w:div>
    <w:div w:id="1608846818">
      <w:bodyDiv w:val="1"/>
      <w:marLeft w:val="0"/>
      <w:marRight w:val="0"/>
      <w:marTop w:val="0"/>
      <w:marBottom w:val="0"/>
      <w:divBdr>
        <w:top w:val="none" w:sz="0" w:space="0" w:color="auto"/>
        <w:left w:val="none" w:sz="0" w:space="0" w:color="auto"/>
        <w:bottom w:val="none" w:sz="0" w:space="0" w:color="auto"/>
        <w:right w:val="none" w:sz="0" w:space="0" w:color="auto"/>
      </w:divBdr>
    </w:div>
    <w:div w:id="1617717625">
      <w:bodyDiv w:val="1"/>
      <w:marLeft w:val="0"/>
      <w:marRight w:val="0"/>
      <w:marTop w:val="0"/>
      <w:marBottom w:val="0"/>
      <w:divBdr>
        <w:top w:val="none" w:sz="0" w:space="0" w:color="auto"/>
        <w:left w:val="none" w:sz="0" w:space="0" w:color="auto"/>
        <w:bottom w:val="none" w:sz="0" w:space="0" w:color="auto"/>
        <w:right w:val="none" w:sz="0" w:space="0" w:color="auto"/>
      </w:divBdr>
    </w:div>
    <w:div w:id="1620457262">
      <w:bodyDiv w:val="1"/>
      <w:marLeft w:val="0"/>
      <w:marRight w:val="0"/>
      <w:marTop w:val="0"/>
      <w:marBottom w:val="0"/>
      <w:divBdr>
        <w:top w:val="none" w:sz="0" w:space="0" w:color="auto"/>
        <w:left w:val="none" w:sz="0" w:space="0" w:color="auto"/>
        <w:bottom w:val="none" w:sz="0" w:space="0" w:color="auto"/>
        <w:right w:val="none" w:sz="0" w:space="0" w:color="auto"/>
      </w:divBdr>
    </w:div>
    <w:div w:id="1621379998">
      <w:bodyDiv w:val="1"/>
      <w:marLeft w:val="0"/>
      <w:marRight w:val="0"/>
      <w:marTop w:val="0"/>
      <w:marBottom w:val="0"/>
      <w:divBdr>
        <w:top w:val="none" w:sz="0" w:space="0" w:color="auto"/>
        <w:left w:val="none" w:sz="0" w:space="0" w:color="auto"/>
        <w:bottom w:val="none" w:sz="0" w:space="0" w:color="auto"/>
        <w:right w:val="none" w:sz="0" w:space="0" w:color="auto"/>
      </w:divBdr>
    </w:div>
    <w:div w:id="1638954024">
      <w:bodyDiv w:val="1"/>
      <w:marLeft w:val="0"/>
      <w:marRight w:val="0"/>
      <w:marTop w:val="0"/>
      <w:marBottom w:val="0"/>
      <w:divBdr>
        <w:top w:val="none" w:sz="0" w:space="0" w:color="auto"/>
        <w:left w:val="none" w:sz="0" w:space="0" w:color="auto"/>
        <w:bottom w:val="none" w:sz="0" w:space="0" w:color="auto"/>
        <w:right w:val="none" w:sz="0" w:space="0" w:color="auto"/>
      </w:divBdr>
    </w:div>
    <w:div w:id="1653176082">
      <w:bodyDiv w:val="1"/>
      <w:marLeft w:val="0"/>
      <w:marRight w:val="0"/>
      <w:marTop w:val="0"/>
      <w:marBottom w:val="0"/>
      <w:divBdr>
        <w:top w:val="none" w:sz="0" w:space="0" w:color="auto"/>
        <w:left w:val="none" w:sz="0" w:space="0" w:color="auto"/>
        <w:bottom w:val="none" w:sz="0" w:space="0" w:color="auto"/>
        <w:right w:val="none" w:sz="0" w:space="0" w:color="auto"/>
      </w:divBdr>
    </w:div>
    <w:div w:id="1658532468">
      <w:bodyDiv w:val="1"/>
      <w:marLeft w:val="0"/>
      <w:marRight w:val="0"/>
      <w:marTop w:val="0"/>
      <w:marBottom w:val="0"/>
      <w:divBdr>
        <w:top w:val="none" w:sz="0" w:space="0" w:color="auto"/>
        <w:left w:val="none" w:sz="0" w:space="0" w:color="auto"/>
        <w:bottom w:val="none" w:sz="0" w:space="0" w:color="auto"/>
        <w:right w:val="none" w:sz="0" w:space="0" w:color="auto"/>
      </w:divBdr>
    </w:div>
    <w:div w:id="1689595948">
      <w:bodyDiv w:val="1"/>
      <w:marLeft w:val="0"/>
      <w:marRight w:val="0"/>
      <w:marTop w:val="0"/>
      <w:marBottom w:val="0"/>
      <w:divBdr>
        <w:top w:val="none" w:sz="0" w:space="0" w:color="auto"/>
        <w:left w:val="none" w:sz="0" w:space="0" w:color="auto"/>
        <w:bottom w:val="none" w:sz="0" w:space="0" w:color="auto"/>
        <w:right w:val="none" w:sz="0" w:space="0" w:color="auto"/>
      </w:divBdr>
    </w:div>
    <w:div w:id="1692414985">
      <w:bodyDiv w:val="1"/>
      <w:marLeft w:val="0"/>
      <w:marRight w:val="0"/>
      <w:marTop w:val="0"/>
      <w:marBottom w:val="0"/>
      <w:divBdr>
        <w:top w:val="none" w:sz="0" w:space="0" w:color="auto"/>
        <w:left w:val="none" w:sz="0" w:space="0" w:color="auto"/>
        <w:bottom w:val="none" w:sz="0" w:space="0" w:color="auto"/>
        <w:right w:val="none" w:sz="0" w:space="0" w:color="auto"/>
      </w:divBdr>
    </w:div>
    <w:div w:id="1696612264">
      <w:bodyDiv w:val="1"/>
      <w:marLeft w:val="0"/>
      <w:marRight w:val="0"/>
      <w:marTop w:val="0"/>
      <w:marBottom w:val="0"/>
      <w:divBdr>
        <w:top w:val="none" w:sz="0" w:space="0" w:color="auto"/>
        <w:left w:val="none" w:sz="0" w:space="0" w:color="auto"/>
        <w:bottom w:val="none" w:sz="0" w:space="0" w:color="auto"/>
        <w:right w:val="none" w:sz="0" w:space="0" w:color="auto"/>
      </w:divBdr>
    </w:div>
    <w:div w:id="1707637743">
      <w:bodyDiv w:val="1"/>
      <w:marLeft w:val="0"/>
      <w:marRight w:val="0"/>
      <w:marTop w:val="0"/>
      <w:marBottom w:val="0"/>
      <w:divBdr>
        <w:top w:val="none" w:sz="0" w:space="0" w:color="auto"/>
        <w:left w:val="none" w:sz="0" w:space="0" w:color="auto"/>
        <w:bottom w:val="none" w:sz="0" w:space="0" w:color="auto"/>
        <w:right w:val="none" w:sz="0" w:space="0" w:color="auto"/>
      </w:divBdr>
    </w:div>
    <w:div w:id="1727098174">
      <w:bodyDiv w:val="1"/>
      <w:marLeft w:val="0"/>
      <w:marRight w:val="0"/>
      <w:marTop w:val="0"/>
      <w:marBottom w:val="0"/>
      <w:divBdr>
        <w:top w:val="none" w:sz="0" w:space="0" w:color="auto"/>
        <w:left w:val="none" w:sz="0" w:space="0" w:color="auto"/>
        <w:bottom w:val="none" w:sz="0" w:space="0" w:color="auto"/>
        <w:right w:val="none" w:sz="0" w:space="0" w:color="auto"/>
      </w:divBdr>
    </w:div>
    <w:div w:id="1729574619">
      <w:bodyDiv w:val="1"/>
      <w:marLeft w:val="0"/>
      <w:marRight w:val="0"/>
      <w:marTop w:val="0"/>
      <w:marBottom w:val="0"/>
      <w:divBdr>
        <w:top w:val="none" w:sz="0" w:space="0" w:color="auto"/>
        <w:left w:val="none" w:sz="0" w:space="0" w:color="auto"/>
        <w:bottom w:val="none" w:sz="0" w:space="0" w:color="auto"/>
        <w:right w:val="none" w:sz="0" w:space="0" w:color="auto"/>
      </w:divBdr>
    </w:div>
    <w:div w:id="1742215633">
      <w:bodyDiv w:val="1"/>
      <w:marLeft w:val="0"/>
      <w:marRight w:val="0"/>
      <w:marTop w:val="0"/>
      <w:marBottom w:val="0"/>
      <w:divBdr>
        <w:top w:val="none" w:sz="0" w:space="0" w:color="auto"/>
        <w:left w:val="none" w:sz="0" w:space="0" w:color="auto"/>
        <w:bottom w:val="none" w:sz="0" w:space="0" w:color="auto"/>
        <w:right w:val="none" w:sz="0" w:space="0" w:color="auto"/>
      </w:divBdr>
    </w:div>
    <w:div w:id="1742949268">
      <w:bodyDiv w:val="1"/>
      <w:marLeft w:val="0"/>
      <w:marRight w:val="0"/>
      <w:marTop w:val="0"/>
      <w:marBottom w:val="0"/>
      <w:divBdr>
        <w:top w:val="none" w:sz="0" w:space="0" w:color="auto"/>
        <w:left w:val="none" w:sz="0" w:space="0" w:color="auto"/>
        <w:bottom w:val="none" w:sz="0" w:space="0" w:color="auto"/>
        <w:right w:val="none" w:sz="0" w:space="0" w:color="auto"/>
      </w:divBdr>
    </w:div>
    <w:div w:id="1756779869">
      <w:bodyDiv w:val="1"/>
      <w:marLeft w:val="0"/>
      <w:marRight w:val="0"/>
      <w:marTop w:val="0"/>
      <w:marBottom w:val="0"/>
      <w:divBdr>
        <w:top w:val="none" w:sz="0" w:space="0" w:color="auto"/>
        <w:left w:val="none" w:sz="0" w:space="0" w:color="auto"/>
        <w:bottom w:val="none" w:sz="0" w:space="0" w:color="auto"/>
        <w:right w:val="none" w:sz="0" w:space="0" w:color="auto"/>
      </w:divBdr>
      <w:divsChild>
        <w:div w:id="1687635959">
          <w:marLeft w:val="0"/>
          <w:marRight w:val="0"/>
          <w:marTop w:val="0"/>
          <w:marBottom w:val="0"/>
          <w:divBdr>
            <w:top w:val="none" w:sz="0" w:space="0" w:color="auto"/>
            <w:left w:val="none" w:sz="0" w:space="0" w:color="auto"/>
            <w:bottom w:val="none" w:sz="0" w:space="0" w:color="auto"/>
            <w:right w:val="none" w:sz="0" w:space="0" w:color="auto"/>
          </w:divBdr>
          <w:divsChild>
            <w:div w:id="445780942">
              <w:marLeft w:val="0"/>
              <w:marRight w:val="0"/>
              <w:marTop w:val="0"/>
              <w:marBottom w:val="0"/>
              <w:divBdr>
                <w:top w:val="none" w:sz="0" w:space="0" w:color="auto"/>
                <w:left w:val="none" w:sz="0" w:space="0" w:color="auto"/>
                <w:bottom w:val="none" w:sz="0" w:space="0" w:color="auto"/>
                <w:right w:val="none" w:sz="0" w:space="0" w:color="auto"/>
              </w:divBdr>
              <w:divsChild>
                <w:div w:id="136671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63693">
      <w:bodyDiv w:val="1"/>
      <w:marLeft w:val="0"/>
      <w:marRight w:val="0"/>
      <w:marTop w:val="0"/>
      <w:marBottom w:val="0"/>
      <w:divBdr>
        <w:top w:val="none" w:sz="0" w:space="0" w:color="auto"/>
        <w:left w:val="none" w:sz="0" w:space="0" w:color="auto"/>
        <w:bottom w:val="none" w:sz="0" w:space="0" w:color="auto"/>
        <w:right w:val="none" w:sz="0" w:space="0" w:color="auto"/>
      </w:divBdr>
    </w:div>
    <w:div w:id="1771314446">
      <w:bodyDiv w:val="1"/>
      <w:marLeft w:val="0"/>
      <w:marRight w:val="0"/>
      <w:marTop w:val="0"/>
      <w:marBottom w:val="0"/>
      <w:divBdr>
        <w:top w:val="none" w:sz="0" w:space="0" w:color="auto"/>
        <w:left w:val="none" w:sz="0" w:space="0" w:color="auto"/>
        <w:bottom w:val="none" w:sz="0" w:space="0" w:color="auto"/>
        <w:right w:val="none" w:sz="0" w:space="0" w:color="auto"/>
      </w:divBdr>
    </w:div>
    <w:div w:id="1801262882">
      <w:bodyDiv w:val="1"/>
      <w:marLeft w:val="0"/>
      <w:marRight w:val="0"/>
      <w:marTop w:val="0"/>
      <w:marBottom w:val="0"/>
      <w:divBdr>
        <w:top w:val="none" w:sz="0" w:space="0" w:color="auto"/>
        <w:left w:val="none" w:sz="0" w:space="0" w:color="auto"/>
        <w:bottom w:val="none" w:sz="0" w:space="0" w:color="auto"/>
        <w:right w:val="none" w:sz="0" w:space="0" w:color="auto"/>
      </w:divBdr>
    </w:div>
    <w:div w:id="1846433917">
      <w:bodyDiv w:val="1"/>
      <w:marLeft w:val="0"/>
      <w:marRight w:val="0"/>
      <w:marTop w:val="0"/>
      <w:marBottom w:val="0"/>
      <w:divBdr>
        <w:top w:val="none" w:sz="0" w:space="0" w:color="auto"/>
        <w:left w:val="none" w:sz="0" w:space="0" w:color="auto"/>
        <w:bottom w:val="none" w:sz="0" w:space="0" w:color="auto"/>
        <w:right w:val="none" w:sz="0" w:space="0" w:color="auto"/>
      </w:divBdr>
    </w:div>
    <w:div w:id="1873493289">
      <w:bodyDiv w:val="1"/>
      <w:marLeft w:val="0"/>
      <w:marRight w:val="0"/>
      <w:marTop w:val="0"/>
      <w:marBottom w:val="0"/>
      <w:divBdr>
        <w:top w:val="none" w:sz="0" w:space="0" w:color="auto"/>
        <w:left w:val="none" w:sz="0" w:space="0" w:color="auto"/>
        <w:bottom w:val="none" w:sz="0" w:space="0" w:color="auto"/>
        <w:right w:val="none" w:sz="0" w:space="0" w:color="auto"/>
      </w:divBdr>
    </w:div>
    <w:div w:id="1895458337">
      <w:bodyDiv w:val="1"/>
      <w:marLeft w:val="0"/>
      <w:marRight w:val="0"/>
      <w:marTop w:val="0"/>
      <w:marBottom w:val="0"/>
      <w:divBdr>
        <w:top w:val="none" w:sz="0" w:space="0" w:color="auto"/>
        <w:left w:val="none" w:sz="0" w:space="0" w:color="auto"/>
        <w:bottom w:val="none" w:sz="0" w:space="0" w:color="auto"/>
        <w:right w:val="none" w:sz="0" w:space="0" w:color="auto"/>
      </w:divBdr>
    </w:div>
    <w:div w:id="1895577577">
      <w:bodyDiv w:val="1"/>
      <w:marLeft w:val="0"/>
      <w:marRight w:val="0"/>
      <w:marTop w:val="0"/>
      <w:marBottom w:val="0"/>
      <w:divBdr>
        <w:top w:val="none" w:sz="0" w:space="0" w:color="auto"/>
        <w:left w:val="none" w:sz="0" w:space="0" w:color="auto"/>
        <w:bottom w:val="none" w:sz="0" w:space="0" w:color="auto"/>
        <w:right w:val="none" w:sz="0" w:space="0" w:color="auto"/>
      </w:divBdr>
    </w:div>
    <w:div w:id="1901791470">
      <w:bodyDiv w:val="1"/>
      <w:marLeft w:val="0"/>
      <w:marRight w:val="0"/>
      <w:marTop w:val="0"/>
      <w:marBottom w:val="0"/>
      <w:divBdr>
        <w:top w:val="none" w:sz="0" w:space="0" w:color="auto"/>
        <w:left w:val="none" w:sz="0" w:space="0" w:color="auto"/>
        <w:bottom w:val="none" w:sz="0" w:space="0" w:color="auto"/>
        <w:right w:val="none" w:sz="0" w:space="0" w:color="auto"/>
      </w:divBdr>
    </w:div>
    <w:div w:id="1903905874">
      <w:bodyDiv w:val="1"/>
      <w:marLeft w:val="0"/>
      <w:marRight w:val="0"/>
      <w:marTop w:val="0"/>
      <w:marBottom w:val="0"/>
      <w:divBdr>
        <w:top w:val="none" w:sz="0" w:space="0" w:color="auto"/>
        <w:left w:val="none" w:sz="0" w:space="0" w:color="auto"/>
        <w:bottom w:val="none" w:sz="0" w:space="0" w:color="auto"/>
        <w:right w:val="none" w:sz="0" w:space="0" w:color="auto"/>
      </w:divBdr>
    </w:div>
    <w:div w:id="1909002041">
      <w:bodyDiv w:val="1"/>
      <w:marLeft w:val="0"/>
      <w:marRight w:val="0"/>
      <w:marTop w:val="0"/>
      <w:marBottom w:val="0"/>
      <w:divBdr>
        <w:top w:val="none" w:sz="0" w:space="0" w:color="auto"/>
        <w:left w:val="none" w:sz="0" w:space="0" w:color="auto"/>
        <w:bottom w:val="none" w:sz="0" w:space="0" w:color="auto"/>
        <w:right w:val="none" w:sz="0" w:space="0" w:color="auto"/>
      </w:divBdr>
    </w:div>
    <w:div w:id="1936935287">
      <w:bodyDiv w:val="1"/>
      <w:marLeft w:val="0"/>
      <w:marRight w:val="0"/>
      <w:marTop w:val="0"/>
      <w:marBottom w:val="0"/>
      <w:divBdr>
        <w:top w:val="none" w:sz="0" w:space="0" w:color="auto"/>
        <w:left w:val="none" w:sz="0" w:space="0" w:color="auto"/>
        <w:bottom w:val="none" w:sz="0" w:space="0" w:color="auto"/>
        <w:right w:val="none" w:sz="0" w:space="0" w:color="auto"/>
      </w:divBdr>
    </w:div>
    <w:div w:id="1948152179">
      <w:bodyDiv w:val="1"/>
      <w:marLeft w:val="0"/>
      <w:marRight w:val="0"/>
      <w:marTop w:val="0"/>
      <w:marBottom w:val="0"/>
      <w:divBdr>
        <w:top w:val="none" w:sz="0" w:space="0" w:color="auto"/>
        <w:left w:val="none" w:sz="0" w:space="0" w:color="auto"/>
        <w:bottom w:val="none" w:sz="0" w:space="0" w:color="auto"/>
        <w:right w:val="none" w:sz="0" w:space="0" w:color="auto"/>
      </w:divBdr>
    </w:div>
    <w:div w:id="1954627499">
      <w:bodyDiv w:val="1"/>
      <w:marLeft w:val="0"/>
      <w:marRight w:val="0"/>
      <w:marTop w:val="0"/>
      <w:marBottom w:val="0"/>
      <w:divBdr>
        <w:top w:val="none" w:sz="0" w:space="0" w:color="auto"/>
        <w:left w:val="none" w:sz="0" w:space="0" w:color="auto"/>
        <w:bottom w:val="none" w:sz="0" w:space="0" w:color="auto"/>
        <w:right w:val="none" w:sz="0" w:space="0" w:color="auto"/>
      </w:divBdr>
    </w:div>
    <w:div w:id="1973245143">
      <w:bodyDiv w:val="1"/>
      <w:marLeft w:val="0"/>
      <w:marRight w:val="0"/>
      <w:marTop w:val="0"/>
      <w:marBottom w:val="0"/>
      <w:divBdr>
        <w:top w:val="none" w:sz="0" w:space="0" w:color="auto"/>
        <w:left w:val="none" w:sz="0" w:space="0" w:color="auto"/>
        <w:bottom w:val="none" w:sz="0" w:space="0" w:color="auto"/>
        <w:right w:val="none" w:sz="0" w:space="0" w:color="auto"/>
      </w:divBdr>
    </w:div>
    <w:div w:id="1990670186">
      <w:bodyDiv w:val="1"/>
      <w:marLeft w:val="0"/>
      <w:marRight w:val="0"/>
      <w:marTop w:val="0"/>
      <w:marBottom w:val="0"/>
      <w:divBdr>
        <w:top w:val="none" w:sz="0" w:space="0" w:color="auto"/>
        <w:left w:val="none" w:sz="0" w:space="0" w:color="auto"/>
        <w:bottom w:val="none" w:sz="0" w:space="0" w:color="auto"/>
        <w:right w:val="none" w:sz="0" w:space="0" w:color="auto"/>
      </w:divBdr>
    </w:div>
    <w:div w:id="2015066081">
      <w:bodyDiv w:val="1"/>
      <w:marLeft w:val="0"/>
      <w:marRight w:val="0"/>
      <w:marTop w:val="0"/>
      <w:marBottom w:val="0"/>
      <w:divBdr>
        <w:top w:val="none" w:sz="0" w:space="0" w:color="auto"/>
        <w:left w:val="none" w:sz="0" w:space="0" w:color="auto"/>
        <w:bottom w:val="none" w:sz="0" w:space="0" w:color="auto"/>
        <w:right w:val="none" w:sz="0" w:space="0" w:color="auto"/>
      </w:divBdr>
    </w:div>
    <w:div w:id="2020348069">
      <w:bodyDiv w:val="1"/>
      <w:marLeft w:val="0"/>
      <w:marRight w:val="0"/>
      <w:marTop w:val="0"/>
      <w:marBottom w:val="0"/>
      <w:divBdr>
        <w:top w:val="none" w:sz="0" w:space="0" w:color="auto"/>
        <w:left w:val="none" w:sz="0" w:space="0" w:color="auto"/>
        <w:bottom w:val="none" w:sz="0" w:space="0" w:color="auto"/>
        <w:right w:val="none" w:sz="0" w:space="0" w:color="auto"/>
      </w:divBdr>
    </w:div>
    <w:div w:id="2042700637">
      <w:bodyDiv w:val="1"/>
      <w:marLeft w:val="0"/>
      <w:marRight w:val="0"/>
      <w:marTop w:val="0"/>
      <w:marBottom w:val="0"/>
      <w:divBdr>
        <w:top w:val="none" w:sz="0" w:space="0" w:color="auto"/>
        <w:left w:val="none" w:sz="0" w:space="0" w:color="auto"/>
        <w:bottom w:val="none" w:sz="0" w:space="0" w:color="auto"/>
        <w:right w:val="none" w:sz="0" w:space="0" w:color="auto"/>
      </w:divBdr>
    </w:div>
    <w:div w:id="2043241260">
      <w:bodyDiv w:val="1"/>
      <w:marLeft w:val="0"/>
      <w:marRight w:val="0"/>
      <w:marTop w:val="0"/>
      <w:marBottom w:val="0"/>
      <w:divBdr>
        <w:top w:val="none" w:sz="0" w:space="0" w:color="auto"/>
        <w:left w:val="none" w:sz="0" w:space="0" w:color="auto"/>
        <w:bottom w:val="none" w:sz="0" w:space="0" w:color="auto"/>
        <w:right w:val="none" w:sz="0" w:space="0" w:color="auto"/>
      </w:divBdr>
    </w:div>
    <w:div w:id="2049450560">
      <w:bodyDiv w:val="1"/>
      <w:marLeft w:val="0"/>
      <w:marRight w:val="0"/>
      <w:marTop w:val="0"/>
      <w:marBottom w:val="0"/>
      <w:divBdr>
        <w:top w:val="none" w:sz="0" w:space="0" w:color="auto"/>
        <w:left w:val="none" w:sz="0" w:space="0" w:color="auto"/>
        <w:bottom w:val="none" w:sz="0" w:space="0" w:color="auto"/>
        <w:right w:val="none" w:sz="0" w:space="0" w:color="auto"/>
      </w:divBdr>
    </w:div>
    <w:div w:id="2049916422">
      <w:bodyDiv w:val="1"/>
      <w:marLeft w:val="0"/>
      <w:marRight w:val="0"/>
      <w:marTop w:val="0"/>
      <w:marBottom w:val="0"/>
      <w:divBdr>
        <w:top w:val="none" w:sz="0" w:space="0" w:color="auto"/>
        <w:left w:val="none" w:sz="0" w:space="0" w:color="auto"/>
        <w:bottom w:val="none" w:sz="0" w:space="0" w:color="auto"/>
        <w:right w:val="none" w:sz="0" w:space="0" w:color="auto"/>
      </w:divBdr>
    </w:div>
    <w:div w:id="2054109648">
      <w:bodyDiv w:val="1"/>
      <w:marLeft w:val="0"/>
      <w:marRight w:val="0"/>
      <w:marTop w:val="0"/>
      <w:marBottom w:val="0"/>
      <w:divBdr>
        <w:top w:val="none" w:sz="0" w:space="0" w:color="auto"/>
        <w:left w:val="none" w:sz="0" w:space="0" w:color="auto"/>
        <w:bottom w:val="none" w:sz="0" w:space="0" w:color="auto"/>
        <w:right w:val="none" w:sz="0" w:space="0" w:color="auto"/>
      </w:divBdr>
    </w:div>
    <w:div w:id="2064475282">
      <w:bodyDiv w:val="1"/>
      <w:marLeft w:val="0"/>
      <w:marRight w:val="0"/>
      <w:marTop w:val="0"/>
      <w:marBottom w:val="0"/>
      <w:divBdr>
        <w:top w:val="none" w:sz="0" w:space="0" w:color="auto"/>
        <w:left w:val="none" w:sz="0" w:space="0" w:color="auto"/>
        <w:bottom w:val="none" w:sz="0" w:space="0" w:color="auto"/>
        <w:right w:val="none" w:sz="0" w:space="0" w:color="auto"/>
      </w:divBdr>
    </w:div>
    <w:div w:id="2098207591">
      <w:bodyDiv w:val="1"/>
      <w:marLeft w:val="0"/>
      <w:marRight w:val="0"/>
      <w:marTop w:val="0"/>
      <w:marBottom w:val="0"/>
      <w:divBdr>
        <w:top w:val="none" w:sz="0" w:space="0" w:color="auto"/>
        <w:left w:val="none" w:sz="0" w:space="0" w:color="auto"/>
        <w:bottom w:val="none" w:sz="0" w:space="0" w:color="auto"/>
        <w:right w:val="none" w:sz="0" w:space="0" w:color="auto"/>
      </w:divBdr>
    </w:div>
    <w:div w:id="2107579475">
      <w:bodyDiv w:val="1"/>
      <w:marLeft w:val="0"/>
      <w:marRight w:val="0"/>
      <w:marTop w:val="0"/>
      <w:marBottom w:val="0"/>
      <w:divBdr>
        <w:top w:val="none" w:sz="0" w:space="0" w:color="auto"/>
        <w:left w:val="none" w:sz="0" w:space="0" w:color="auto"/>
        <w:bottom w:val="none" w:sz="0" w:space="0" w:color="auto"/>
        <w:right w:val="none" w:sz="0" w:space="0" w:color="auto"/>
      </w:divBdr>
    </w:div>
    <w:div w:id="2123651639">
      <w:bodyDiv w:val="1"/>
      <w:marLeft w:val="0"/>
      <w:marRight w:val="0"/>
      <w:marTop w:val="0"/>
      <w:marBottom w:val="0"/>
      <w:divBdr>
        <w:top w:val="none" w:sz="0" w:space="0" w:color="auto"/>
        <w:left w:val="none" w:sz="0" w:space="0" w:color="auto"/>
        <w:bottom w:val="none" w:sz="0" w:space="0" w:color="auto"/>
        <w:right w:val="none" w:sz="0" w:space="0" w:color="auto"/>
      </w:divBdr>
    </w:div>
    <w:div w:id="2130124521">
      <w:bodyDiv w:val="1"/>
      <w:marLeft w:val="0"/>
      <w:marRight w:val="0"/>
      <w:marTop w:val="0"/>
      <w:marBottom w:val="0"/>
      <w:divBdr>
        <w:top w:val="none" w:sz="0" w:space="0" w:color="auto"/>
        <w:left w:val="none" w:sz="0" w:space="0" w:color="auto"/>
        <w:bottom w:val="none" w:sz="0" w:space="0" w:color="auto"/>
        <w:right w:val="none" w:sz="0" w:space="0" w:color="auto"/>
      </w:divBdr>
    </w:div>
    <w:div w:id="2143766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jpeg"/></Relationships>
</file>

<file path=word/_rels/footnotes.xml.rels><?xml version="1.0" encoding="UTF-8" standalone="yes"?>
<Relationships xmlns="http://schemas.openxmlformats.org/package/2006/relationships"><Relationship Id="rId13" Type="http://schemas.openxmlformats.org/officeDocument/2006/relationships/hyperlink" Target="https://fred.stlouisfed.org/series/DFEDTARU" TargetMode="External"/><Relationship Id="rId18" Type="http://schemas.openxmlformats.org/officeDocument/2006/relationships/hyperlink" Target="https://fred.stlouisfed.org/series/CLF16OV" TargetMode="External"/><Relationship Id="rId26" Type="http://schemas.openxmlformats.org/officeDocument/2006/relationships/hyperlink" Target="https://fred.stlouisfed.org/series/APU000074714" TargetMode="External"/><Relationship Id="rId39" Type="http://schemas.openxmlformats.org/officeDocument/2006/relationships/hyperlink" Target="https://fred.stlouisfed.org/series/PCECTPICTM" TargetMode="External"/><Relationship Id="rId21" Type="http://schemas.openxmlformats.org/officeDocument/2006/relationships/hyperlink" Target="https://fred.stlouisfed.org/series/JTSJOL" TargetMode="External"/><Relationship Id="rId34" Type="http://schemas.openxmlformats.org/officeDocument/2006/relationships/hyperlink" Target="https://fred.stlouisfed.org/series/CUUR0000SETA01" TargetMode="External"/><Relationship Id="rId7" Type="http://schemas.openxmlformats.org/officeDocument/2006/relationships/hyperlink" Target="https://fred.stlouisfed.org/series/A019RY2Q224SBEA" TargetMode="External"/><Relationship Id="rId12" Type="http://schemas.openxmlformats.org/officeDocument/2006/relationships/hyperlink" Target="https://fred.stlouisfed.org/release/tables?rid=18&amp;eid=289&amp;od=2023-06-30" TargetMode="External"/><Relationship Id="rId17" Type="http://schemas.openxmlformats.org/officeDocument/2006/relationships/hyperlink" Target="https://fred.stlouisfed.org/series/UNRATE" TargetMode="External"/><Relationship Id="rId25" Type="http://schemas.openxmlformats.org/officeDocument/2006/relationships/hyperlink" Target="https://fred.stlouisfed.org/series/CPILEGSL" TargetMode="External"/><Relationship Id="rId33" Type="http://schemas.openxmlformats.org/officeDocument/2006/relationships/hyperlink" Target="https://fred.stlouisfed.org/series/PCE" TargetMode="External"/><Relationship Id="rId38" Type="http://schemas.openxmlformats.org/officeDocument/2006/relationships/hyperlink" Target="https://fred.stlouisfed.org/series/GDPC1CTM" TargetMode="External"/><Relationship Id="rId2" Type="http://schemas.openxmlformats.org/officeDocument/2006/relationships/hyperlink" Target="https://fred.stlouisfed.org/series/DTWEXBGS" TargetMode="External"/><Relationship Id="rId16" Type="http://schemas.openxmlformats.org/officeDocument/2006/relationships/hyperlink" Target="https://fred.stlouisfed.org/series/DAAA" TargetMode="External"/><Relationship Id="rId20" Type="http://schemas.openxmlformats.org/officeDocument/2006/relationships/hyperlink" Target="https://fred.stlouisfed.org/series/JTSQUL" TargetMode="External"/><Relationship Id="rId29" Type="http://schemas.openxmlformats.org/officeDocument/2006/relationships/hyperlink" Target="https://fred.stlouisfed.org/series/DCOILWTICO" TargetMode="External"/><Relationship Id="rId1" Type="http://schemas.openxmlformats.org/officeDocument/2006/relationships/hyperlink" Target="https://fred.stlouisfed.org/series/USPHCI" TargetMode="External"/><Relationship Id="rId6" Type="http://schemas.openxmlformats.org/officeDocument/2006/relationships/hyperlink" Target="https://fred.stlouisfed.org/series/A822RY2Q224SBEA" TargetMode="External"/><Relationship Id="rId11" Type="http://schemas.openxmlformats.org/officeDocument/2006/relationships/hyperlink" Target="https://fred.stlouisfed.org/series/FEDFUNDS" TargetMode="External"/><Relationship Id="rId24" Type="http://schemas.openxmlformats.org/officeDocument/2006/relationships/hyperlink" Target="https://fred.stlouisfed.org/series/CPIAUCSL" TargetMode="External"/><Relationship Id="rId32" Type="http://schemas.openxmlformats.org/officeDocument/2006/relationships/hyperlink" Target="https://fred.stlouisfed.org/series/SPCS20RSA" TargetMode="External"/><Relationship Id="rId37" Type="http://schemas.openxmlformats.org/officeDocument/2006/relationships/hyperlink" Target="https://fred.stlouisfed.org/series/VIXCLS" TargetMode="External"/><Relationship Id="rId40" Type="http://schemas.openxmlformats.org/officeDocument/2006/relationships/hyperlink" Target="https://fred.stlouisfed.org/series/UNRATECTM" TargetMode="External"/><Relationship Id="rId5" Type="http://schemas.openxmlformats.org/officeDocument/2006/relationships/hyperlink" Target="https://fred.stlouisfed.org/series/A006RY2Q224SBEA" TargetMode="External"/><Relationship Id="rId15" Type="http://schemas.openxmlformats.org/officeDocument/2006/relationships/hyperlink" Target="https://fred.stlouisfed.org/series/DBAA" TargetMode="External"/><Relationship Id="rId23" Type="http://schemas.openxmlformats.org/officeDocument/2006/relationships/hyperlink" Target="https://fred.stlouisfed.org/series/PAYEMS" TargetMode="External"/><Relationship Id="rId28" Type="http://schemas.openxmlformats.org/officeDocument/2006/relationships/hyperlink" Target="https://fred.stlouisfed.org/series/T5YIE" TargetMode="External"/><Relationship Id="rId36" Type="http://schemas.openxmlformats.org/officeDocument/2006/relationships/hyperlink" Target="https://fred.stlouisfed.org/series/UMCSENT" TargetMode="External"/><Relationship Id="rId10" Type="http://schemas.openxmlformats.org/officeDocument/2006/relationships/hyperlink" Target="https://fred.stlouisfed.org/series/MCUMFN" TargetMode="External"/><Relationship Id="rId19" Type="http://schemas.openxmlformats.org/officeDocument/2006/relationships/hyperlink" Target="https://fred.stlouisfed.org/series/CIVPART" TargetMode="External"/><Relationship Id="rId31" Type="http://schemas.openxmlformats.org/officeDocument/2006/relationships/hyperlink" Target="https://fred.stlouisfed.org/series/MORTGAGE30US" TargetMode="External"/><Relationship Id="rId4" Type="http://schemas.openxmlformats.org/officeDocument/2006/relationships/hyperlink" Target="https://fred.stlouisfed.org/series/DPCERY2Q224SBEA" TargetMode="External"/><Relationship Id="rId9" Type="http://schemas.openxmlformats.org/officeDocument/2006/relationships/hyperlink" Target="https://fred.stlouisfed.org/series/INDPRO" TargetMode="External"/><Relationship Id="rId14" Type="http://schemas.openxmlformats.org/officeDocument/2006/relationships/hyperlink" Target="https://fred.stlouisfed.org/series/DGS10" TargetMode="External"/><Relationship Id="rId22" Type="http://schemas.openxmlformats.org/officeDocument/2006/relationships/hyperlink" Target="https://fred.stlouisfed.org/series/U6RATE" TargetMode="External"/><Relationship Id="rId27" Type="http://schemas.openxmlformats.org/officeDocument/2006/relationships/hyperlink" Target="https://fred.stlouisfed.org/series/PPIACO" TargetMode="External"/><Relationship Id="rId30" Type="http://schemas.openxmlformats.org/officeDocument/2006/relationships/hyperlink" Target="https://fred.stlouisfed.org/series/HOUST" TargetMode="External"/><Relationship Id="rId35" Type="http://schemas.openxmlformats.org/officeDocument/2006/relationships/hyperlink" Target="https://fred.stlouisfed.org/series/CUSR0000SETA02" TargetMode="External"/><Relationship Id="rId8" Type="http://schemas.openxmlformats.org/officeDocument/2006/relationships/hyperlink" Target="https://www.philadelphiafed.org/surveys-and-data/real-time-data-research/livingston-survey" TargetMode="External"/><Relationship Id="rId3" Type="http://schemas.openxmlformats.org/officeDocument/2006/relationships/hyperlink" Target="https://fred.stlouisfed.org/series/GDPC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Designed for business valuation professionals, TagniFi’s Quarterly Economic Update provides timely economic data to satisfy Revenue Ruling 59-60.  </Abstract>
  <CompanyAddress/>
  <CompanyPhone/>
  <CompanyFax/>
  <CompanyEmail>www.tagnifi.com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7EA666-4F3A-4F08-99D0-E705A40D0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2946</Words>
  <Characters>16795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Quarterly Economic Update</vt:lpstr>
    </vt:vector>
  </TitlesOfParts>
  <Company/>
  <LinksUpToDate>false</LinksUpToDate>
  <CharactersWithSpaces>19702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Economic Update</dc:title>
  <dc:subject>For the 1st Quarter of 2020</dc:subject>
  <dc:creator>Office 365</dc:creator>
  <cp:keywords/>
  <dc:description/>
  <cp:lastModifiedBy>Chad Sandstedt</cp:lastModifiedBy>
  <cp:revision>2</cp:revision>
  <cp:lastPrinted>2023-08-01T20:00:00Z</cp:lastPrinted>
  <dcterms:created xsi:type="dcterms:W3CDTF">2023-08-02T12:04:00Z</dcterms:created>
  <dcterms:modified xsi:type="dcterms:W3CDTF">2023-08-02T12:04:00Z</dcterms:modified>
</cp:coreProperties>
</file>