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625127297"/>
        <w:docPartObj>
          <w:docPartGallery w:val="Cover Pages"/>
          <w:docPartUnique/>
        </w:docPartObj>
      </w:sdtPr>
      <w:sdtEndPr/>
      <w:sdtContent>
        <w:p w14:paraId="2ABEC867" w14:textId="1B3017D2" w:rsidR="000F1648" w:rsidRPr="00B76A73" w:rsidRDefault="008B2769" w:rsidP="002E6FDE">
          <w:pPr>
            <w:jc w:val="right"/>
          </w:pPr>
          <w:r w:rsidRPr="00B76A73">
            <w:rPr>
              <w:noProof/>
            </w:rPr>
            <w:drawing>
              <wp:inline distT="0" distB="0" distL="0" distR="0" wp14:anchorId="44435E8E" wp14:editId="620BE49C">
                <wp:extent cx="1743075" cy="275242"/>
                <wp:effectExtent l="0" t="0" r="0" b="0"/>
                <wp:docPr id="11" name="Picture 11" descr="A close 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TagniFi Large Logo BlackFlat.pn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0997" cy="28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F0E9DD8" w14:textId="6A3F039C" w:rsidR="006663D0" w:rsidRPr="00B76A73" w:rsidRDefault="006663D0" w:rsidP="002E6FDE">
          <w:pPr>
            <w:jc w:val="right"/>
          </w:pPr>
        </w:p>
        <w:p w14:paraId="61E7189B" w14:textId="5A4E226B" w:rsidR="006663D0" w:rsidRPr="00B76A73" w:rsidRDefault="00361E70" w:rsidP="00696388">
          <w:pPr>
            <w:jc w:val="right"/>
          </w:pPr>
          <w:r w:rsidRPr="00B76A73">
            <w:rPr>
              <w:noProof/>
            </w:rPr>
            <w:drawing>
              <wp:inline distT="0" distB="0" distL="0" distR="0" wp14:anchorId="525F52FA" wp14:editId="580C1198">
                <wp:extent cx="4324350" cy="4697139"/>
                <wp:effectExtent l="0" t="0" r="0" b="8255"/>
                <wp:docPr id="56" name="Picture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667" t="3363" r="2564" b="5829"/>
                        <a:stretch/>
                      </pic:blipFill>
                      <pic:spPr bwMode="auto">
                        <a:xfrm>
                          <a:off x="0" y="0"/>
                          <a:ext cx="4326477" cy="46994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="00987AB7" w:rsidRPr="00B76A73">
            <w:br/>
          </w:r>
        </w:p>
        <w:p w14:paraId="149D5EEE" w14:textId="3BE1B0C0" w:rsidR="00005111" w:rsidRPr="00B76A73" w:rsidRDefault="006663D0" w:rsidP="002E6FDE">
          <w:pPr>
            <w:jc w:val="right"/>
            <w:rPr>
              <w:color w:val="008FD5"/>
              <w:sz w:val="64"/>
              <w:szCs w:val="64"/>
            </w:rPr>
          </w:pPr>
          <w:r w:rsidRPr="00B76A73">
            <w:rPr>
              <w:color w:val="008FD5"/>
              <w:sz w:val="64"/>
              <w:szCs w:val="64"/>
            </w:rPr>
            <w:t>QUARTERLY ECONOMIC UPDATE</w:t>
          </w:r>
        </w:p>
        <w:p w14:paraId="7ADB2944" w14:textId="502A9CC8" w:rsidR="006663D0" w:rsidRPr="00B76A73" w:rsidRDefault="006663D0" w:rsidP="002E6FDE">
          <w:pPr>
            <w:jc w:val="right"/>
            <w:rPr>
              <w:sz w:val="36"/>
              <w:szCs w:val="36"/>
            </w:rPr>
          </w:pPr>
          <w:r w:rsidRPr="00B76A73">
            <w:rPr>
              <w:sz w:val="36"/>
              <w:szCs w:val="36"/>
            </w:rPr>
            <w:t xml:space="preserve">For the </w:t>
          </w:r>
          <w:r w:rsidR="007E21C0">
            <w:rPr>
              <w:sz w:val="36"/>
              <w:szCs w:val="36"/>
            </w:rPr>
            <w:t>3</w:t>
          </w:r>
          <w:r w:rsidR="007E21C0" w:rsidRPr="007E21C0">
            <w:rPr>
              <w:sz w:val="36"/>
              <w:szCs w:val="36"/>
              <w:vertAlign w:val="superscript"/>
            </w:rPr>
            <w:t>rd</w:t>
          </w:r>
          <w:r w:rsidR="007E21C0">
            <w:rPr>
              <w:sz w:val="36"/>
              <w:szCs w:val="36"/>
            </w:rPr>
            <w:t xml:space="preserve"> </w:t>
          </w:r>
          <w:r w:rsidR="00795ECE" w:rsidRPr="00B76A73">
            <w:rPr>
              <w:sz w:val="36"/>
              <w:szCs w:val="36"/>
            </w:rPr>
            <w:t>Quarter of 202</w:t>
          </w:r>
          <w:r w:rsidR="00056DC1">
            <w:rPr>
              <w:sz w:val="36"/>
              <w:szCs w:val="36"/>
            </w:rPr>
            <w:t>3</w:t>
          </w:r>
        </w:p>
        <w:p w14:paraId="45CA5FB6" w14:textId="7FC6A9D9" w:rsidR="006663D0" w:rsidRPr="00B76A73" w:rsidRDefault="006663D0" w:rsidP="002E6FDE">
          <w:pPr>
            <w:jc w:val="right"/>
            <w:rPr>
              <w:sz w:val="36"/>
              <w:szCs w:val="36"/>
            </w:rPr>
          </w:pPr>
        </w:p>
        <w:p w14:paraId="036ED6C8" w14:textId="5EC9A59D" w:rsidR="006663D0" w:rsidRPr="00B76A73" w:rsidRDefault="006663D0" w:rsidP="002E6FDE">
          <w:pPr>
            <w:jc w:val="right"/>
            <w:rPr>
              <w:color w:val="008FD5"/>
              <w:sz w:val="28"/>
              <w:szCs w:val="28"/>
            </w:rPr>
          </w:pPr>
          <w:r w:rsidRPr="00B76A73">
            <w:rPr>
              <w:color w:val="008FD5"/>
              <w:sz w:val="28"/>
              <w:szCs w:val="28"/>
            </w:rPr>
            <w:t>Abstract</w:t>
          </w:r>
        </w:p>
        <w:p w14:paraId="78E365CD" w14:textId="1DCB5F6C" w:rsidR="006663D0" w:rsidRPr="00B76A73" w:rsidRDefault="006663D0" w:rsidP="006663D0">
          <w:pPr>
            <w:jc w:val="right"/>
            <w:rPr>
              <w:sz w:val="20"/>
              <w:szCs w:val="20"/>
            </w:rPr>
          </w:pPr>
          <w:r w:rsidRPr="00B76A73">
            <w:rPr>
              <w:sz w:val="20"/>
              <w:szCs w:val="20"/>
            </w:rPr>
            <w:t xml:space="preserve">Designed for business valuation professionals, </w:t>
          </w:r>
          <w:proofErr w:type="spellStart"/>
          <w:r w:rsidRPr="00B76A73">
            <w:rPr>
              <w:sz w:val="20"/>
              <w:szCs w:val="20"/>
            </w:rPr>
            <w:t>TagniFi’s</w:t>
          </w:r>
          <w:proofErr w:type="spellEnd"/>
          <w:r w:rsidRPr="00B76A73">
            <w:rPr>
              <w:sz w:val="20"/>
              <w:szCs w:val="20"/>
            </w:rPr>
            <w:t xml:space="preserve"> Quarterly Economic </w:t>
          </w:r>
          <w:r w:rsidRPr="00B76A73">
            <w:rPr>
              <w:sz w:val="20"/>
              <w:szCs w:val="20"/>
            </w:rPr>
            <w:br/>
            <w:t>Update provides timely economic data to satisfy Revenue Ruling 56-60.</w:t>
          </w:r>
        </w:p>
        <w:p w14:paraId="149D5EEF" w14:textId="0F932CBB" w:rsidR="00005111" w:rsidRPr="00B76A73" w:rsidRDefault="00005111" w:rsidP="000F1648">
          <w:pPr>
            <w:ind w:hanging="900"/>
          </w:pPr>
          <w:r w:rsidRPr="00B76A73">
            <w:br w:type="page"/>
          </w:r>
        </w:p>
      </w:sdtContent>
    </w:sdt>
    <w:p w14:paraId="149D5EF0" w14:textId="77777777" w:rsidR="00217AD5" w:rsidRPr="00B76A73" w:rsidRDefault="00005111" w:rsidP="00005111">
      <w:pPr>
        <w:pStyle w:val="Heading1"/>
      </w:pPr>
      <w:r w:rsidRPr="00B76A73">
        <w:lastRenderedPageBreak/>
        <w:t>Summary</w:t>
      </w:r>
    </w:p>
    <w:p w14:paraId="0325A4E4" w14:textId="5AC4EF32" w:rsidR="00484D87" w:rsidRPr="000D1815" w:rsidRDefault="00B73CC4" w:rsidP="00B73CC4">
      <w:r w:rsidRPr="000D1815">
        <w:t xml:space="preserve">In the </w:t>
      </w:r>
      <w:r w:rsidR="000D1815" w:rsidRPr="000D1815">
        <w:t>3</w:t>
      </w:r>
      <w:r w:rsidR="000D1815" w:rsidRPr="000D1815">
        <w:rPr>
          <w:vertAlign w:val="superscript"/>
        </w:rPr>
        <w:t>rd</w:t>
      </w:r>
      <w:r w:rsidR="000D1815" w:rsidRPr="000D1815">
        <w:t xml:space="preserve"> </w:t>
      </w:r>
      <w:r w:rsidRPr="000D1815">
        <w:t>quarter of 202</w:t>
      </w:r>
      <w:r w:rsidR="00090A7B" w:rsidRPr="000D1815">
        <w:t>3</w:t>
      </w:r>
      <w:r w:rsidRPr="000D1815">
        <w:t xml:space="preserve">, </w:t>
      </w:r>
      <w:r w:rsidR="00777D25" w:rsidRPr="000D1815">
        <w:t xml:space="preserve">the </w:t>
      </w:r>
      <w:r w:rsidR="00090A7B" w:rsidRPr="000D1815">
        <w:t>U.S. econom</w:t>
      </w:r>
      <w:r w:rsidR="00777D25" w:rsidRPr="000D1815">
        <w:t xml:space="preserve">y </w:t>
      </w:r>
      <w:r w:rsidR="004A66D6">
        <w:t>remained durable</w:t>
      </w:r>
      <w:r w:rsidR="000D1815">
        <w:t xml:space="preserve"> in the face of headwinds, thanks in large part to the resilience of American consumers</w:t>
      </w:r>
      <w:r w:rsidR="00777D25" w:rsidRPr="000D1815">
        <w:t xml:space="preserve">. </w:t>
      </w:r>
      <w:r w:rsidR="00142197">
        <w:t>Production, spending, and job gains all exceeded expectations, even as interest rates reached a</w:t>
      </w:r>
      <w:r w:rsidR="004A66D6">
        <w:t xml:space="preserve"> more than 22</w:t>
      </w:r>
      <w:r w:rsidR="00142197">
        <w:t>-year high</w:t>
      </w:r>
      <w:r w:rsidR="005979DD" w:rsidRPr="000D1815">
        <w:t xml:space="preserve">. </w:t>
      </w:r>
      <w:r w:rsidR="00142197">
        <w:t>The current pace of growth is not expected to persist, but recession fears seem to be fading as the data continues to support the Fed’s hope of a “soft landing” for the economy</w:t>
      </w:r>
      <w:r w:rsidR="00556560" w:rsidRPr="000D1815">
        <w:t xml:space="preserve">. </w:t>
      </w:r>
    </w:p>
    <w:p w14:paraId="0CC3DDD4" w14:textId="36EA9A37" w:rsidR="008A5738" w:rsidRDefault="008A5738" w:rsidP="008A5738">
      <w:r>
        <w:t xml:space="preserve">Though the unemployment rate edged up further from the </w:t>
      </w:r>
      <w:r w:rsidR="004A66D6">
        <w:t xml:space="preserve">nearly </w:t>
      </w:r>
      <w:r>
        <w:t xml:space="preserve">54-year low it reached earlier this year, it remains below the 4.0% to 5.0% range widely accepted as an equilibrium level of “full employment.” Additionally, the uptick in unemployment came along with a commensurate increase in labor force participation rate and a 1-million worker gain in the size of the labor force. On the payroll side of the labor market, </w:t>
      </w:r>
      <w:r w:rsidR="00F506CB">
        <w:t>nonfarm employee counts exceeded expectations and fueled enthusiasm about the</w:t>
      </w:r>
      <w:r w:rsidR="004A66D6">
        <w:t xml:space="preserve"> state of the</w:t>
      </w:r>
      <w:r w:rsidR="00F506CB">
        <w:t xml:space="preserve"> economy.</w:t>
      </w:r>
      <w:r>
        <w:t xml:space="preserve"> </w:t>
      </w:r>
    </w:p>
    <w:p w14:paraId="3A58F5B3" w14:textId="41F4DC5E" w:rsidR="00DB7F4B" w:rsidRDefault="00142197" w:rsidP="00B73CC4">
      <w:r>
        <w:t xml:space="preserve">Inflation, which has been generally abating for the last 15 months </w:t>
      </w:r>
      <w:r w:rsidR="00AE4184">
        <w:t>due</w:t>
      </w:r>
      <w:r>
        <w:t xml:space="preserve"> to a strong </w:t>
      </w:r>
      <w:r w:rsidR="00AE4184">
        <w:t>response</w:t>
      </w:r>
      <w:r>
        <w:t xml:space="preserve"> from the Fed</w:t>
      </w:r>
      <w:r w:rsidR="001575D2">
        <w:t>, proved stubborn in the 3</w:t>
      </w:r>
      <w:r w:rsidR="001575D2" w:rsidRPr="001575D2">
        <w:rPr>
          <w:vertAlign w:val="superscript"/>
        </w:rPr>
        <w:t>rd</w:t>
      </w:r>
      <w:r w:rsidR="001575D2">
        <w:t xml:space="preserve"> quarter. </w:t>
      </w:r>
      <w:r w:rsidR="00DB7F4B">
        <w:t>T</w:t>
      </w:r>
      <w:r w:rsidR="001575D2">
        <w:t>he Fed continues to weigh incoming economic data carefully before raising rates further</w:t>
      </w:r>
      <w:r w:rsidR="00DB7F4B">
        <w:t xml:space="preserve">, implementing a rate hike in two of the last four meetings after ten increases in a row. Yet </w:t>
      </w:r>
      <w:r w:rsidR="001575D2">
        <w:t>an economy characterized by unflinching consumption means the Fed can keep rates elevated longer</w:t>
      </w:r>
      <w:r w:rsidR="00556560" w:rsidRPr="000D1815">
        <w:t>.</w:t>
      </w:r>
      <w:r w:rsidR="001575D2">
        <w:t xml:space="preserve"> </w:t>
      </w:r>
      <w:r w:rsidR="00DB7F4B">
        <w:t>Indeed, t</w:t>
      </w:r>
      <w:r w:rsidR="001575D2">
        <w:t xml:space="preserve">he FOMC’s latest projections demonstrate an </w:t>
      </w:r>
      <w:r w:rsidR="00DB7F4B">
        <w:t>increase in longer-term target rate expectations</w:t>
      </w:r>
      <w:r w:rsidR="00354FA1" w:rsidRPr="000D1815">
        <w:t>.</w:t>
      </w:r>
    </w:p>
    <w:p w14:paraId="21DC6729" w14:textId="244B0B4E" w:rsidR="00F506CB" w:rsidRDefault="00F506CB" w:rsidP="00B73CC4">
      <w:r>
        <w:t>Weaker spots in the 3</w:t>
      </w:r>
      <w:r w:rsidRPr="00F506CB">
        <w:rPr>
          <w:vertAlign w:val="superscript"/>
        </w:rPr>
        <w:t>rd</w:t>
      </w:r>
      <w:r w:rsidR="00AE4184">
        <w:t xml:space="preserve"> </w:t>
      </w:r>
      <w:r>
        <w:t xml:space="preserve">quarter economic </w:t>
      </w:r>
      <w:r w:rsidR="008D4ED4">
        <w:t>landscape</w:t>
      </w:r>
      <w:r>
        <w:t xml:space="preserve"> include the housing and capital markets. Inventory constraints and high borrowing costs continued to dampen the housing market, with mortgage rates at an almost 23-year high. Homebuilding starts and existing-home sales were both down in the 3</w:t>
      </w:r>
      <w:r w:rsidRPr="00F506CB">
        <w:rPr>
          <w:vertAlign w:val="superscript"/>
        </w:rPr>
        <w:t>rd</w:t>
      </w:r>
      <w:r>
        <w:t xml:space="preserve"> quarter, </w:t>
      </w:r>
      <w:r w:rsidR="00C50377">
        <w:t>while prices continued to rise</w:t>
      </w:r>
      <w:r>
        <w:t>.</w:t>
      </w:r>
    </w:p>
    <w:p w14:paraId="62CFA2DA" w14:textId="7DD225D6" w:rsidR="00DB7F4B" w:rsidRDefault="00F506CB" w:rsidP="00B73CC4">
      <w:r>
        <w:t xml:space="preserve">With investors expecting interest rates to remain high for the foreseeable future, plus </w:t>
      </w:r>
      <w:r w:rsidR="00BE5D50">
        <w:t xml:space="preserve">multiple highly publicized labor strikes and </w:t>
      </w:r>
      <w:r>
        <w:t>a near-brush with government shutdown at the end of September, capital markets suffered in the 3</w:t>
      </w:r>
      <w:r w:rsidRPr="00F506CB">
        <w:rPr>
          <w:vertAlign w:val="superscript"/>
        </w:rPr>
        <w:t>rd</w:t>
      </w:r>
      <w:r>
        <w:t xml:space="preserve"> quarter of 2023. September closed with stocks in </w:t>
      </w:r>
      <w:r w:rsidR="00AE4184">
        <w:t>the red</w:t>
      </w:r>
      <w:r>
        <w:t xml:space="preserve">, </w:t>
      </w:r>
      <w:r w:rsidR="00CF7BA6">
        <w:t xml:space="preserve">bolstering hopes for an October </w:t>
      </w:r>
      <w:r w:rsidR="00600E90">
        <w:t>rebound</w:t>
      </w:r>
      <w:r w:rsidR="00CF7BA6">
        <w:t>.</w:t>
      </w:r>
    </w:p>
    <w:p w14:paraId="1904133D" w14:textId="707CBC5A" w:rsidR="00DB7F4B" w:rsidRPr="000D1815" w:rsidRDefault="0021341A" w:rsidP="00B73CC4">
      <w:r w:rsidRPr="000D1815">
        <w:t xml:space="preserve">FOMC members </w:t>
      </w:r>
      <w:r w:rsidR="006F7760" w:rsidRPr="000D1815">
        <w:t>revised</w:t>
      </w:r>
      <w:r w:rsidRPr="000D1815">
        <w:t xml:space="preserve"> projections of economic growth </w:t>
      </w:r>
      <w:r w:rsidR="00DB7F4B">
        <w:t xml:space="preserve">steeply </w:t>
      </w:r>
      <w:r w:rsidR="006F7760" w:rsidRPr="000D1815">
        <w:t xml:space="preserve">upward to </w:t>
      </w:r>
      <w:r w:rsidR="00DB7F4B">
        <w:t>2.0</w:t>
      </w:r>
      <w:r w:rsidR="006F7760" w:rsidRPr="000D1815">
        <w:t>5% in 2023</w:t>
      </w:r>
      <w:r w:rsidR="00BE4D4B" w:rsidRPr="000D1815">
        <w:t>.</w:t>
      </w:r>
      <w:r w:rsidR="006F7760" w:rsidRPr="000D1815">
        <w:t xml:space="preserve"> Growth </w:t>
      </w:r>
      <w:r w:rsidR="00DB7F4B">
        <w:t>is projected to moderate in</w:t>
      </w:r>
      <w:r w:rsidR="006F7760" w:rsidRPr="000D1815">
        <w:t xml:space="preserve"> future years</w:t>
      </w:r>
      <w:r w:rsidR="00DB7F4B">
        <w:t xml:space="preserve"> to</w:t>
      </w:r>
      <w:r w:rsidR="006F7760" w:rsidRPr="000D1815">
        <w:t xml:space="preserve"> 1.80% </w:t>
      </w:r>
      <w:r w:rsidR="00DB7F4B">
        <w:t>in</w:t>
      </w:r>
      <w:r w:rsidR="006F7760" w:rsidRPr="000D1815">
        <w:t xml:space="preserve"> 2025. Unemployment projections were lowered for both the near and longer terms</w:t>
      </w:r>
      <w:r w:rsidR="00DB7F4B">
        <w:t>, at</w:t>
      </w:r>
      <w:r w:rsidR="006F7760" w:rsidRPr="000D1815">
        <w:t xml:space="preserve"> </w:t>
      </w:r>
      <w:r w:rsidR="00DB7F4B">
        <w:t>3.80</w:t>
      </w:r>
      <w:r w:rsidR="006F7760" w:rsidRPr="000D1815">
        <w:t>% for 2023</w:t>
      </w:r>
      <w:r w:rsidR="00DB7F4B">
        <w:t xml:space="preserve"> and </w:t>
      </w:r>
      <w:r w:rsidR="006F7760" w:rsidRPr="000D1815">
        <w:t>rising to 4.</w:t>
      </w:r>
      <w:r w:rsidR="00DB7F4B">
        <w:t>10</w:t>
      </w:r>
      <w:r w:rsidR="006F7760" w:rsidRPr="000D1815">
        <w:t>% for the next two years.</w:t>
      </w:r>
    </w:p>
    <w:p w14:paraId="380DE2B2" w14:textId="599618C0" w:rsidR="00F03302" w:rsidRPr="00B76A73" w:rsidRDefault="00B36811" w:rsidP="001E26E8">
      <w:pPr>
        <w:spacing w:before="160"/>
        <w:rPr>
          <w:strike/>
        </w:rPr>
      </w:pPr>
      <w:r w:rsidRPr="00B76A73">
        <w:t>A multifactor indicator of economic strength, the</w:t>
      </w:r>
      <w:r w:rsidR="00A615E8" w:rsidRPr="00B76A73">
        <w:t xml:space="preserve"> Philadelphia Fed’s coincident index</w:t>
      </w:r>
      <w:r w:rsidR="00EC7CB1" w:rsidRPr="00B76A73">
        <w:rPr>
          <w:rStyle w:val="FootnoteReference"/>
        </w:rPr>
        <w:footnoteReference w:id="1"/>
      </w:r>
      <w:r w:rsidR="00A615E8" w:rsidRPr="00B76A73">
        <w:t xml:space="preserve"> of economic activity in the U.S. </w:t>
      </w:r>
      <w:r w:rsidR="003A390C" w:rsidRPr="00B76A73">
        <w:t xml:space="preserve">rose </w:t>
      </w:r>
      <w:r w:rsidR="00795ECE" w:rsidRPr="00B76A73">
        <w:t>0.</w:t>
      </w:r>
      <w:r w:rsidR="003F24A9">
        <w:t>3</w:t>
      </w:r>
      <w:r w:rsidR="003A390C" w:rsidRPr="00B76A73">
        <w:t xml:space="preserve">% in </w:t>
      </w:r>
      <w:r w:rsidR="007E21C0">
        <w:t>September</w:t>
      </w:r>
      <w:r w:rsidR="00795ECE" w:rsidRPr="00B76A73">
        <w:t xml:space="preserve"> 202</w:t>
      </w:r>
      <w:r w:rsidR="00056DC1">
        <w:t>3</w:t>
      </w:r>
      <w:r w:rsidR="00795ECE" w:rsidRPr="00B76A73">
        <w:t xml:space="preserve"> </w:t>
      </w:r>
      <w:r w:rsidR="00C10F0A" w:rsidRPr="00B76A73">
        <w:t xml:space="preserve">and </w:t>
      </w:r>
      <w:r w:rsidR="003F24A9">
        <w:t>0.</w:t>
      </w:r>
      <w:r w:rsidR="003218DD">
        <w:t>7</w:t>
      </w:r>
      <w:r w:rsidR="00C10F0A" w:rsidRPr="00B76A73">
        <w:t xml:space="preserve">% </w:t>
      </w:r>
      <w:r w:rsidR="00EC7CB1" w:rsidRPr="00B76A73">
        <w:t>during</w:t>
      </w:r>
      <w:r w:rsidR="00A615E8" w:rsidRPr="00B76A73">
        <w:t xml:space="preserve"> the </w:t>
      </w:r>
      <w:r w:rsidR="007E21C0">
        <w:t>3</w:t>
      </w:r>
      <w:r w:rsidR="007E21C0" w:rsidRPr="007E21C0">
        <w:rPr>
          <w:vertAlign w:val="superscript"/>
        </w:rPr>
        <w:t>rd</w:t>
      </w:r>
      <w:r w:rsidR="007E21C0">
        <w:t xml:space="preserve"> </w:t>
      </w:r>
      <w:r w:rsidR="00A615E8" w:rsidRPr="00B76A73">
        <w:t>quarter</w:t>
      </w:r>
      <w:r w:rsidR="00AF420E" w:rsidRPr="00B76A73">
        <w:t xml:space="preserve">. </w:t>
      </w:r>
      <w:r w:rsidR="00EC7CB1" w:rsidRPr="00B76A73">
        <w:t>For the quarter</w:t>
      </w:r>
      <w:r w:rsidR="00A615E8" w:rsidRPr="00B76A73">
        <w:t xml:space="preserve">, coincident indexes </w:t>
      </w:r>
      <w:r w:rsidR="003F24A9" w:rsidRPr="003F24A9">
        <w:t xml:space="preserve">increased in </w:t>
      </w:r>
      <w:r w:rsidR="007E21C0">
        <w:t>3</w:t>
      </w:r>
      <w:r w:rsidR="00AE4184">
        <w:t>6</w:t>
      </w:r>
      <w:r w:rsidR="003F24A9" w:rsidRPr="003F24A9">
        <w:t xml:space="preserve"> states</w:t>
      </w:r>
      <w:r w:rsidR="007E21C0">
        <w:t xml:space="preserve">, decreased in 10 states, and remained </w:t>
      </w:r>
      <w:r w:rsidR="00DE4A5F">
        <w:lastRenderedPageBreak/>
        <w:t>unchanged</w:t>
      </w:r>
      <w:r w:rsidR="003F24A9" w:rsidRPr="003F24A9">
        <w:t xml:space="preserve"> in </w:t>
      </w:r>
      <w:r w:rsidR="00AE4184">
        <w:t>4</w:t>
      </w:r>
      <w:r w:rsidR="00A615E8" w:rsidRPr="00B76A73">
        <w:t xml:space="preserve">. Coincident indexes reflect </w:t>
      </w:r>
      <w:r w:rsidR="00714B74" w:rsidRPr="00B76A73">
        <w:t>unemployment, payroll employment, manufacturing hours, and wages and salaries</w:t>
      </w:r>
      <w:r w:rsidR="00A14CD4" w:rsidRPr="00B76A73">
        <w:t>.</w:t>
      </w:r>
      <w:r w:rsidR="00714B74" w:rsidRPr="00B76A73">
        <w:t xml:space="preserve"> </w:t>
      </w:r>
    </w:p>
    <w:p w14:paraId="7739DC43" w14:textId="4CB9DAF9" w:rsidR="00A96A6A" w:rsidRPr="00B76A73" w:rsidRDefault="0027585A" w:rsidP="006D4E8F">
      <w:pPr>
        <w:jc w:val="center"/>
      </w:pPr>
      <w:r w:rsidRPr="00B76A73">
        <w:rPr>
          <w:noProof/>
        </w:rPr>
        <w:t xml:space="preserve"> </w:t>
      </w:r>
      <w:r w:rsidR="005C31E9" w:rsidRPr="005C31E9">
        <w:drawing>
          <wp:inline distT="0" distB="0" distL="0" distR="0" wp14:anchorId="2FBB2179" wp14:editId="2C2F253B">
            <wp:extent cx="5943600" cy="3261360"/>
            <wp:effectExtent l="0" t="0" r="0" b="0"/>
            <wp:docPr id="408965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CFF26" w14:textId="3A703157" w:rsidR="003477B7" w:rsidRPr="00B76A73" w:rsidRDefault="00CA4851" w:rsidP="008C0F54">
      <w:pPr>
        <w:spacing w:before="160"/>
      </w:pPr>
      <w:r w:rsidRPr="00B76A73">
        <w:t>T</w:t>
      </w:r>
      <w:r w:rsidR="009E4D8D" w:rsidRPr="00B76A73">
        <w:t>he U.S. dollar index</w:t>
      </w:r>
      <w:r w:rsidR="00DA3959" w:rsidRPr="00B76A73">
        <w:t xml:space="preserve"> for goods and services</w:t>
      </w:r>
      <w:r w:rsidR="00053E46" w:rsidRPr="00B76A73">
        <w:rPr>
          <w:rStyle w:val="FootnoteReference"/>
        </w:rPr>
        <w:footnoteReference w:id="2"/>
      </w:r>
      <w:r w:rsidR="009E4D8D" w:rsidRPr="00B76A73">
        <w:t xml:space="preserve"> </w:t>
      </w:r>
      <w:r w:rsidR="003218DD">
        <w:t xml:space="preserve">rose </w:t>
      </w:r>
      <w:r w:rsidR="005D6F41">
        <w:t>2.4</w:t>
      </w:r>
      <w:r w:rsidR="004903C9" w:rsidRPr="00B76A73">
        <w:t>%</w:t>
      </w:r>
      <w:r w:rsidR="00442565" w:rsidRPr="00B76A73">
        <w:t xml:space="preserve"> during</w:t>
      </w:r>
      <w:r w:rsidR="00DA3959" w:rsidRPr="00B76A73">
        <w:t xml:space="preserve"> the </w:t>
      </w:r>
      <w:r w:rsidR="007E21C0">
        <w:t>3</w:t>
      </w:r>
      <w:r w:rsidR="007E21C0" w:rsidRPr="007E21C0">
        <w:rPr>
          <w:vertAlign w:val="superscript"/>
        </w:rPr>
        <w:t>rd</w:t>
      </w:r>
      <w:r w:rsidR="007E21C0">
        <w:t xml:space="preserve"> </w:t>
      </w:r>
      <w:r w:rsidR="00BF6BF5" w:rsidRPr="00B76A73">
        <w:t>quarter of 202</w:t>
      </w:r>
      <w:r w:rsidR="00BF6BF5">
        <w:t>3 but</w:t>
      </w:r>
      <w:r w:rsidR="009A160F">
        <w:t xml:space="preserve"> was</w:t>
      </w:r>
      <w:r w:rsidR="00D3695A">
        <w:t xml:space="preserve"> </w:t>
      </w:r>
      <w:r w:rsidR="003218DD">
        <w:t xml:space="preserve">down </w:t>
      </w:r>
      <w:r w:rsidR="005D6F41">
        <w:t>3.6</w:t>
      </w:r>
      <w:r w:rsidR="007939CA" w:rsidRPr="00B76A73">
        <w:t xml:space="preserve">% </w:t>
      </w:r>
      <w:r w:rsidR="00E2264B">
        <w:t>compared</w:t>
      </w:r>
      <w:r w:rsidR="007939CA" w:rsidRPr="00B76A73">
        <w:t xml:space="preserve"> </w:t>
      </w:r>
      <w:r w:rsidR="00E2264B">
        <w:t xml:space="preserve">to </w:t>
      </w:r>
      <w:r w:rsidR="00D3695A">
        <w:t xml:space="preserve">the </w:t>
      </w:r>
      <w:r w:rsidR="007030F0">
        <w:t>same period one year prior</w:t>
      </w:r>
      <w:r w:rsidR="009E4D8D" w:rsidRPr="00B76A73">
        <w:t>.</w:t>
      </w:r>
      <w:r w:rsidR="002857FD" w:rsidRPr="00B76A73">
        <w:t xml:space="preserve"> </w:t>
      </w:r>
      <w:r w:rsidR="007E21C0">
        <w:t>Despite a late-September dip, the dollar enjoyed its best quarter in a year</w:t>
      </w:r>
      <w:r w:rsidR="00F5669A">
        <w:t xml:space="preserve"> as investors bet that the U.S. economy would continue to show greater resilience to persistent inflation and high oil prices than other nations’ economies</w:t>
      </w:r>
      <w:r w:rsidR="00C71C02">
        <w:t>.</w:t>
      </w:r>
    </w:p>
    <w:p w14:paraId="5FD9C9E3" w14:textId="59B7FBAC" w:rsidR="004D1C9D" w:rsidRPr="00B76A73" w:rsidRDefault="005C31E9" w:rsidP="006D4E8F">
      <w:pPr>
        <w:jc w:val="center"/>
      </w:pPr>
      <w:r>
        <w:rPr>
          <w:noProof/>
        </w:rPr>
        <w:lastRenderedPageBreak/>
        <w:drawing>
          <wp:inline distT="0" distB="0" distL="0" distR="0" wp14:anchorId="478DDEA3" wp14:editId="71475C97">
            <wp:extent cx="4097020" cy="2658110"/>
            <wp:effectExtent l="0" t="0" r="0" b="8890"/>
            <wp:docPr id="9732685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EF9" w14:textId="7F944E8B" w:rsidR="002731EF" w:rsidRPr="00B76A73" w:rsidRDefault="001058D4" w:rsidP="001475FF">
      <w:pPr>
        <w:pStyle w:val="Heading1"/>
      </w:pPr>
      <w:r w:rsidRPr="00B76A73">
        <w:t>Q</w:t>
      </w:r>
      <w:r w:rsidR="00217D2A">
        <w:t>3</w:t>
      </w:r>
      <w:r w:rsidRPr="00B76A73">
        <w:t xml:space="preserve"> </w:t>
      </w:r>
      <w:r w:rsidR="002731EF" w:rsidRPr="00B76A73">
        <w:t>Economic Highlights</w:t>
      </w:r>
    </w:p>
    <w:p w14:paraId="7FCBE057" w14:textId="3774B170" w:rsidR="00540D2B" w:rsidRPr="00217D2A" w:rsidRDefault="00540D2B" w:rsidP="00E528F7">
      <w:pPr>
        <w:pStyle w:val="ListParagraph"/>
        <w:numPr>
          <w:ilvl w:val="0"/>
          <w:numId w:val="3"/>
        </w:numPr>
      </w:pPr>
      <w:r w:rsidRPr="00B76A73">
        <w:t xml:space="preserve">The </w:t>
      </w:r>
      <w:r w:rsidRPr="00217D2A">
        <w:t xml:space="preserve">Philadelphia Fed’s coincident index of economic activity in the U.S. </w:t>
      </w:r>
      <w:r w:rsidR="007618D6" w:rsidRPr="00217D2A">
        <w:t xml:space="preserve">rose </w:t>
      </w:r>
      <w:r w:rsidR="009A160F" w:rsidRPr="00217D2A">
        <w:t xml:space="preserve">0.3% in </w:t>
      </w:r>
      <w:r w:rsidR="00F5669A" w:rsidRPr="00217D2A">
        <w:t>September</w:t>
      </w:r>
      <w:r w:rsidR="0069186C" w:rsidRPr="00217D2A">
        <w:t xml:space="preserve"> 2023</w:t>
      </w:r>
      <w:r w:rsidR="009A160F" w:rsidRPr="00217D2A">
        <w:t xml:space="preserve"> and 0.</w:t>
      </w:r>
      <w:r w:rsidR="00C71C02" w:rsidRPr="00217D2A">
        <w:t>7</w:t>
      </w:r>
      <w:r w:rsidR="009A160F" w:rsidRPr="00217D2A">
        <w:t xml:space="preserve">% during the </w:t>
      </w:r>
      <w:r w:rsidR="00F5669A" w:rsidRPr="00217D2A">
        <w:t>3</w:t>
      </w:r>
      <w:r w:rsidR="00F5669A" w:rsidRPr="00217D2A">
        <w:rPr>
          <w:vertAlign w:val="superscript"/>
        </w:rPr>
        <w:t>rd</w:t>
      </w:r>
      <w:r w:rsidR="00F5669A" w:rsidRPr="00217D2A">
        <w:t xml:space="preserve"> </w:t>
      </w:r>
      <w:r w:rsidR="009A160F" w:rsidRPr="00217D2A">
        <w:t>quarter</w:t>
      </w:r>
      <w:r w:rsidRPr="00217D2A">
        <w:t>.</w:t>
      </w:r>
    </w:p>
    <w:p w14:paraId="1CF55C2B" w14:textId="3C95D5E5" w:rsidR="0069186C" w:rsidRPr="00217D2A" w:rsidRDefault="0069186C" w:rsidP="0069186C">
      <w:pPr>
        <w:pStyle w:val="ListParagraph"/>
        <w:numPr>
          <w:ilvl w:val="0"/>
          <w:numId w:val="3"/>
        </w:numPr>
      </w:pPr>
      <w:r w:rsidRPr="00217D2A">
        <w:t xml:space="preserve">The U.S. dollar index </w:t>
      </w:r>
      <w:r w:rsidR="00C71C02" w:rsidRPr="00217D2A">
        <w:t>rose 0.</w:t>
      </w:r>
      <w:r w:rsidR="00F5669A" w:rsidRPr="00217D2A">
        <w:t>6</w:t>
      </w:r>
      <w:r w:rsidR="00C71C02" w:rsidRPr="00217D2A">
        <w:t xml:space="preserve">% during the </w:t>
      </w:r>
      <w:r w:rsidR="00F5669A" w:rsidRPr="00217D2A">
        <w:t>3</w:t>
      </w:r>
      <w:r w:rsidR="00F5669A" w:rsidRPr="00217D2A">
        <w:rPr>
          <w:vertAlign w:val="superscript"/>
        </w:rPr>
        <w:t>rd</w:t>
      </w:r>
      <w:r w:rsidR="00F5669A" w:rsidRPr="00217D2A">
        <w:t xml:space="preserve"> </w:t>
      </w:r>
      <w:r w:rsidR="00C71C02" w:rsidRPr="00217D2A">
        <w:t xml:space="preserve">quarter of 2023 but was down </w:t>
      </w:r>
      <w:r w:rsidR="00F5669A" w:rsidRPr="00217D2A">
        <w:t>2.5</w:t>
      </w:r>
      <w:r w:rsidR="00C71C02" w:rsidRPr="00217D2A">
        <w:t xml:space="preserve">% </w:t>
      </w:r>
      <w:r w:rsidRPr="00217D2A">
        <w:t>since the same period one year prior.</w:t>
      </w:r>
    </w:p>
    <w:p w14:paraId="149D5EFA" w14:textId="0E8FC84F" w:rsidR="002608F3" w:rsidRPr="00217D2A" w:rsidRDefault="006C2DAB" w:rsidP="00E528F7">
      <w:pPr>
        <w:pStyle w:val="ListParagraph"/>
        <w:numPr>
          <w:ilvl w:val="0"/>
          <w:numId w:val="3"/>
        </w:numPr>
      </w:pPr>
      <w:r w:rsidRPr="00217D2A">
        <w:t xml:space="preserve">Real GDP </w:t>
      </w:r>
      <w:r w:rsidR="001C1454" w:rsidRPr="00217D2A">
        <w:t>grew at an annualized rate of 4.9% during the 3</w:t>
      </w:r>
      <w:r w:rsidR="001C1454" w:rsidRPr="00217D2A">
        <w:rPr>
          <w:vertAlign w:val="superscript"/>
        </w:rPr>
        <w:t>rd</w:t>
      </w:r>
      <w:r w:rsidR="001C1454" w:rsidRPr="00217D2A">
        <w:t xml:space="preserve"> quarter of 2023, up from its 2.1% increase in the 2</w:t>
      </w:r>
      <w:r w:rsidR="001C1454" w:rsidRPr="00217D2A">
        <w:rPr>
          <w:vertAlign w:val="superscript"/>
        </w:rPr>
        <w:t>nd</w:t>
      </w:r>
      <w:r w:rsidR="001C1454" w:rsidRPr="00217D2A">
        <w:t xml:space="preserve"> quarter of 2023</w:t>
      </w:r>
      <w:r w:rsidR="00D93A8B" w:rsidRPr="00217D2A">
        <w:t>.</w:t>
      </w:r>
    </w:p>
    <w:p w14:paraId="149D5EFD" w14:textId="28F2C3CF" w:rsidR="0076717F" w:rsidRPr="00217D2A" w:rsidRDefault="00591A62" w:rsidP="00E528F7">
      <w:pPr>
        <w:pStyle w:val="ListParagraph"/>
        <w:numPr>
          <w:ilvl w:val="0"/>
          <w:numId w:val="3"/>
        </w:numPr>
      </w:pPr>
      <w:r w:rsidRPr="00217D2A">
        <w:t xml:space="preserve">The effective federal funds rate </w:t>
      </w:r>
      <w:r w:rsidR="001C1454" w:rsidRPr="00217D2A">
        <w:t>rose 0.25 percentage points to 5.33% during the 3</w:t>
      </w:r>
      <w:r w:rsidR="001C1454" w:rsidRPr="00217D2A">
        <w:rPr>
          <w:vertAlign w:val="superscript"/>
        </w:rPr>
        <w:t>rd</w:t>
      </w:r>
      <w:r w:rsidR="001C1454" w:rsidRPr="00217D2A">
        <w:t xml:space="preserve"> quarter, continuing the climb from near-zero levels that began in March 2022</w:t>
      </w:r>
      <w:r w:rsidR="00D93A8B" w:rsidRPr="00217D2A">
        <w:t xml:space="preserve">. </w:t>
      </w:r>
    </w:p>
    <w:p w14:paraId="6AA929FC" w14:textId="12AB2514" w:rsidR="00591A62" w:rsidRPr="00217D2A" w:rsidRDefault="001C1454" w:rsidP="0069122E">
      <w:pPr>
        <w:pStyle w:val="ListParagraph"/>
        <w:numPr>
          <w:ilvl w:val="0"/>
          <w:numId w:val="3"/>
        </w:numPr>
      </w:pPr>
      <w:r w:rsidRPr="00217D2A">
        <w:t>The 1-year and 2-year annual treasury yields ended the 3</w:t>
      </w:r>
      <w:r w:rsidRPr="00217D2A">
        <w:rPr>
          <w:vertAlign w:val="superscript"/>
        </w:rPr>
        <w:t>rd</w:t>
      </w:r>
      <w:r w:rsidRPr="00217D2A">
        <w:t xml:space="preserve"> quarter at 5.46% and 5.03%, respectively. The benchmark 10-year treasury yielded 4.59% at the end of the quarter, while the 30-year treasury yielded 4.73%</w:t>
      </w:r>
      <w:r w:rsidRPr="00217D2A">
        <w:rPr>
          <w:color w:val="000000" w:themeColor="text1"/>
        </w:rPr>
        <w:t>.</w:t>
      </w:r>
    </w:p>
    <w:p w14:paraId="2A4826B3" w14:textId="48E9AA4E" w:rsidR="0069122E" w:rsidRPr="00217D2A" w:rsidRDefault="00E66555" w:rsidP="0069122E">
      <w:pPr>
        <w:pStyle w:val="ListParagraph"/>
        <w:numPr>
          <w:ilvl w:val="0"/>
          <w:numId w:val="3"/>
        </w:numPr>
      </w:pPr>
      <w:r w:rsidRPr="00217D2A">
        <w:t>The u</w:t>
      </w:r>
      <w:r w:rsidR="0069122E" w:rsidRPr="00217D2A">
        <w:t>nemployment</w:t>
      </w:r>
      <w:r w:rsidRPr="00217D2A">
        <w:t xml:space="preserve"> rate</w:t>
      </w:r>
      <w:r w:rsidR="0069122E" w:rsidRPr="00217D2A">
        <w:t xml:space="preserve"> </w:t>
      </w:r>
      <w:r w:rsidR="001C1454" w:rsidRPr="00217D2A">
        <w:t>ended the 3</w:t>
      </w:r>
      <w:r w:rsidR="001C1454" w:rsidRPr="00217D2A">
        <w:rPr>
          <w:vertAlign w:val="superscript"/>
        </w:rPr>
        <w:t>rd</w:t>
      </w:r>
      <w:r w:rsidR="001C1454" w:rsidRPr="00217D2A">
        <w:t xml:space="preserve"> quarter at 3.8%, up slightly from the prior quarter</w:t>
      </w:r>
      <w:r w:rsidR="006449AC" w:rsidRPr="00217D2A">
        <w:t xml:space="preserve">. </w:t>
      </w:r>
      <w:r w:rsidR="00F051F3" w:rsidRPr="00217D2A">
        <w:t xml:space="preserve">Nonfarm payrolls </w:t>
      </w:r>
      <w:r w:rsidR="001C1454" w:rsidRPr="00217D2A">
        <w:t>grew by 0.8 million jobs in the 3</w:t>
      </w:r>
      <w:r w:rsidR="001C1454" w:rsidRPr="00217D2A">
        <w:rPr>
          <w:vertAlign w:val="superscript"/>
        </w:rPr>
        <w:t>rd</w:t>
      </w:r>
      <w:r w:rsidR="001C1454" w:rsidRPr="00217D2A">
        <w:t xml:space="preserve"> quarter</w:t>
      </w:r>
      <w:r w:rsidR="00CF666C" w:rsidRPr="00217D2A">
        <w:rPr>
          <w:color w:val="000000" w:themeColor="text1"/>
        </w:rPr>
        <w:t>.</w:t>
      </w:r>
      <w:r w:rsidR="00C328EF" w:rsidRPr="00217D2A">
        <w:t xml:space="preserve"> </w:t>
      </w:r>
    </w:p>
    <w:p w14:paraId="149D5EFF" w14:textId="57502C4A" w:rsidR="003E4ACB" w:rsidRPr="00217D2A" w:rsidRDefault="007A4896" w:rsidP="00E528F7">
      <w:pPr>
        <w:pStyle w:val="ListParagraph"/>
        <w:numPr>
          <w:ilvl w:val="0"/>
          <w:numId w:val="3"/>
        </w:numPr>
      </w:pPr>
      <w:r w:rsidRPr="00217D2A">
        <w:t>The Consumer Price Index</w:t>
      </w:r>
      <w:r w:rsidR="006E4B4F" w:rsidRPr="00217D2A">
        <w:t xml:space="preserve"> </w:t>
      </w:r>
      <w:r w:rsidR="00C8448F" w:rsidRPr="00217D2A">
        <w:t xml:space="preserve">for all items </w:t>
      </w:r>
      <w:r w:rsidR="001C1454" w:rsidRPr="00217D2A">
        <w:t>rose 3.7% year-over-year in September 2023, down from its more-than-40-year high of 8.9% in June 2022</w:t>
      </w:r>
      <w:r w:rsidR="006449AC" w:rsidRPr="00217D2A">
        <w:t xml:space="preserve">. Excluding volatile energy prices, </w:t>
      </w:r>
      <w:r w:rsidR="001C1454" w:rsidRPr="00217D2A">
        <w:t>the annual increase was 4.1%.</w:t>
      </w:r>
    </w:p>
    <w:p w14:paraId="02DFF80C" w14:textId="08FC12EE" w:rsidR="0069122E" w:rsidRPr="00217D2A" w:rsidRDefault="00D04F3A" w:rsidP="0069122E">
      <w:pPr>
        <w:pStyle w:val="ListParagraph"/>
        <w:numPr>
          <w:ilvl w:val="0"/>
          <w:numId w:val="3"/>
        </w:numPr>
      </w:pPr>
      <w:r w:rsidRPr="00217D2A">
        <w:t xml:space="preserve">Crude </w:t>
      </w:r>
      <w:r w:rsidR="0024113D" w:rsidRPr="00217D2A">
        <w:t xml:space="preserve">oil </w:t>
      </w:r>
      <w:r w:rsidRPr="00217D2A">
        <w:t xml:space="preserve">prices </w:t>
      </w:r>
      <w:r w:rsidR="00217D2A" w:rsidRPr="00217D2A">
        <w:t>ended the 3</w:t>
      </w:r>
      <w:r w:rsidR="00217D2A" w:rsidRPr="00217D2A">
        <w:rPr>
          <w:vertAlign w:val="superscript"/>
        </w:rPr>
        <w:t>rd</w:t>
      </w:r>
      <w:r w:rsidR="00217D2A" w:rsidRPr="00217D2A">
        <w:t xml:space="preserve"> quarter at $90.77 per barrel, up 28.5% from the prior quarter and 13.6% over one year</w:t>
      </w:r>
      <w:r w:rsidR="0069122E" w:rsidRPr="00217D2A">
        <w:t>.</w:t>
      </w:r>
    </w:p>
    <w:p w14:paraId="149D5F00" w14:textId="1FCDAA76" w:rsidR="003E4ACB" w:rsidRPr="00217D2A" w:rsidRDefault="00D04F3A" w:rsidP="00E528F7">
      <w:pPr>
        <w:pStyle w:val="ListParagraph"/>
        <w:numPr>
          <w:ilvl w:val="0"/>
          <w:numId w:val="3"/>
        </w:numPr>
      </w:pPr>
      <w:r w:rsidRPr="00217D2A">
        <w:t xml:space="preserve">New home starts </w:t>
      </w:r>
      <w:r w:rsidR="00217D2A" w:rsidRPr="00217D2A">
        <w:t>fell 4.2% during the 3</w:t>
      </w:r>
      <w:r w:rsidR="00217D2A" w:rsidRPr="00217D2A">
        <w:rPr>
          <w:vertAlign w:val="superscript"/>
        </w:rPr>
        <w:t>rd</w:t>
      </w:r>
      <w:r w:rsidR="00217D2A" w:rsidRPr="00217D2A">
        <w:t xml:space="preserve"> quarter to a level of 1.36 million in September. Total new home starts were down 7.2% year-over-year</w:t>
      </w:r>
      <w:r w:rsidR="009839D2" w:rsidRPr="00217D2A">
        <w:t>.</w:t>
      </w:r>
    </w:p>
    <w:p w14:paraId="149D5F03" w14:textId="41169A87" w:rsidR="00867D68" w:rsidRPr="00217D2A" w:rsidRDefault="00217D2A" w:rsidP="00F94484">
      <w:pPr>
        <w:pStyle w:val="ListParagraph"/>
        <w:numPr>
          <w:ilvl w:val="0"/>
          <w:numId w:val="3"/>
        </w:numPr>
      </w:pPr>
      <w:r w:rsidRPr="00217D2A">
        <w:rPr>
          <w:noProof/>
        </w:rPr>
        <w:t>The Dow Jones Composite Average fell 3.8% during the 3</w:t>
      </w:r>
      <w:r w:rsidRPr="00217D2A">
        <w:rPr>
          <w:noProof/>
          <w:vertAlign w:val="superscript"/>
        </w:rPr>
        <w:t>rd</w:t>
      </w:r>
      <w:r w:rsidRPr="00217D2A">
        <w:rPr>
          <w:noProof/>
        </w:rPr>
        <w:t xml:space="preserve"> quarter of 2023, and the NASDAQ composite fell 3.7%. The S&amp;P 500, Wilshire 5000, and Dow Jones Transportation Average were each down 3.6% for the quarter. The Dow Jones Industrial Average was down 2.6% over the quarter.</w:t>
      </w:r>
    </w:p>
    <w:p w14:paraId="149D5F04" w14:textId="77777777" w:rsidR="00057711" w:rsidRPr="00B76A73" w:rsidRDefault="00057711" w:rsidP="00057711">
      <w:pPr>
        <w:pStyle w:val="Heading1"/>
      </w:pPr>
      <w:r w:rsidRPr="00B76A73">
        <w:lastRenderedPageBreak/>
        <w:t>Business Activity</w:t>
      </w:r>
    </w:p>
    <w:p w14:paraId="25413EE4" w14:textId="7D08982A" w:rsidR="00A96A6A" w:rsidRPr="00B76A73" w:rsidRDefault="00142F71" w:rsidP="00057711">
      <w:r w:rsidRPr="00B76A73">
        <w:t>R</w:t>
      </w:r>
      <w:r w:rsidR="0080028D" w:rsidRPr="00B76A73">
        <w:t>eal gross domestic product (GDP)</w:t>
      </w:r>
      <w:r w:rsidR="00A8559D" w:rsidRPr="00B76A73">
        <w:rPr>
          <w:rStyle w:val="FootnoteReference"/>
        </w:rPr>
        <w:footnoteReference w:id="3"/>
      </w:r>
      <w:r w:rsidR="0080028D" w:rsidRPr="00B76A73">
        <w:t xml:space="preserve"> </w:t>
      </w:r>
      <w:r w:rsidR="0070151C">
        <w:t>grew</w:t>
      </w:r>
      <w:r w:rsidR="00D34B81" w:rsidRPr="00B76A73">
        <w:t xml:space="preserve"> at an annualized rate of </w:t>
      </w:r>
      <w:r w:rsidR="0070780D">
        <w:t>4.9</w:t>
      </w:r>
      <w:r w:rsidR="00D34B81" w:rsidRPr="00B76A73">
        <w:t>%</w:t>
      </w:r>
      <w:r w:rsidR="0070151C">
        <w:t xml:space="preserve"> during the </w:t>
      </w:r>
      <w:r w:rsidR="0070780D">
        <w:t>3</w:t>
      </w:r>
      <w:r w:rsidR="0070780D" w:rsidRPr="0070780D">
        <w:rPr>
          <w:vertAlign w:val="superscript"/>
        </w:rPr>
        <w:t>rd</w:t>
      </w:r>
      <w:r w:rsidR="0070780D">
        <w:t xml:space="preserve"> </w:t>
      </w:r>
      <w:r w:rsidR="0070151C">
        <w:t>quarter of 2023</w:t>
      </w:r>
      <w:r w:rsidR="00D34B81" w:rsidRPr="00B76A73">
        <w:t xml:space="preserve">, </w:t>
      </w:r>
      <w:r w:rsidR="004E4723">
        <w:t>up</w:t>
      </w:r>
      <w:r w:rsidR="006D705D">
        <w:t xml:space="preserve"> from its</w:t>
      </w:r>
      <w:r w:rsidR="00D34B81" w:rsidRPr="00B76A73">
        <w:t xml:space="preserve"> </w:t>
      </w:r>
      <w:r w:rsidR="0070151C">
        <w:t>2.</w:t>
      </w:r>
      <w:r w:rsidR="0070780D">
        <w:t>1</w:t>
      </w:r>
      <w:r w:rsidR="00D34B81" w:rsidRPr="00B76A73">
        <w:t xml:space="preserve">% </w:t>
      </w:r>
      <w:r w:rsidR="00AD2210">
        <w:t>inc</w:t>
      </w:r>
      <w:r w:rsidR="00D34B81" w:rsidRPr="00B76A73">
        <w:t xml:space="preserve">rease in the </w:t>
      </w:r>
      <w:r w:rsidR="0070780D">
        <w:t>2</w:t>
      </w:r>
      <w:r w:rsidR="0070780D" w:rsidRPr="0070780D">
        <w:rPr>
          <w:vertAlign w:val="superscript"/>
        </w:rPr>
        <w:t>nd</w:t>
      </w:r>
      <w:r w:rsidR="0070780D">
        <w:t xml:space="preserve"> </w:t>
      </w:r>
      <w:r w:rsidR="00D34B81" w:rsidRPr="00B76A73">
        <w:t>quarter of 202</w:t>
      </w:r>
      <w:r w:rsidR="007B0B25">
        <w:t>3</w:t>
      </w:r>
      <w:r w:rsidR="00FD75F3" w:rsidRPr="00B76A73">
        <w:t xml:space="preserve">. </w:t>
      </w:r>
      <w:r w:rsidR="007B0B25" w:rsidRPr="00743651">
        <w:t xml:space="preserve">The </w:t>
      </w:r>
      <w:r w:rsidR="00743651" w:rsidRPr="00743651">
        <w:t>strong</w:t>
      </w:r>
      <w:r w:rsidR="006D705D" w:rsidRPr="00743651">
        <w:t xml:space="preserve"> growth </w:t>
      </w:r>
      <w:r w:rsidR="007B0B25" w:rsidRPr="00743651">
        <w:t xml:space="preserve">exceeded expectations </w:t>
      </w:r>
      <w:r w:rsidR="00743651">
        <w:t>as</w:t>
      </w:r>
      <w:r w:rsidR="007B0B25" w:rsidRPr="00743651">
        <w:t xml:space="preserve"> consumer demand </w:t>
      </w:r>
      <w:r w:rsidR="00743651">
        <w:t>remained high in the face of</w:t>
      </w:r>
      <w:r w:rsidR="007B0B25" w:rsidRPr="00743651">
        <w:t xml:space="preserve"> </w:t>
      </w:r>
      <w:r w:rsidR="00743651">
        <w:t>elevated</w:t>
      </w:r>
      <w:r w:rsidR="007B0B25" w:rsidRPr="00743651">
        <w:t xml:space="preserve"> interest rates and persistent inflation</w:t>
      </w:r>
      <w:r w:rsidR="006D705D" w:rsidRPr="00743651">
        <w:t>.</w:t>
      </w:r>
      <w:r w:rsidR="006D705D">
        <w:t xml:space="preserve"> Personal </w:t>
      </w:r>
      <w:r w:rsidR="00AF4229">
        <w:t>consumption and private investment</w:t>
      </w:r>
      <w:r w:rsidR="006D705D">
        <w:t xml:space="preserve"> </w:t>
      </w:r>
      <w:r w:rsidR="00743651">
        <w:t>led</w:t>
      </w:r>
      <w:r w:rsidR="00E260D7">
        <w:t xml:space="preserve"> to</w:t>
      </w:r>
      <w:r w:rsidR="006D705D">
        <w:t xml:space="preserve"> the </w:t>
      </w:r>
      <w:r w:rsidR="00743651">
        <w:t>3</w:t>
      </w:r>
      <w:r w:rsidR="00743651" w:rsidRPr="00743651">
        <w:rPr>
          <w:vertAlign w:val="superscript"/>
        </w:rPr>
        <w:t>rd</w:t>
      </w:r>
      <w:r w:rsidR="00743651">
        <w:t xml:space="preserve"> </w:t>
      </w:r>
      <w:r w:rsidR="006D705D">
        <w:t>quarter increase</w:t>
      </w:r>
      <w:r w:rsidR="00743651">
        <w:t xml:space="preserve">; </w:t>
      </w:r>
      <w:r w:rsidR="00AF4229">
        <w:t>government spending</w:t>
      </w:r>
      <w:r w:rsidR="00743651">
        <w:t xml:space="preserve"> and exports also contributed. Most economists </w:t>
      </w:r>
      <w:r w:rsidR="008D4ED4">
        <w:t xml:space="preserve">currently </w:t>
      </w:r>
      <w:r w:rsidR="00743651">
        <w:t xml:space="preserve">predict slowing growth in future months but </w:t>
      </w:r>
      <w:r w:rsidR="00781FE2">
        <w:t>expect that the U.S. economy can avoid recession</w:t>
      </w:r>
      <w:r w:rsidR="006B361C">
        <w:t>.</w:t>
      </w:r>
    </w:p>
    <w:p w14:paraId="7810A9C6" w14:textId="2B07FCC3" w:rsidR="00A96A6A" w:rsidRPr="00B76A73" w:rsidRDefault="005C31E9" w:rsidP="005117CA">
      <w:pPr>
        <w:jc w:val="center"/>
      </w:pPr>
      <w:r>
        <w:rPr>
          <w:noProof/>
        </w:rPr>
        <w:drawing>
          <wp:inline distT="0" distB="0" distL="0" distR="0" wp14:anchorId="4973EFBE" wp14:editId="50CEDD2E">
            <wp:extent cx="4097020" cy="2651760"/>
            <wp:effectExtent l="0" t="0" r="0" b="0"/>
            <wp:docPr id="21312618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C17CE2" w14:textId="72FE66E6" w:rsidR="00C060D2" w:rsidRPr="00B76A73" w:rsidRDefault="00C060D2" w:rsidP="00C060D2">
      <w:r w:rsidRPr="00B76A73">
        <w:t>Personal consumption expenditures</w:t>
      </w:r>
      <w:r w:rsidRPr="00B76A73">
        <w:rPr>
          <w:rStyle w:val="FootnoteReference"/>
        </w:rPr>
        <w:footnoteReference w:id="4"/>
      </w:r>
      <w:r w:rsidRPr="00B76A73">
        <w:t xml:space="preserve"> (PCE) had a positive </w:t>
      </w:r>
      <w:r w:rsidR="00DD107B">
        <w:t>2.7</w:t>
      </w:r>
      <w:r w:rsidRPr="00B76A73">
        <w:t>% effect on real GDP</w:t>
      </w:r>
      <w:r w:rsidR="007477D7">
        <w:t xml:space="preserve"> in the </w:t>
      </w:r>
      <w:r w:rsidR="00DD107B">
        <w:t>3</w:t>
      </w:r>
      <w:r w:rsidR="00DD107B" w:rsidRPr="00DD107B">
        <w:rPr>
          <w:vertAlign w:val="superscript"/>
        </w:rPr>
        <w:t>rd</w:t>
      </w:r>
      <w:r w:rsidR="00DD107B">
        <w:t xml:space="preserve"> </w:t>
      </w:r>
      <w:r w:rsidR="007477D7">
        <w:t>quarter</w:t>
      </w:r>
      <w:r w:rsidRPr="00B76A73">
        <w:t xml:space="preserve">. Growth in personal spending </w:t>
      </w:r>
      <w:r w:rsidR="006B44DA">
        <w:t xml:space="preserve">reflected </w:t>
      </w:r>
      <w:r w:rsidR="00DD107B">
        <w:t>both services</w:t>
      </w:r>
      <w:r w:rsidR="00AF1F92">
        <w:t xml:space="preserve">, especially </w:t>
      </w:r>
      <w:r w:rsidR="00AF4229" w:rsidRPr="00AF4229">
        <w:t xml:space="preserve">housing and utilities, health care, financial services and insurance, and </w:t>
      </w:r>
      <w:r w:rsidR="00DD107B">
        <w:t>food</w:t>
      </w:r>
      <w:r w:rsidR="00AF4229" w:rsidRPr="00AF4229">
        <w:t xml:space="preserve"> services</w:t>
      </w:r>
      <w:r w:rsidR="00DD107B">
        <w:t xml:space="preserve"> and accommodations, and goods, such as</w:t>
      </w:r>
      <w:r w:rsidR="006B44DA">
        <w:t xml:space="preserve"> </w:t>
      </w:r>
      <w:r w:rsidR="00DD107B">
        <w:t xml:space="preserve">other nondurable goods (led by prescription drugs) and </w:t>
      </w:r>
      <w:r w:rsidR="006B44DA">
        <w:t>recreational goods and vehicles.</w:t>
      </w:r>
    </w:p>
    <w:p w14:paraId="75572D1A" w14:textId="1D93126D" w:rsidR="00384A65" w:rsidRPr="00B76A73" w:rsidRDefault="00384A65" w:rsidP="00384A65">
      <w:r w:rsidRPr="00B76A73">
        <w:t>Gross domestic private investment</w:t>
      </w:r>
      <w:r w:rsidRPr="00B76A73">
        <w:rPr>
          <w:rStyle w:val="FootnoteReference"/>
        </w:rPr>
        <w:footnoteReference w:id="5"/>
      </w:r>
      <w:r w:rsidRPr="00B76A73">
        <w:t xml:space="preserve"> </w:t>
      </w:r>
      <w:r>
        <w:t xml:space="preserve">also rose, contributing </w:t>
      </w:r>
      <w:r w:rsidR="00D40E84">
        <w:t>1.</w:t>
      </w:r>
      <w:r w:rsidR="00DD107B">
        <w:t>5</w:t>
      </w:r>
      <w:r>
        <w:t xml:space="preserve">% to the </w:t>
      </w:r>
      <w:r w:rsidR="00DD107B">
        <w:t>3</w:t>
      </w:r>
      <w:r w:rsidR="00DD107B" w:rsidRPr="00DD107B">
        <w:rPr>
          <w:vertAlign w:val="superscript"/>
        </w:rPr>
        <w:t>rd</w:t>
      </w:r>
      <w:r w:rsidR="00DD107B">
        <w:t xml:space="preserve"> </w:t>
      </w:r>
      <w:r>
        <w:t xml:space="preserve">quarter real GDP estimate. </w:t>
      </w:r>
      <w:r w:rsidR="00DD107B">
        <w:t>Change in private nonfarm inventories</w:t>
      </w:r>
      <w:r>
        <w:t xml:space="preserve"> drove the increase, </w:t>
      </w:r>
      <w:r w:rsidR="00DD107B">
        <w:t>particularly in manufacturing and retail trade</w:t>
      </w:r>
      <w:r w:rsidRPr="00B76A73">
        <w:t xml:space="preserve">. </w:t>
      </w:r>
      <w:r w:rsidR="00F35D4E">
        <w:t>R</w:t>
      </w:r>
      <w:r w:rsidR="009157B6">
        <w:t xml:space="preserve">esidential fixed investment </w:t>
      </w:r>
      <w:r w:rsidR="00F35D4E">
        <w:t>also rose in the 3</w:t>
      </w:r>
      <w:r w:rsidR="00F35D4E" w:rsidRPr="00F35D4E">
        <w:rPr>
          <w:vertAlign w:val="superscript"/>
        </w:rPr>
        <w:t>rd</w:t>
      </w:r>
      <w:r w:rsidR="00F35D4E">
        <w:t xml:space="preserve"> quarter</w:t>
      </w:r>
      <w:r>
        <w:t>.</w:t>
      </w:r>
      <w:r w:rsidR="00F35D4E">
        <w:t xml:space="preserve"> Nonresidential fixed investment was unchanged as increased investment in intellectual property products and structures was offset by decreased investment in equipment.</w:t>
      </w:r>
    </w:p>
    <w:p w14:paraId="08B1E397" w14:textId="21A9C16F" w:rsidR="00C060D2" w:rsidRPr="00B76A73" w:rsidRDefault="00C060D2" w:rsidP="00C060D2">
      <w:r w:rsidRPr="00B76A73">
        <w:lastRenderedPageBreak/>
        <w:t>Government expenditures</w:t>
      </w:r>
      <w:r w:rsidRPr="00B76A73">
        <w:rPr>
          <w:rStyle w:val="FootnoteReference"/>
        </w:rPr>
        <w:footnoteReference w:id="6"/>
      </w:r>
      <w:r w:rsidRPr="00B76A73">
        <w:t xml:space="preserve"> rose at both the state and local level </w:t>
      </w:r>
      <w:r w:rsidR="00D40E84">
        <w:t xml:space="preserve">and the </w:t>
      </w:r>
      <w:r w:rsidR="00D40E84" w:rsidRPr="00B76A73">
        <w:t xml:space="preserve">federal level </w:t>
      </w:r>
      <w:r w:rsidRPr="00B76A73">
        <w:t>to contribute 0.</w:t>
      </w:r>
      <w:r w:rsidR="00F35D4E">
        <w:t>8</w:t>
      </w:r>
      <w:r w:rsidRPr="00B76A73">
        <w:t xml:space="preserve">% to the </w:t>
      </w:r>
      <w:r w:rsidR="00F35D4E">
        <w:t>3</w:t>
      </w:r>
      <w:r w:rsidR="00F35D4E" w:rsidRPr="00F35D4E">
        <w:rPr>
          <w:vertAlign w:val="superscript"/>
        </w:rPr>
        <w:t>rd</w:t>
      </w:r>
      <w:r w:rsidR="00F35D4E">
        <w:t xml:space="preserve"> </w:t>
      </w:r>
      <w:r w:rsidRPr="00B76A73">
        <w:t>quarter GDP gain</w:t>
      </w:r>
      <w:r w:rsidR="00D40E84">
        <w:t>.</w:t>
      </w:r>
      <w:r w:rsidR="00D40E84" w:rsidRPr="00D40E84">
        <w:t xml:space="preserve"> </w:t>
      </w:r>
      <w:r w:rsidR="00D40E84" w:rsidRPr="00B76A73">
        <w:t xml:space="preserve">Higher government spending </w:t>
      </w:r>
      <w:r w:rsidR="00F35D4E">
        <w:t>reflected both consumption and investment growth at the state and local level as well as the national defense and nondefense sectors of the federal government</w:t>
      </w:r>
      <w:r w:rsidRPr="00B76A73">
        <w:t xml:space="preserve">. </w:t>
      </w:r>
    </w:p>
    <w:p w14:paraId="0D92AC13" w14:textId="3FD57FF4" w:rsidR="00DD2ED8" w:rsidRPr="00B76A73" w:rsidRDefault="00DD2ED8" w:rsidP="00DD2ED8">
      <w:r w:rsidRPr="00B76A73">
        <w:t>Net exports</w:t>
      </w:r>
      <w:r w:rsidRPr="00B76A73">
        <w:rPr>
          <w:rStyle w:val="FootnoteReference"/>
        </w:rPr>
        <w:footnoteReference w:id="7"/>
      </w:r>
      <w:r w:rsidRPr="00B76A73">
        <w:t xml:space="preserve"> </w:t>
      </w:r>
      <w:r w:rsidR="00D40E84">
        <w:t>had a negative 0.1% effect on real GDP</w:t>
      </w:r>
      <w:r w:rsidR="007B143F">
        <w:t xml:space="preserve"> in the 3</w:t>
      </w:r>
      <w:r w:rsidR="007B143F" w:rsidRPr="007B143F">
        <w:rPr>
          <w:vertAlign w:val="superscript"/>
        </w:rPr>
        <w:t>rd</w:t>
      </w:r>
      <w:r w:rsidR="007B143F">
        <w:t xml:space="preserve"> quarter as imports rose faster than exports </w:t>
      </w:r>
      <w:r w:rsidR="00600E5F">
        <w:t>(imports have a negative effect on GDP).</w:t>
      </w:r>
      <w:r w:rsidR="007B143F">
        <w:t xml:space="preserve"> Imports and exports for goods outpaced those for services.</w:t>
      </w:r>
    </w:p>
    <w:p w14:paraId="3014DE71" w14:textId="0597E201" w:rsidR="00B66CB7" w:rsidRPr="00B76A73" w:rsidRDefault="005C31E9" w:rsidP="005117CA">
      <w:pPr>
        <w:jc w:val="center"/>
      </w:pPr>
      <w:r>
        <w:rPr>
          <w:noProof/>
        </w:rPr>
        <w:drawing>
          <wp:inline distT="0" distB="0" distL="0" distR="0" wp14:anchorId="6D856C3A" wp14:editId="7F29E735">
            <wp:extent cx="4231005" cy="3371215"/>
            <wp:effectExtent l="0" t="0" r="0" b="635"/>
            <wp:docPr id="11030685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DDDC4E" w14:textId="1B865CDA" w:rsidR="00100F15" w:rsidRPr="00AF0EEA" w:rsidRDefault="00100F15" w:rsidP="00100F15">
      <w:pPr>
        <w:rPr>
          <w:b/>
          <w:bCs/>
        </w:rPr>
      </w:pPr>
      <w:r>
        <w:t>Economists polled by the Livingston Survey</w:t>
      </w:r>
      <w:r>
        <w:rPr>
          <w:rStyle w:val="FootnoteReference"/>
        </w:rPr>
        <w:footnoteReference w:id="8"/>
      </w:r>
      <w:r>
        <w:t xml:space="preserve"> in </w:t>
      </w:r>
      <w:r w:rsidR="00600E5F">
        <w:t>June of 2023</w:t>
      </w:r>
      <w:r>
        <w:t xml:space="preserve"> </w:t>
      </w:r>
      <w:r w:rsidR="00160C1F">
        <w:t xml:space="preserve">had </w:t>
      </w:r>
      <w:r>
        <w:t>projected</w:t>
      </w:r>
      <w:r w:rsidRPr="003412DA">
        <w:t xml:space="preserve"> </w:t>
      </w:r>
      <w:r>
        <w:t xml:space="preserve">real GDP to fall </w:t>
      </w:r>
      <w:r w:rsidR="00697A66">
        <w:t>to</w:t>
      </w:r>
      <w:r>
        <w:t xml:space="preserve"> an annual rate of -0</w:t>
      </w:r>
      <w:r w:rsidR="00600E5F">
        <w:t>.7</w:t>
      </w:r>
      <w:r w:rsidRPr="003412DA">
        <w:t xml:space="preserve">% in </w:t>
      </w:r>
      <w:r>
        <w:t xml:space="preserve">the </w:t>
      </w:r>
      <w:r w:rsidR="00697A66">
        <w:t>2</w:t>
      </w:r>
      <w:r w:rsidR="00697A66" w:rsidRPr="00697A66">
        <w:rPr>
          <w:vertAlign w:val="superscript"/>
        </w:rPr>
        <w:t>nd</w:t>
      </w:r>
      <w:r w:rsidR="00697A66">
        <w:t xml:space="preserve"> </w:t>
      </w:r>
      <w:r>
        <w:t>half of 2023</w:t>
      </w:r>
      <w:r w:rsidR="00600E5F">
        <w:t xml:space="preserve"> before rebounding </w:t>
      </w:r>
      <w:r w:rsidR="001726E0">
        <w:t xml:space="preserve">to an annual rate of 1.0% in the </w:t>
      </w:r>
      <w:r w:rsidR="00697A66">
        <w:t>1</w:t>
      </w:r>
      <w:r w:rsidR="00697A66" w:rsidRPr="00697A66">
        <w:rPr>
          <w:vertAlign w:val="superscript"/>
        </w:rPr>
        <w:t>st</w:t>
      </w:r>
      <w:r w:rsidR="00697A66">
        <w:t xml:space="preserve"> </w:t>
      </w:r>
      <w:r w:rsidR="001726E0">
        <w:t>half of 2024.</w:t>
      </w:r>
    </w:p>
    <w:p w14:paraId="31033888" w14:textId="238E7105" w:rsidR="004D1C9D" w:rsidRPr="00B76A73" w:rsidRDefault="00D03164" w:rsidP="00174BCD">
      <w:pPr>
        <w:rPr>
          <w:strike/>
        </w:rPr>
      </w:pPr>
      <w:r w:rsidRPr="00B76A73">
        <w:t>The Industrial Production Index</w:t>
      </w:r>
      <w:r w:rsidRPr="00B76A73">
        <w:rPr>
          <w:rStyle w:val="FootnoteReference"/>
        </w:rPr>
        <w:footnoteReference w:id="9"/>
      </w:r>
      <w:r w:rsidRPr="00B76A73">
        <w:t xml:space="preserve"> is an economic indicator that measures real output for all facilities located in the United States manufacturing, mining, and electric, and gas utilities. The index stood at 10</w:t>
      </w:r>
      <w:r w:rsidR="00160C1F">
        <w:t>3</w:t>
      </w:r>
      <w:r w:rsidR="00EF14EE" w:rsidRPr="00B76A73">
        <w:t>.</w:t>
      </w:r>
      <w:r w:rsidR="00160C1F">
        <w:t>6</w:t>
      </w:r>
      <w:r w:rsidRPr="00B76A73">
        <w:t xml:space="preserve"> at the end of </w:t>
      </w:r>
      <w:r w:rsidR="006B1EB1" w:rsidRPr="00B76A73">
        <w:t xml:space="preserve">the </w:t>
      </w:r>
      <w:r w:rsidR="00160C1F">
        <w:t>3</w:t>
      </w:r>
      <w:r w:rsidR="00160C1F" w:rsidRPr="00160C1F">
        <w:rPr>
          <w:vertAlign w:val="superscript"/>
        </w:rPr>
        <w:t>rd</w:t>
      </w:r>
      <w:r w:rsidR="00160C1F">
        <w:t xml:space="preserve"> </w:t>
      </w:r>
      <w:r w:rsidR="006B1EB1" w:rsidRPr="00B76A73">
        <w:t>quarter</w:t>
      </w:r>
      <w:r w:rsidRPr="00B76A73">
        <w:t xml:space="preserve">, </w:t>
      </w:r>
      <w:r w:rsidR="00160C1F">
        <w:t>up</w:t>
      </w:r>
      <w:r w:rsidR="008B3726">
        <w:t xml:space="preserve"> </w:t>
      </w:r>
      <w:r w:rsidR="005D6F41">
        <w:t>1.3</w:t>
      </w:r>
      <w:r w:rsidRPr="00B76A73">
        <w:t xml:space="preserve">% </w:t>
      </w:r>
      <w:r w:rsidR="00EF14EE" w:rsidRPr="00B76A73">
        <w:t>from</w:t>
      </w:r>
      <w:r w:rsidR="006B1EB1" w:rsidRPr="00B76A73">
        <w:t xml:space="preserve"> the </w:t>
      </w:r>
      <w:r w:rsidR="00160C1F">
        <w:t>2</w:t>
      </w:r>
      <w:r w:rsidR="00160C1F" w:rsidRPr="00160C1F">
        <w:rPr>
          <w:vertAlign w:val="superscript"/>
        </w:rPr>
        <w:t>nd</w:t>
      </w:r>
      <w:r w:rsidR="00160C1F">
        <w:t xml:space="preserve"> </w:t>
      </w:r>
      <w:r w:rsidR="008B3726">
        <w:t>quarter</w:t>
      </w:r>
      <w:r w:rsidRPr="00B76A73">
        <w:t>.</w:t>
      </w:r>
    </w:p>
    <w:p w14:paraId="149D5F1F" w14:textId="0D2DB33A" w:rsidR="00172307" w:rsidRPr="00B76A73" w:rsidRDefault="005C31E9" w:rsidP="00BA7A2C">
      <w:pPr>
        <w:jc w:val="center"/>
      </w:pPr>
      <w:r>
        <w:rPr>
          <w:noProof/>
        </w:rPr>
        <w:lastRenderedPageBreak/>
        <w:drawing>
          <wp:inline distT="0" distB="0" distL="0" distR="0" wp14:anchorId="29248AC8" wp14:editId="7C7E1D0F">
            <wp:extent cx="3816350" cy="2646045"/>
            <wp:effectExtent l="0" t="0" r="0" b="1905"/>
            <wp:docPr id="78153117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38C44B" w14:textId="2538BB67" w:rsidR="007A05AD" w:rsidRPr="00B76A73" w:rsidRDefault="007A05AD" w:rsidP="007A05AD">
      <w:r w:rsidRPr="00B76A73">
        <w:t>The Capacity Utilization Index</w:t>
      </w:r>
      <w:r w:rsidRPr="00B76A73">
        <w:rPr>
          <w:rStyle w:val="FootnoteReference"/>
        </w:rPr>
        <w:footnoteReference w:id="10"/>
      </w:r>
      <w:r w:rsidRPr="00B76A73">
        <w:t xml:space="preserve">, which attempts to capture industrial output as a percentage of the economy’s maximum production capacity, </w:t>
      </w:r>
      <w:r w:rsidR="00491F40">
        <w:t>ended</w:t>
      </w:r>
      <w:r w:rsidR="00137248" w:rsidRPr="00B76A73">
        <w:t xml:space="preserve"> the </w:t>
      </w:r>
      <w:r w:rsidR="00160C1F">
        <w:t>3</w:t>
      </w:r>
      <w:r w:rsidR="00160C1F" w:rsidRPr="00160C1F">
        <w:rPr>
          <w:vertAlign w:val="superscript"/>
        </w:rPr>
        <w:t>rd</w:t>
      </w:r>
      <w:r w:rsidR="00160C1F">
        <w:t xml:space="preserve"> </w:t>
      </w:r>
      <w:r w:rsidR="00137248" w:rsidRPr="00B76A73">
        <w:t>quarter</w:t>
      </w:r>
      <w:r w:rsidR="00953DF2" w:rsidRPr="00B76A73">
        <w:t xml:space="preserve"> of 202</w:t>
      </w:r>
      <w:r w:rsidR="00491F40">
        <w:t>3 at 7</w:t>
      </w:r>
      <w:r w:rsidR="00160C1F">
        <w:t>7</w:t>
      </w:r>
      <w:r w:rsidR="00A42997">
        <w:t>.</w:t>
      </w:r>
      <w:r w:rsidR="00160C1F">
        <w:t>8</w:t>
      </w:r>
      <w:r w:rsidR="00A42997" w:rsidRPr="00B76A73">
        <w:t xml:space="preserve"> </w:t>
      </w:r>
      <w:r w:rsidR="00491F40" w:rsidRPr="00B76A73">
        <w:t>%</w:t>
      </w:r>
      <w:r w:rsidRPr="00B76A73">
        <w:t xml:space="preserve">. </w:t>
      </w:r>
      <w:r w:rsidR="00160C1F">
        <w:t>September</w:t>
      </w:r>
      <w:r w:rsidR="00491F40">
        <w:t xml:space="preserve"> 2023’s </w:t>
      </w:r>
      <w:r w:rsidR="00273DCA" w:rsidRPr="00B76A73">
        <w:t xml:space="preserve">level was </w:t>
      </w:r>
      <w:r w:rsidR="00F750FA">
        <w:t>above</w:t>
      </w:r>
      <w:r w:rsidR="00E93558">
        <w:t xml:space="preserve"> </w:t>
      </w:r>
      <w:r w:rsidR="00273DCA" w:rsidRPr="00B76A73">
        <w:t>the</w:t>
      </w:r>
      <w:r w:rsidRPr="00B76A73">
        <w:t xml:space="preserve"> </w:t>
      </w:r>
      <w:r w:rsidR="00953DF2" w:rsidRPr="00B76A73">
        <w:t>30-year average</w:t>
      </w:r>
      <w:r w:rsidR="00273DCA" w:rsidRPr="00B76A73">
        <w:t xml:space="preserve"> of 76.</w:t>
      </w:r>
      <w:r w:rsidR="00720F25" w:rsidRPr="00B76A73">
        <w:t>9</w:t>
      </w:r>
      <w:r w:rsidR="00273DCA" w:rsidRPr="00B76A73">
        <w:t>%</w:t>
      </w:r>
      <w:r w:rsidRPr="00B76A73">
        <w:t xml:space="preserve"> for th</w:t>
      </w:r>
      <w:r w:rsidR="00273DCA" w:rsidRPr="00B76A73">
        <w:t>is</w:t>
      </w:r>
      <w:r w:rsidRPr="00B76A73">
        <w:t xml:space="preserve"> metric</w:t>
      </w:r>
      <w:r w:rsidR="005D6F41">
        <w:t xml:space="preserve"> and up</w:t>
      </w:r>
      <w:r w:rsidR="00160C1F">
        <w:t xml:space="preserve"> </w:t>
      </w:r>
      <w:r w:rsidR="00A42997">
        <w:t>0.</w:t>
      </w:r>
      <w:r w:rsidR="005D6F41">
        <w:t>3</w:t>
      </w:r>
      <w:r w:rsidR="00F750FA">
        <w:t xml:space="preserve">% </w:t>
      </w:r>
      <w:r w:rsidR="00160C1F">
        <w:t>from</w:t>
      </w:r>
      <w:r w:rsidR="00B66C70" w:rsidRPr="00B76A73">
        <w:t xml:space="preserve"> </w:t>
      </w:r>
      <w:r w:rsidR="003058BA" w:rsidRPr="00B76A73">
        <w:t>the previous quarter</w:t>
      </w:r>
      <w:r w:rsidRPr="00B76A73">
        <w:t>.</w:t>
      </w:r>
    </w:p>
    <w:p w14:paraId="2B52197D" w14:textId="4E528644" w:rsidR="007A05AD" w:rsidRPr="00B76A73" w:rsidRDefault="005C31E9" w:rsidP="00BA7A2C">
      <w:pPr>
        <w:jc w:val="center"/>
      </w:pPr>
      <w:r>
        <w:rPr>
          <w:noProof/>
        </w:rPr>
        <w:drawing>
          <wp:inline distT="0" distB="0" distL="0" distR="0" wp14:anchorId="517E6EC3" wp14:editId="3BF5588A">
            <wp:extent cx="3816350" cy="2646045"/>
            <wp:effectExtent l="0" t="0" r="0" b="1905"/>
            <wp:docPr id="10122322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20" w14:textId="72147876" w:rsidR="00005111" w:rsidRPr="00B76A73" w:rsidRDefault="00005111" w:rsidP="005261C1">
      <w:pPr>
        <w:pStyle w:val="Heading1"/>
      </w:pPr>
      <w:r w:rsidRPr="00B76A73">
        <w:t>Interest Rates</w:t>
      </w:r>
    </w:p>
    <w:p w14:paraId="472CBB47" w14:textId="684928EF" w:rsidR="00A96A6A" w:rsidRPr="00B76A73" w:rsidRDefault="004005A4" w:rsidP="00952E0A">
      <w:pPr>
        <w:rPr>
          <w:color w:val="000000" w:themeColor="text1"/>
        </w:rPr>
      </w:pPr>
      <w:r w:rsidRPr="00B76A73">
        <w:t>T</w:t>
      </w:r>
      <w:r w:rsidR="00231BB2" w:rsidRPr="00B76A73">
        <w:t xml:space="preserve">he effective </w:t>
      </w:r>
      <w:r w:rsidR="00814E45" w:rsidRPr="00B76A73">
        <w:t>federal f</w:t>
      </w:r>
      <w:r w:rsidR="00231BB2" w:rsidRPr="00B76A73">
        <w:t>unds rate</w:t>
      </w:r>
      <w:r w:rsidR="00814E45" w:rsidRPr="00B76A73">
        <w:rPr>
          <w:rStyle w:val="FootnoteReference"/>
        </w:rPr>
        <w:footnoteReference w:id="11"/>
      </w:r>
      <w:r w:rsidR="00231BB2" w:rsidRPr="00B76A73">
        <w:t xml:space="preserve"> </w:t>
      </w:r>
      <w:r w:rsidR="00D03C98" w:rsidRPr="00B76A73">
        <w:t xml:space="preserve">rose </w:t>
      </w:r>
      <w:r w:rsidR="004C17A1">
        <w:t>0.</w:t>
      </w:r>
      <w:r w:rsidR="005D6F41">
        <w:t>25</w:t>
      </w:r>
      <w:r w:rsidR="00D03C98" w:rsidRPr="00B76A73">
        <w:t xml:space="preserve"> percentage point</w:t>
      </w:r>
      <w:r w:rsidR="00C17572">
        <w:t>s</w:t>
      </w:r>
      <w:r w:rsidR="00D03C98" w:rsidRPr="00B76A73">
        <w:t xml:space="preserve"> to </w:t>
      </w:r>
      <w:r w:rsidR="00FE6DD6">
        <w:t>5.</w:t>
      </w:r>
      <w:r w:rsidR="005D6F41">
        <w:t>33</w:t>
      </w:r>
      <w:r w:rsidR="00D03C98" w:rsidRPr="00B76A73">
        <w:t xml:space="preserve">% during the </w:t>
      </w:r>
      <w:r w:rsidR="005D6F41">
        <w:t>3</w:t>
      </w:r>
      <w:r w:rsidR="005D6F41" w:rsidRPr="005D6F41">
        <w:rPr>
          <w:vertAlign w:val="superscript"/>
        </w:rPr>
        <w:t>rd</w:t>
      </w:r>
      <w:r w:rsidR="005D6F41">
        <w:t xml:space="preserve"> </w:t>
      </w:r>
      <w:r w:rsidR="00D03C98" w:rsidRPr="00B76A73">
        <w:t>quarter</w:t>
      </w:r>
      <w:r w:rsidR="005A5095" w:rsidRPr="00B76A73">
        <w:t>, continuing</w:t>
      </w:r>
      <w:r w:rsidR="00D03C98" w:rsidRPr="00B76A73">
        <w:t xml:space="preserve"> the climb from near-zero levels </w:t>
      </w:r>
      <w:r w:rsidR="005A5095" w:rsidRPr="00B76A73">
        <w:t xml:space="preserve">that began </w:t>
      </w:r>
      <w:r w:rsidR="00FE6DD6">
        <w:t>in</w:t>
      </w:r>
      <w:r w:rsidR="00D03C98" w:rsidRPr="00B76A73">
        <w:t xml:space="preserve"> March</w:t>
      </w:r>
      <w:r w:rsidR="00FE6DD6">
        <w:t xml:space="preserve"> 2022</w:t>
      </w:r>
      <w:r w:rsidR="00814E45" w:rsidRPr="00B76A73">
        <w:t xml:space="preserve">. </w:t>
      </w:r>
      <w:r w:rsidR="00E64295">
        <w:t>T</w:t>
      </w:r>
      <w:r w:rsidR="00231BB2" w:rsidRPr="00B76A73">
        <w:t xml:space="preserve">reasury </w:t>
      </w:r>
      <w:r w:rsidR="003F4CDB" w:rsidRPr="00B76A73">
        <w:t>bond yields</w:t>
      </w:r>
      <w:r w:rsidR="005A0EC4" w:rsidRPr="00B76A73">
        <w:rPr>
          <w:rStyle w:val="FootnoteReference"/>
        </w:rPr>
        <w:footnoteReference w:id="12"/>
      </w:r>
      <w:r w:rsidR="00A73A66" w:rsidRPr="00B76A73">
        <w:t xml:space="preserve"> </w:t>
      </w:r>
      <w:r w:rsidR="00451F5B">
        <w:t xml:space="preserve">for </w:t>
      </w:r>
      <w:r w:rsidR="00451F5B">
        <w:lastRenderedPageBreak/>
        <w:t xml:space="preserve">periods </w:t>
      </w:r>
      <w:r w:rsidR="00764632">
        <w:t>one</w:t>
      </w:r>
      <w:r w:rsidR="00451F5B">
        <w:t xml:space="preserve"> year and up </w:t>
      </w:r>
      <w:r w:rsidR="00E64295">
        <w:t>rose</w:t>
      </w:r>
      <w:r w:rsidR="00A14458" w:rsidRPr="00B76A73">
        <w:t xml:space="preserve"> during the </w:t>
      </w:r>
      <w:r w:rsidR="00A77DCF">
        <w:t>3</w:t>
      </w:r>
      <w:r w:rsidR="00A77DCF" w:rsidRPr="00A77DCF">
        <w:rPr>
          <w:vertAlign w:val="superscript"/>
        </w:rPr>
        <w:t>rd</w:t>
      </w:r>
      <w:r w:rsidR="00A77DCF">
        <w:t xml:space="preserve"> </w:t>
      </w:r>
      <w:r w:rsidR="00A14458" w:rsidRPr="00B76A73">
        <w:t>quarter</w:t>
      </w:r>
      <w:r w:rsidR="004C17A1">
        <w:t>. T</w:t>
      </w:r>
      <w:r w:rsidR="007B69AE">
        <w:t>he yield curve remained inverted</w:t>
      </w:r>
      <w:r w:rsidR="00A77DCF">
        <w:t xml:space="preserve">, but </w:t>
      </w:r>
      <w:r w:rsidR="007B69AE">
        <w:t>l</w:t>
      </w:r>
      <w:r w:rsidR="00A14458" w:rsidRPr="00B76A73">
        <w:t xml:space="preserve">ong-term treasury yields </w:t>
      </w:r>
      <w:r w:rsidR="00A77DCF">
        <w:t>began to catch up to</w:t>
      </w:r>
      <w:r w:rsidR="007B69AE">
        <w:t xml:space="preserve"> shorter-term yields</w:t>
      </w:r>
      <w:r w:rsidR="00231BB2" w:rsidRPr="00B76A73">
        <w:t>.</w:t>
      </w:r>
      <w:r w:rsidR="00455043" w:rsidRPr="00B76A73">
        <w:t xml:space="preserve"> T</w:t>
      </w:r>
      <w:r w:rsidR="00032178" w:rsidRPr="00B76A73">
        <w:t>he</w:t>
      </w:r>
      <w:r w:rsidR="00376778" w:rsidRPr="00B76A73">
        <w:t xml:space="preserve"> </w:t>
      </w:r>
      <w:r w:rsidR="00981FF8" w:rsidRPr="00B76A73">
        <w:t>closely watched</w:t>
      </w:r>
      <w:r w:rsidR="00635C43" w:rsidRPr="00B76A73">
        <w:t xml:space="preserve"> </w:t>
      </w:r>
      <w:r w:rsidR="00376778" w:rsidRPr="00B76A73">
        <w:t xml:space="preserve">two- and ten-year rates </w:t>
      </w:r>
      <w:r w:rsidR="00697A66">
        <w:t xml:space="preserve">have been </w:t>
      </w:r>
      <w:r w:rsidR="00032178" w:rsidRPr="00B76A73">
        <w:t xml:space="preserve">inverted </w:t>
      </w:r>
      <w:r w:rsidR="00697A66">
        <w:t xml:space="preserve">since </w:t>
      </w:r>
      <w:r w:rsidR="00032178" w:rsidRPr="00B76A73">
        <w:t xml:space="preserve">early in </w:t>
      </w:r>
      <w:r w:rsidR="00981FF8" w:rsidRPr="00B76A73">
        <w:t>July</w:t>
      </w:r>
      <w:r w:rsidR="00032178" w:rsidRPr="00B76A73">
        <w:t xml:space="preserve"> </w:t>
      </w:r>
      <w:r w:rsidR="00764632">
        <w:t>2022</w:t>
      </w:r>
      <w:r w:rsidR="005E1BD2" w:rsidRPr="00B76A73">
        <w:t xml:space="preserve">. </w:t>
      </w:r>
      <w:r w:rsidR="003F4CDB" w:rsidRPr="00B76A73">
        <w:t>The</w:t>
      </w:r>
      <w:r w:rsidR="008844A2" w:rsidRPr="00B76A73">
        <w:t xml:space="preserve"> 1</w:t>
      </w:r>
      <w:r w:rsidR="005E7A94" w:rsidRPr="00B76A73">
        <w:t xml:space="preserve">-year and 2-year annual treasury yields </w:t>
      </w:r>
      <w:r w:rsidR="00B65667" w:rsidRPr="00B76A73">
        <w:t xml:space="preserve">ended the </w:t>
      </w:r>
      <w:r w:rsidR="00A77DCF">
        <w:t>3</w:t>
      </w:r>
      <w:r w:rsidR="00A77DCF" w:rsidRPr="00A77DCF">
        <w:rPr>
          <w:vertAlign w:val="superscript"/>
        </w:rPr>
        <w:t>rd</w:t>
      </w:r>
      <w:r w:rsidR="00A77DCF">
        <w:t xml:space="preserve"> </w:t>
      </w:r>
      <w:r w:rsidR="00B65667" w:rsidRPr="00B76A73">
        <w:t>quarter</w:t>
      </w:r>
      <w:r w:rsidR="005E7A94" w:rsidRPr="00B76A73">
        <w:t xml:space="preserve"> at </w:t>
      </w:r>
      <w:r w:rsidR="00E64295">
        <w:t>5.4</w:t>
      </w:r>
      <w:r w:rsidR="00A77DCF">
        <w:t>6</w:t>
      </w:r>
      <w:r w:rsidR="005E7A94" w:rsidRPr="00B76A73">
        <w:t>%</w:t>
      </w:r>
      <w:r w:rsidR="008844A2" w:rsidRPr="00B76A73">
        <w:t xml:space="preserve"> and </w:t>
      </w:r>
      <w:r w:rsidR="00A77DCF">
        <w:t>5.03</w:t>
      </w:r>
      <w:r w:rsidR="006E6EAA" w:rsidRPr="00B76A73">
        <w:t>%, respectively</w:t>
      </w:r>
      <w:r w:rsidR="005E7A94" w:rsidRPr="00B76A73">
        <w:t>.</w:t>
      </w:r>
      <w:r w:rsidR="00231BB2" w:rsidRPr="00B76A73">
        <w:t xml:space="preserve"> The </w:t>
      </w:r>
      <w:r w:rsidR="005E7A94" w:rsidRPr="00B76A73">
        <w:t xml:space="preserve">benchmark </w:t>
      </w:r>
      <w:r w:rsidR="00022BB4" w:rsidRPr="00B76A73">
        <w:t>1</w:t>
      </w:r>
      <w:r w:rsidR="0061080D" w:rsidRPr="00B76A73">
        <w:t xml:space="preserve">0-year treasury </w:t>
      </w:r>
      <w:r w:rsidR="005E7A94" w:rsidRPr="00B76A73">
        <w:t>yielded</w:t>
      </w:r>
      <w:r w:rsidR="0061080D" w:rsidRPr="00B76A73">
        <w:t xml:space="preserve"> </w:t>
      </w:r>
      <w:r w:rsidR="00A77DCF">
        <w:t>4.59</w:t>
      </w:r>
      <w:r w:rsidR="0061080D" w:rsidRPr="00B76A73">
        <w:t>%</w:t>
      </w:r>
      <w:r w:rsidR="005E7A94" w:rsidRPr="00B76A73">
        <w:t xml:space="preserve"> at the</w:t>
      </w:r>
      <w:r w:rsidR="00B65667" w:rsidRPr="00B76A73">
        <w:t xml:space="preserve"> end of </w:t>
      </w:r>
      <w:r w:rsidR="008844A2" w:rsidRPr="00B76A73">
        <w:t>the quarter</w:t>
      </w:r>
      <w:r w:rsidR="005E7A94" w:rsidRPr="00B76A73">
        <w:t xml:space="preserve">, while </w:t>
      </w:r>
      <w:r w:rsidR="00D851AB" w:rsidRPr="00B76A73">
        <w:t xml:space="preserve">the </w:t>
      </w:r>
      <w:r w:rsidR="00022BB4" w:rsidRPr="00B76A73">
        <w:t>3</w:t>
      </w:r>
      <w:r w:rsidR="00D851AB" w:rsidRPr="00B76A73">
        <w:t xml:space="preserve">0-year treasury </w:t>
      </w:r>
      <w:r w:rsidR="00B65667" w:rsidRPr="00B76A73">
        <w:t>yielded</w:t>
      </w:r>
      <w:r w:rsidR="00D851AB" w:rsidRPr="00B76A73">
        <w:t xml:space="preserve"> </w:t>
      </w:r>
      <w:r w:rsidR="00A77DCF">
        <w:t>4.73</w:t>
      </w:r>
      <w:r w:rsidR="00D851AB" w:rsidRPr="00B76A73">
        <w:t>%</w:t>
      </w:r>
      <w:r w:rsidR="00AE64EF" w:rsidRPr="00B76A73">
        <w:rPr>
          <w:color w:val="000000" w:themeColor="text1"/>
        </w:rPr>
        <w:t>.</w:t>
      </w:r>
      <w:r w:rsidR="002301AB" w:rsidRPr="00B76A73">
        <w:rPr>
          <w:color w:val="000000" w:themeColor="text1"/>
        </w:rPr>
        <w:t xml:space="preserve"> See </w:t>
      </w:r>
      <w:r w:rsidR="002301AB" w:rsidRPr="00B76A73">
        <w:rPr>
          <w:i/>
          <w:iCs/>
          <w:color w:val="000000" w:themeColor="text1"/>
        </w:rPr>
        <w:t>Appendix – Selected Interest Rates</w:t>
      </w:r>
      <w:r w:rsidR="002301AB" w:rsidRPr="00B76A73">
        <w:rPr>
          <w:color w:val="000000" w:themeColor="text1"/>
        </w:rPr>
        <w:t xml:space="preserve"> for detailed interest rate data. </w:t>
      </w:r>
    </w:p>
    <w:p w14:paraId="0614E8BB" w14:textId="1587E99F" w:rsidR="004D1C9D" w:rsidRPr="00B76A73" w:rsidRDefault="005C31E9" w:rsidP="005117CA">
      <w:pPr>
        <w:jc w:val="center"/>
      </w:pPr>
      <w:r>
        <w:rPr>
          <w:noProof/>
        </w:rPr>
        <w:drawing>
          <wp:inline distT="0" distB="0" distL="0" distR="0" wp14:anchorId="0D099480" wp14:editId="4FCA0E00">
            <wp:extent cx="3493135" cy="2664460"/>
            <wp:effectExtent l="0" t="0" r="0" b="2540"/>
            <wp:docPr id="19907749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1CA932" w14:textId="2DB1CC87" w:rsidR="00B00681" w:rsidRPr="00B76A73" w:rsidRDefault="00171C8E" w:rsidP="00005111">
      <w:r w:rsidRPr="00B76A73">
        <w:t xml:space="preserve">In </w:t>
      </w:r>
      <w:r w:rsidR="00B34926" w:rsidRPr="00B76A73">
        <w:t xml:space="preserve">the </w:t>
      </w:r>
      <w:r w:rsidR="00A77DCF">
        <w:t>3</w:t>
      </w:r>
      <w:r w:rsidR="00A77DCF" w:rsidRPr="00A77DCF">
        <w:rPr>
          <w:vertAlign w:val="superscript"/>
        </w:rPr>
        <w:t>rd</w:t>
      </w:r>
      <w:r w:rsidR="00A77DCF">
        <w:t xml:space="preserve"> </w:t>
      </w:r>
      <w:r w:rsidR="00B34926" w:rsidRPr="00B76A73">
        <w:t>quarter of 202</w:t>
      </w:r>
      <w:r w:rsidR="00BB286D">
        <w:t>3</w:t>
      </w:r>
      <w:r w:rsidR="00FE4D42" w:rsidRPr="00B76A73">
        <w:t>,</w:t>
      </w:r>
      <w:r w:rsidRPr="00B76A73">
        <w:t xml:space="preserve"> the Federal Reserve </w:t>
      </w:r>
      <w:r w:rsidR="00A77DCF">
        <w:t>continued</w:t>
      </w:r>
      <w:r w:rsidR="00635C43" w:rsidRPr="00B76A73">
        <w:t xml:space="preserve"> the</w:t>
      </w:r>
      <w:r w:rsidR="00981FF8" w:rsidRPr="00B76A73">
        <w:t>ir</w:t>
      </w:r>
      <w:r w:rsidR="00635C43" w:rsidRPr="00B76A73">
        <w:t xml:space="preserve"> series of</w:t>
      </w:r>
      <w:r w:rsidR="00D851AB" w:rsidRPr="00B76A73">
        <w:t xml:space="preserve"> federal funds target rate</w:t>
      </w:r>
      <w:r w:rsidR="003A4C56" w:rsidRPr="00B76A73">
        <w:rPr>
          <w:rStyle w:val="FootnoteReference"/>
        </w:rPr>
        <w:footnoteReference w:id="13"/>
      </w:r>
      <w:r w:rsidR="00740863" w:rsidRPr="00B76A73">
        <w:t xml:space="preserve"> </w:t>
      </w:r>
      <w:r w:rsidR="005E1BD2" w:rsidRPr="00B76A73">
        <w:t>hike</w:t>
      </w:r>
      <w:r w:rsidR="00635C43" w:rsidRPr="00B76A73">
        <w:t>s</w:t>
      </w:r>
      <w:r w:rsidR="00A77DCF">
        <w:t xml:space="preserve"> at a slow</w:t>
      </w:r>
      <w:r w:rsidR="00772987">
        <w:t>ed</w:t>
      </w:r>
      <w:r w:rsidR="00A77DCF">
        <w:t xml:space="preserve"> pace</w:t>
      </w:r>
      <w:r w:rsidR="00D55A04">
        <w:t>, enacting one</w:t>
      </w:r>
      <w:r w:rsidR="00981FF8" w:rsidRPr="00B76A73">
        <w:t xml:space="preserve"> increase </w:t>
      </w:r>
      <w:r w:rsidR="00D55A04">
        <w:t>of 25</w:t>
      </w:r>
      <w:r w:rsidR="00981FF8" w:rsidRPr="00B76A73">
        <w:t xml:space="preserve"> basis points</w:t>
      </w:r>
      <w:r w:rsidR="00D55A04">
        <w:t>. The target rate</w:t>
      </w:r>
      <w:r w:rsidR="00981FF8" w:rsidRPr="00B76A73">
        <w:t xml:space="preserve"> end</w:t>
      </w:r>
      <w:r w:rsidR="00D55A04">
        <w:t>ed</w:t>
      </w:r>
      <w:r w:rsidR="00981FF8" w:rsidRPr="00B76A73">
        <w:t xml:space="preserve"> the quarter at a range of </w:t>
      </w:r>
      <w:r w:rsidR="00D55A04">
        <w:t>5.</w:t>
      </w:r>
      <w:r w:rsidR="00A77DCF">
        <w:t>25</w:t>
      </w:r>
      <w:r w:rsidR="00981FF8" w:rsidRPr="00B76A73">
        <w:t xml:space="preserve">% to </w:t>
      </w:r>
      <w:r w:rsidR="00BB286D">
        <w:t>5.</w:t>
      </w:r>
      <w:r w:rsidR="00A77DCF">
        <w:t>50</w:t>
      </w:r>
      <w:r w:rsidR="00981FF8" w:rsidRPr="00B76A73">
        <w:t>%</w:t>
      </w:r>
      <w:r w:rsidR="003F0456">
        <w:t>, the highest in more than 22 years</w:t>
      </w:r>
      <w:r w:rsidR="00455D78" w:rsidRPr="00B76A73">
        <w:t>.</w:t>
      </w:r>
      <w:r w:rsidR="000B0583" w:rsidRPr="00B76A73">
        <w:t xml:space="preserve"> </w:t>
      </w:r>
      <w:r w:rsidR="00B0120F">
        <w:t xml:space="preserve">After </w:t>
      </w:r>
      <w:r w:rsidR="003F0456">
        <w:t>eleven</w:t>
      </w:r>
      <w:r w:rsidR="00B0120F">
        <w:t xml:space="preserve"> rate hikes </w:t>
      </w:r>
      <w:r w:rsidR="003F0456">
        <w:t>in 13 meetings since</w:t>
      </w:r>
      <w:r w:rsidR="00B0120F">
        <w:t xml:space="preserve"> March 2022,</w:t>
      </w:r>
      <w:r w:rsidR="00C832EE">
        <w:t xml:space="preserve"> the markets indicate that investors expect a pause for the remainder of 2023</w:t>
      </w:r>
      <w:r w:rsidR="00B90547">
        <w:t>.</w:t>
      </w:r>
      <w:r w:rsidR="00B0120F">
        <w:t xml:space="preserve"> </w:t>
      </w:r>
      <w:r w:rsidR="00C832EE">
        <w:t>The FOMC indicated that further hikes are still possible if incoming economic data warrants it. C</w:t>
      </w:r>
      <w:r w:rsidR="00B0120F">
        <w:t xml:space="preserve">ommittee members </w:t>
      </w:r>
      <w:r w:rsidR="00C832EE">
        <w:t>held</w:t>
      </w:r>
      <w:r w:rsidR="00B0120F">
        <w:t xml:space="preserve"> their “dot plot” projections </w:t>
      </w:r>
      <w:r w:rsidR="00C832EE">
        <w:t>steady</w:t>
      </w:r>
      <w:r w:rsidR="00B0120F">
        <w:t xml:space="preserve">, </w:t>
      </w:r>
      <w:r w:rsidR="00C832EE">
        <w:t>with</w:t>
      </w:r>
      <w:r w:rsidR="00B0120F">
        <w:t xml:space="preserve"> the median interest rate expectation for the end of 2023 </w:t>
      </w:r>
      <w:r w:rsidR="00C832EE">
        <w:t>at</w:t>
      </w:r>
      <w:r w:rsidR="00B0120F">
        <w:t xml:space="preserve"> 5.6%.</w:t>
      </w:r>
      <w:r w:rsidR="00B90547">
        <w:t xml:space="preserve"> </w:t>
      </w:r>
      <w:r w:rsidR="00772987">
        <w:t>I</w:t>
      </w:r>
      <w:r w:rsidR="00C832EE">
        <w:t xml:space="preserve">nflation </w:t>
      </w:r>
      <w:r w:rsidR="00772987">
        <w:t>rose</w:t>
      </w:r>
      <w:r w:rsidR="00C832EE">
        <w:t xml:space="preserve"> moderate</w:t>
      </w:r>
      <w:r w:rsidR="00772987">
        <w:t>ly</w:t>
      </w:r>
      <w:r w:rsidR="00C832EE">
        <w:t xml:space="preserve"> during the 3</w:t>
      </w:r>
      <w:r w:rsidR="00C832EE" w:rsidRPr="00C832EE">
        <w:rPr>
          <w:vertAlign w:val="superscript"/>
        </w:rPr>
        <w:t>rd</w:t>
      </w:r>
      <w:r w:rsidR="00C832EE">
        <w:t xml:space="preserve"> quarter</w:t>
      </w:r>
      <w:r w:rsidR="00772987">
        <w:t xml:space="preserve"> and </w:t>
      </w:r>
      <w:r w:rsidR="00C832EE">
        <w:t>is still higher tha</w:t>
      </w:r>
      <w:r w:rsidR="00772987">
        <w:t>n</w:t>
      </w:r>
      <w:r w:rsidR="00C832EE">
        <w:t xml:space="preserve"> the Federal Reserve’s goal.</w:t>
      </w:r>
    </w:p>
    <w:p w14:paraId="515AD2F7" w14:textId="506AA3B9" w:rsidR="004D1C9D" w:rsidRPr="00B76A73" w:rsidRDefault="005C31E9" w:rsidP="00166C08">
      <w:pPr>
        <w:jc w:val="center"/>
      </w:pPr>
      <w:r>
        <w:rPr>
          <w:noProof/>
        </w:rPr>
        <w:lastRenderedPageBreak/>
        <w:drawing>
          <wp:inline distT="0" distB="0" distL="0" distR="0" wp14:anchorId="25ABE1F9" wp14:editId="24EA6D2A">
            <wp:extent cx="3493135" cy="2651760"/>
            <wp:effectExtent l="0" t="0" r="0" b="0"/>
            <wp:docPr id="7005873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113481" w14:textId="77777777" w:rsidR="00B7512F" w:rsidRPr="00B76A73" w:rsidRDefault="00B7512F" w:rsidP="00166C08">
      <w:pPr>
        <w:jc w:val="center"/>
      </w:pPr>
    </w:p>
    <w:p w14:paraId="7D026DBE" w14:textId="0CDE3C0E" w:rsidR="004D1C9D" w:rsidRPr="00B76A73" w:rsidRDefault="005117CA" w:rsidP="005261C1">
      <w:r w:rsidRPr="00B76A73">
        <w:t>T</w:t>
      </w:r>
      <w:r w:rsidR="002978F9" w:rsidRPr="00B76A73">
        <w:t xml:space="preserve">he yield on the </w:t>
      </w:r>
      <w:r w:rsidR="0039196F" w:rsidRPr="00B76A73">
        <w:t xml:space="preserve">benchmark </w:t>
      </w:r>
      <w:r w:rsidR="002978F9" w:rsidRPr="00B76A73">
        <w:t>10-year U.S. treasury</w:t>
      </w:r>
      <w:r w:rsidR="004759DB" w:rsidRPr="00B76A73">
        <w:rPr>
          <w:rStyle w:val="FootnoteReference"/>
        </w:rPr>
        <w:footnoteReference w:id="14"/>
      </w:r>
      <w:r w:rsidR="002978F9" w:rsidRPr="00B76A73">
        <w:t xml:space="preserve"> </w:t>
      </w:r>
      <w:r w:rsidR="00455D78" w:rsidRPr="00B76A73">
        <w:t xml:space="preserve">ended the </w:t>
      </w:r>
      <w:r w:rsidR="009F4853">
        <w:t>3</w:t>
      </w:r>
      <w:r w:rsidR="009F4853" w:rsidRPr="009F4853">
        <w:rPr>
          <w:vertAlign w:val="superscript"/>
        </w:rPr>
        <w:t>rd</w:t>
      </w:r>
      <w:r w:rsidR="009F4853">
        <w:t xml:space="preserve"> </w:t>
      </w:r>
      <w:r w:rsidRPr="00B76A73">
        <w:t>quarter</w:t>
      </w:r>
      <w:r w:rsidR="00A73A66" w:rsidRPr="00B76A73">
        <w:t xml:space="preserve"> </w:t>
      </w:r>
      <w:r w:rsidR="00455D78" w:rsidRPr="00B76A73">
        <w:t>at</w:t>
      </w:r>
      <w:r w:rsidR="00A73A66" w:rsidRPr="00B76A73">
        <w:t xml:space="preserve"> </w:t>
      </w:r>
      <w:r w:rsidR="009F4853">
        <w:t>4.59</w:t>
      </w:r>
      <w:r w:rsidR="00A73A66" w:rsidRPr="00B76A73">
        <w:t xml:space="preserve">%, </w:t>
      </w:r>
      <w:r w:rsidR="00742ADB">
        <w:t>up</w:t>
      </w:r>
      <w:r w:rsidR="0028240F">
        <w:t xml:space="preserve"> 0.</w:t>
      </w:r>
      <w:r w:rsidR="009F4853">
        <w:t>78</w:t>
      </w:r>
      <w:r w:rsidR="00C5430F" w:rsidRPr="00B76A73">
        <w:t xml:space="preserve"> percentage points</w:t>
      </w:r>
      <w:r w:rsidR="00455D78" w:rsidRPr="00B76A73">
        <w:t xml:space="preserve"> from the previous quarter</w:t>
      </w:r>
      <w:r w:rsidR="009F4853">
        <w:t xml:space="preserve"> and above </w:t>
      </w:r>
      <w:r w:rsidR="00071875" w:rsidRPr="00B76A73">
        <w:t xml:space="preserve">the average yield of </w:t>
      </w:r>
      <w:r w:rsidR="003A4C56" w:rsidRPr="00B76A73">
        <w:t>3.</w:t>
      </w:r>
      <w:r w:rsidR="0028240F">
        <w:t>8</w:t>
      </w:r>
      <w:r w:rsidR="009F4853">
        <w:t>5</w:t>
      </w:r>
      <w:r w:rsidR="004965CE" w:rsidRPr="00B76A73">
        <w:t>% over the last 30 years</w:t>
      </w:r>
      <w:r w:rsidR="00CB629F" w:rsidRPr="00B76A73">
        <w:t>.</w:t>
      </w:r>
      <w:r w:rsidR="00A73A66" w:rsidRPr="00B76A73">
        <w:t xml:space="preserve"> </w:t>
      </w:r>
    </w:p>
    <w:p w14:paraId="67433862" w14:textId="0B61D83E" w:rsidR="004D1C9D" w:rsidRPr="00B76A73" w:rsidRDefault="005C31E9" w:rsidP="005117CA">
      <w:pPr>
        <w:jc w:val="center"/>
      </w:pPr>
      <w:r>
        <w:rPr>
          <w:noProof/>
        </w:rPr>
        <w:drawing>
          <wp:inline distT="0" distB="0" distL="0" distR="0" wp14:anchorId="1E7332B8" wp14:editId="12EC3960">
            <wp:extent cx="3499485" cy="2651760"/>
            <wp:effectExtent l="0" t="0" r="5715" b="0"/>
            <wp:docPr id="172867580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A11124" w14:textId="06D4C8AA" w:rsidR="001945EC" w:rsidRPr="00B76A73" w:rsidRDefault="00F02B3A" w:rsidP="00460436">
      <w:r w:rsidRPr="00B76A73">
        <w:t>Moody’s Baa Corpor</w:t>
      </w:r>
      <w:r w:rsidR="00102080" w:rsidRPr="00B76A73">
        <w:t xml:space="preserve">ate Bond Yield </w:t>
      </w:r>
      <w:r w:rsidR="004E3393" w:rsidRPr="00B76A73">
        <w:t>Index</w:t>
      </w:r>
      <w:r w:rsidR="004E5EC0" w:rsidRPr="00B76A73">
        <w:rPr>
          <w:rStyle w:val="FootnoteReference"/>
        </w:rPr>
        <w:footnoteReference w:id="15"/>
      </w:r>
      <w:r w:rsidR="004E3393" w:rsidRPr="00B76A73">
        <w:t xml:space="preserve"> </w:t>
      </w:r>
      <w:r w:rsidR="009D42AA" w:rsidRPr="00B76A73">
        <w:t xml:space="preserve">ended the </w:t>
      </w:r>
      <w:r w:rsidR="00D447AF">
        <w:t>3</w:t>
      </w:r>
      <w:r w:rsidR="00D447AF" w:rsidRPr="00D447AF">
        <w:rPr>
          <w:vertAlign w:val="superscript"/>
        </w:rPr>
        <w:t>rd</w:t>
      </w:r>
      <w:r w:rsidR="00D447AF">
        <w:t xml:space="preserve"> </w:t>
      </w:r>
      <w:r w:rsidR="009D42AA" w:rsidRPr="00B76A73">
        <w:t xml:space="preserve">quarter </w:t>
      </w:r>
      <w:r w:rsidR="00551CFE" w:rsidRPr="00B76A73">
        <w:t>of 202</w:t>
      </w:r>
      <w:r w:rsidR="0028240F">
        <w:t>3</w:t>
      </w:r>
      <w:r w:rsidR="00551CFE" w:rsidRPr="00B76A73">
        <w:t xml:space="preserve"> </w:t>
      </w:r>
      <w:r w:rsidR="009D42AA" w:rsidRPr="00B76A73">
        <w:t xml:space="preserve">at </w:t>
      </w:r>
      <w:r w:rsidR="00D447AF">
        <w:t>6.37</w:t>
      </w:r>
      <w:r w:rsidR="009D42AA" w:rsidRPr="00B76A73">
        <w:t>%</w:t>
      </w:r>
      <w:r w:rsidR="00F72263" w:rsidRPr="00B76A73">
        <w:t>,</w:t>
      </w:r>
      <w:r w:rsidR="009D42AA" w:rsidRPr="00B76A73">
        <w:t xml:space="preserve"> </w:t>
      </w:r>
      <w:r w:rsidR="00742ADB">
        <w:t>up</w:t>
      </w:r>
      <w:r w:rsidR="00412C1A" w:rsidRPr="00B76A73">
        <w:t xml:space="preserve"> </w:t>
      </w:r>
      <w:r w:rsidR="00D61DD3" w:rsidRPr="00B76A73">
        <w:t>0.</w:t>
      </w:r>
      <w:r w:rsidR="00D447AF">
        <w:t>68</w:t>
      </w:r>
      <w:r w:rsidR="00D61DD3" w:rsidRPr="00B76A73">
        <w:t xml:space="preserve"> percentage points</w:t>
      </w:r>
      <w:r w:rsidR="00412C1A" w:rsidRPr="00B76A73">
        <w:t xml:space="preserve"> since the previous </w:t>
      </w:r>
      <w:r w:rsidR="009D42AA" w:rsidRPr="00B76A73">
        <w:t>quarter</w:t>
      </w:r>
      <w:r w:rsidR="00823E2B" w:rsidRPr="00B76A73">
        <w:t xml:space="preserve">. </w:t>
      </w:r>
      <w:r w:rsidR="00261A6E" w:rsidRPr="00B76A73">
        <w:t xml:space="preserve">Moody’s </w:t>
      </w:r>
      <w:r w:rsidR="00536AD4" w:rsidRPr="00B76A73">
        <w:t xml:space="preserve">less-risky </w:t>
      </w:r>
      <w:proofErr w:type="spellStart"/>
      <w:r w:rsidR="00261A6E" w:rsidRPr="00B76A73">
        <w:t>Aaa</w:t>
      </w:r>
      <w:proofErr w:type="spellEnd"/>
      <w:r w:rsidR="009D42AA" w:rsidRPr="00B76A73">
        <w:rPr>
          <w:rStyle w:val="FootnoteReference"/>
        </w:rPr>
        <w:footnoteReference w:id="16"/>
      </w:r>
      <w:r w:rsidR="00261A6E" w:rsidRPr="00B76A73">
        <w:t xml:space="preserve"> Index </w:t>
      </w:r>
      <w:r w:rsidR="00742ADB">
        <w:t>rose 0.</w:t>
      </w:r>
      <w:r w:rsidR="00D447AF">
        <w:t>76</w:t>
      </w:r>
      <w:r w:rsidR="00D61DD3" w:rsidRPr="00B76A73">
        <w:t xml:space="preserve"> percentage points</w:t>
      </w:r>
      <w:r w:rsidR="00551CFE" w:rsidRPr="00B76A73">
        <w:t xml:space="preserve"> during the quarter to a level of </w:t>
      </w:r>
      <w:r w:rsidR="00D447AF">
        <w:t>5.36</w:t>
      </w:r>
      <w:r w:rsidR="00261A6E" w:rsidRPr="00B76A73">
        <w:t>%.</w:t>
      </w:r>
    </w:p>
    <w:p w14:paraId="7CE57D35" w14:textId="3E0224A3" w:rsidR="005117CA" w:rsidRPr="00B76A73" w:rsidRDefault="005C31E9" w:rsidP="005117CA">
      <w:pPr>
        <w:jc w:val="center"/>
      </w:pPr>
      <w:r>
        <w:rPr>
          <w:noProof/>
        </w:rPr>
        <w:lastRenderedPageBreak/>
        <w:drawing>
          <wp:inline distT="0" distB="0" distL="0" distR="0" wp14:anchorId="0068673D" wp14:editId="4330B0F9">
            <wp:extent cx="3499485" cy="2932430"/>
            <wp:effectExtent l="0" t="0" r="5715" b="1270"/>
            <wp:docPr id="99886805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2F" w14:textId="479C442E" w:rsidR="00005111" w:rsidRPr="00B76A73" w:rsidRDefault="00005111" w:rsidP="005261C1">
      <w:pPr>
        <w:pStyle w:val="Heading1"/>
      </w:pPr>
      <w:r w:rsidRPr="00B76A73">
        <w:t>Employment</w:t>
      </w:r>
    </w:p>
    <w:p w14:paraId="6A12E6BF" w14:textId="1CD9DD84" w:rsidR="003412DA" w:rsidRPr="00B76A73" w:rsidRDefault="003412DA" w:rsidP="003412DA">
      <w:r w:rsidRPr="00B76A73">
        <w:t>The official unemployment rate</w:t>
      </w:r>
      <w:r w:rsidR="009D7CB0" w:rsidRPr="00B76A73">
        <w:rPr>
          <w:rStyle w:val="FootnoteReference"/>
        </w:rPr>
        <w:footnoteReference w:id="17"/>
      </w:r>
      <w:r w:rsidRPr="00B76A73">
        <w:t xml:space="preserve"> </w:t>
      </w:r>
      <w:r w:rsidR="001B4D24">
        <w:t xml:space="preserve">ended the </w:t>
      </w:r>
      <w:r w:rsidR="00703FBD">
        <w:t>3</w:t>
      </w:r>
      <w:r w:rsidR="00703FBD" w:rsidRPr="00703FBD">
        <w:rPr>
          <w:vertAlign w:val="superscript"/>
        </w:rPr>
        <w:t>rd</w:t>
      </w:r>
      <w:r w:rsidR="00703FBD">
        <w:t xml:space="preserve"> </w:t>
      </w:r>
      <w:r w:rsidR="001B4D24">
        <w:t>quarter at</w:t>
      </w:r>
      <w:r w:rsidR="00CE5A3E" w:rsidRPr="00B76A73">
        <w:t xml:space="preserve"> 3.</w:t>
      </w:r>
      <w:r w:rsidR="00703FBD">
        <w:t>8</w:t>
      </w:r>
      <w:r w:rsidR="00CE5A3E" w:rsidRPr="00B76A73">
        <w:t xml:space="preserve">%, </w:t>
      </w:r>
      <w:r w:rsidR="002930DF">
        <w:t>up slightly</w:t>
      </w:r>
      <w:r w:rsidR="001B4D24">
        <w:t xml:space="preserve"> from the prior quarter. </w:t>
      </w:r>
      <w:r w:rsidR="00703FBD">
        <w:t>Still, t</w:t>
      </w:r>
      <w:r w:rsidR="001B4D24">
        <w:t>he rate</w:t>
      </w:r>
      <w:r w:rsidR="00703FBD">
        <w:t xml:space="preserve"> </w:t>
      </w:r>
      <w:r w:rsidR="001B4D24">
        <w:t xml:space="preserve">stood </w:t>
      </w:r>
      <w:r w:rsidR="00CE5A3E" w:rsidRPr="00B76A73">
        <w:t>well below the 30-year historical average of 5.</w:t>
      </w:r>
      <w:r w:rsidR="006816F7">
        <w:t>7</w:t>
      </w:r>
      <w:r w:rsidR="00CE5A3E" w:rsidRPr="00B76A73">
        <w:t>%</w:t>
      </w:r>
      <w:r w:rsidR="003B62E2">
        <w:t xml:space="preserve"> and below the 4.0% to 5.0% range accepted as an equilibrium level of “full employment</w:t>
      </w:r>
      <w:r w:rsidR="00CE5A3E" w:rsidRPr="00B76A73">
        <w:t>.</w:t>
      </w:r>
      <w:r w:rsidR="003B62E2">
        <w:t>”</w:t>
      </w:r>
      <w:r w:rsidR="00CE5A3E" w:rsidRPr="00B76A73">
        <w:t xml:space="preserve"> </w:t>
      </w:r>
      <w:r w:rsidR="003B62E2">
        <w:t>Additionally, t</w:t>
      </w:r>
      <w:r w:rsidR="0004341A" w:rsidRPr="00B76A73">
        <w:t>he labor force</w:t>
      </w:r>
      <w:r w:rsidR="007B4191" w:rsidRPr="00B76A73">
        <w:rPr>
          <w:rStyle w:val="FootnoteReference"/>
        </w:rPr>
        <w:footnoteReference w:id="18"/>
      </w:r>
      <w:r w:rsidR="0004341A" w:rsidRPr="00B76A73">
        <w:t xml:space="preserve"> </w:t>
      </w:r>
      <w:r w:rsidR="00CE5A3E" w:rsidRPr="00B76A73">
        <w:t xml:space="preserve">expanded by </w:t>
      </w:r>
      <w:r w:rsidR="00703FBD">
        <w:t>1.0</w:t>
      </w:r>
      <w:r w:rsidR="00CE5A3E" w:rsidRPr="00B76A73">
        <w:t xml:space="preserve"> million workers during the quarter. </w:t>
      </w:r>
      <w:r w:rsidR="000D2357">
        <w:t>T</w:t>
      </w:r>
      <w:r w:rsidR="004D3A04" w:rsidRPr="00B76A73">
        <w:t xml:space="preserve">he </w:t>
      </w:r>
      <w:r w:rsidR="006859BA" w:rsidRPr="00B76A73">
        <w:t>labor force participation rate</w:t>
      </w:r>
      <w:r w:rsidR="006859BA" w:rsidRPr="00B76A73">
        <w:rPr>
          <w:rStyle w:val="FootnoteReference"/>
        </w:rPr>
        <w:footnoteReference w:id="19"/>
      </w:r>
      <w:r w:rsidR="006859BA" w:rsidRPr="00B76A73">
        <w:t xml:space="preserve"> </w:t>
      </w:r>
      <w:r w:rsidR="00703FBD">
        <w:t>rose slightly</w:t>
      </w:r>
      <w:r w:rsidR="000D2357">
        <w:t xml:space="preserve"> </w:t>
      </w:r>
      <w:r w:rsidR="00703FBD">
        <w:t xml:space="preserve">during </w:t>
      </w:r>
      <w:r w:rsidR="000D2357">
        <w:t xml:space="preserve">the quarter </w:t>
      </w:r>
      <w:r w:rsidR="00703FBD">
        <w:t>to</w:t>
      </w:r>
      <w:r w:rsidR="00CE5A3E" w:rsidRPr="00B76A73">
        <w:t xml:space="preserve"> 62.</w:t>
      </w:r>
      <w:r w:rsidR="00703FBD">
        <w:t>8</w:t>
      </w:r>
      <w:r w:rsidR="00CE5A3E" w:rsidRPr="00B76A73">
        <w:t>%</w:t>
      </w:r>
      <w:r w:rsidR="00703FBD">
        <w:t xml:space="preserve"> but was still </w:t>
      </w:r>
      <w:r w:rsidR="006816F7">
        <w:t>0.</w:t>
      </w:r>
      <w:r w:rsidR="00703FBD">
        <w:t>5</w:t>
      </w:r>
      <w:r w:rsidR="00CE5A3E" w:rsidRPr="00B76A73">
        <w:t xml:space="preserve"> percentage point</w:t>
      </w:r>
      <w:r w:rsidR="00C17572">
        <w:t>s</w:t>
      </w:r>
      <w:r w:rsidR="00CE5A3E" w:rsidRPr="00B76A73">
        <w:t xml:space="preserve"> below its pre-pandemic level. </w:t>
      </w:r>
      <w:r w:rsidR="00D62169" w:rsidRPr="00B76A73">
        <w:t>E</w:t>
      </w:r>
      <w:r w:rsidRPr="00B76A73">
        <w:t xml:space="preserve">conomists </w:t>
      </w:r>
      <w:r w:rsidR="006859BA" w:rsidRPr="00B76A73">
        <w:t>polled by</w:t>
      </w:r>
      <w:r w:rsidR="00D62169" w:rsidRPr="00B76A73">
        <w:t xml:space="preserve"> </w:t>
      </w:r>
      <w:r w:rsidRPr="00B76A73">
        <w:t xml:space="preserve">the Livingston Survey </w:t>
      </w:r>
      <w:r w:rsidR="004D3A04" w:rsidRPr="00B76A73">
        <w:t xml:space="preserve">in </w:t>
      </w:r>
      <w:r w:rsidR="000D2357">
        <w:t>June 2023</w:t>
      </w:r>
      <w:r w:rsidR="00B3045C">
        <w:t xml:space="preserve"> </w:t>
      </w:r>
      <w:r w:rsidR="00703FBD">
        <w:t xml:space="preserve">had </w:t>
      </w:r>
      <w:r w:rsidR="004D3A04" w:rsidRPr="00B76A73">
        <w:t xml:space="preserve">projected an unemployment rate of </w:t>
      </w:r>
      <w:r w:rsidR="00B3045C">
        <w:t>4.</w:t>
      </w:r>
      <w:r w:rsidR="000D2357">
        <w:t>1</w:t>
      </w:r>
      <w:r w:rsidR="004D3A04" w:rsidRPr="00B76A73">
        <w:t xml:space="preserve">% in </w:t>
      </w:r>
      <w:r w:rsidR="000D2357">
        <w:t>December</w:t>
      </w:r>
      <w:r w:rsidR="00B3045C">
        <w:t xml:space="preserve"> 2023</w:t>
      </w:r>
      <w:r w:rsidR="004D3A04" w:rsidRPr="00B76A73">
        <w:t xml:space="preserve">, </w:t>
      </w:r>
      <w:r w:rsidR="00DB5054">
        <w:t>rising</w:t>
      </w:r>
      <w:r w:rsidR="004D3A04" w:rsidRPr="00B76A73">
        <w:t xml:space="preserve"> to </w:t>
      </w:r>
      <w:r w:rsidR="00DB5054">
        <w:t>4.</w:t>
      </w:r>
      <w:r w:rsidR="000D2357">
        <w:t>6</w:t>
      </w:r>
      <w:r w:rsidR="004D3A04" w:rsidRPr="00B76A73">
        <w:t xml:space="preserve">% in </w:t>
      </w:r>
      <w:r w:rsidR="000D2357">
        <w:t>June</w:t>
      </w:r>
      <w:r w:rsidR="004D3A04" w:rsidRPr="00B76A73">
        <w:t xml:space="preserve"> of 202</w:t>
      </w:r>
      <w:r w:rsidR="000D2357">
        <w:t>4</w:t>
      </w:r>
      <w:r w:rsidRPr="00B76A73">
        <w:t>.</w:t>
      </w:r>
    </w:p>
    <w:p w14:paraId="4B4FCC94" w14:textId="61B4F432" w:rsidR="00D029B3" w:rsidRPr="00B76A73" w:rsidRDefault="009E7A0A" w:rsidP="003412DA">
      <w:r w:rsidRPr="00B76A73">
        <w:t xml:space="preserve">In </w:t>
      </w:r>
      <w:r w:rsidR="00703FBD">
        <w:t>August</w:t>
      </w:r>
      <w:r w:rsidR="004564C6">
        <w:t xml:space="preserve"> 2023</w:t>
      </w:r>
      <w:r w:rsidRPr="00B76A73">
        <w:t>, n</w:t>
      </w:r>
      <w:r w:rsidR="00D029B3" w:rsidRPr="00B76A73">
        <w:t>onfarm worker quits</w:t>
      </w:r>
      <w:r w:rsidR="00D029B3" w:rsidRPr="00B76A73">
        <w:rPr>
          <w:rStyle w:val="FootnoteReference"/>
        </w:rPr>
        <w:footnoteReference w:id="20"/>
      </w:r>
      <w:r w:rsidR="00D029B3" w:rsidRPr="00B76A73">
        <w:t xml:space="preserve"> </w:t>
      </w:r>
      <w:r w:rsidR="005505E0" w:rsidRPr="00B76A73">
        <w:t xml:space="preserve">stood at </w:t>
      </w:r>
      <w:r w:rsidR="00703FBD">
        <w:t>3.6</w:t>
      </w:r>
      <w:r w:rsidR="00CE5A3E" w:rsidRPr="00B76A73">
        <w:t xml:space="preserve"> million, </w:t>
      </w:r>
      <w:r w:rsidR="00DB5054">
        <w:t xml:space="preserve">down </w:t>
      </w:r>
      <w:r w:rsidR="0077416E">
        <w:t>1</w:t>
      </w:r>
      <w:r w:rsidR="00703FBD">
        <w:t>9.1</w:t>
      </w:r>
      <w:r w:rsidR="00CE5A3E" w:rsidRPr="00B76A73">
        <w:t xml:space="preserve">% </w:t>
      </w:r>
      <w:r w:rsidR="00DB5054">
        <w:t>from their record high in</w:t>
      </w:r>
      <w:r w:rsidR="00CE5A3E" w:rsidRPr="00B76A73">
        <w:t xml:space="preserve"> </w:t>
      </w:r>
      <w:r w:rsidR="00DB5054">
        <w:t>November</w:t>
      </w:r>
      <w:r w:rsidR="00CE5A3E" w:rsidRPr="00B76A73">
        <w:t xml:space="preserve"> 2021</w:t>
      </w:r>
      <w:r w:rsidR="00B008FE">
        <w:t xml:space="preserve"> </w:t>
      </w:r>
      <w:r w:rsidR="00703FBD">
        <w:t>and coming back within 5.0%</w:t>
      </w:r>
      <w:r w:rsidR="00CE5A3E" w:rsidRPr="00B76A73">
        <w:t xml:space="preserve"> </w:t>
      </w:r>
      <w:r w:rsidR="00AE4184">
        <w:t>of its</w:t>
      </w:r>
      <w:r w:rsidR="00CE5A3E" w:rsidRPr="00B76A73">
        <w:t xml:space="preserve"> pre-pandemic level. </w:t>
      </w:r>
      <w:r w:rsidR="007E4EA0" w:rsidRPr="00C70D00">
        <w:t>Despite a</w:t>
      </w:r>
      <w:r w:rsidR="00703FBD">
        <w:t xml:space="preserve"> slight </w:t>
      </w:r>
      <w:r w:rsidR="007E4EA0" w:rsidRPr="00C70D00">
        <w:t xml:space="preserve">uptick in </w:t>
      </w:r>
      <w:r w:rsidR="00703FBD">
        <w:t>August</w:t>
      </w:r>
      <w:r w:rsidR="007E4EA0" w:rsidRPr="00C70D00">
        <w:t>, the</w:t>
      </w:r>
      <w:r w:rsidR="00CE5A3E" w:rsidRPr="00C70D00">
        <w:t xml:space="preserve"> elevated level of quits</w:t>
      </w:r>
      <w:r w:rsidR="00757148" w:rsidRPr="00C70D00">
        <w:t xml:space="preserve"> (</w:t>
      </w:r>
      <w:r w:rsidR="00CE5A3E" w:rsidRPr="00C70D00">
        <w:t>sometimes referred to as The Great Resignation</w:t>
      </w:r>
      <w:r w:rsidR="00757148" w:rsidRPr="00C70D00">
        <w:t>)</w:t>
      </w:r>
      <w:r w:rsidR="00CE5A3E" w:rsidRPr="00C70D00">
        <w:t>,</w:t>
      </w:r>
      <w:r w:rsidR="002803D6" w:rsidRPr="00C70D00">
        <w:t xml:space="preserve"> </w:t>
      </w:r>
      <w:r w:rsidR="00757148" w:rsidRPr="00C70D00">
        <w:t>which has primarily affected</w:t>
      </w:r>
      <w:r w:rsidR="00A70971" w:rsidRPr="00C70D00">
        <w:t xml:space="preserve"> the leisure and hospitality industry</w:t>
      </w:r>
      <w:r w:rsidR="00757148" w:rsidRPr="00C70D00">
        <w:t xml:space="preserve">, </w:t>
      </w:r>
      <w:r w:rsidR="000C2DE9">
        <w:t xml:space="preserve">may be </w:t>
      </w:r>
      <w:r w:rsidR="003B62E2">
        <w:t>coming to</w:t>
      </w:r>
      <w:r w:rsidR="000C2DE9">
        <w:t xml:space="preserve"> an end</w:t>
      </w:r>
      <w:r w:rsidR="00CE5A3E" w:rsidRPr="00C70D00">
        <w:t>.</w:t>
      </w:r>
      <w:r w:rsidR="00CE5A3E" w:rsidRPr="00B76A73">
        <w:t xml:space="preserve"> </w:t>
      </w:r>
      <w:r w:rsidR="000C2DE9">
        <w:t>Total quits</w:t>
      </w:r>
      <w:r w:rsidR="00757148">
        <w:t xml:space="preserve"> in the leisure and hospitality industry fell </w:t>
      </w:r>
      <w:r w:rsidR="007E4EA0">
        <w:t>9.</w:t>
      </w:r>
      <w:r w:rsidR="000C2DE9">
        <w:t>2</w:t>
      </w:r>
      <w:r w:rsidR="00757148">
        <w:t xml:space="preserve"> percentage points during the year ended </w:t>
      </w:r>
      <w:r w:rsidR="000C2DE9">
        <w:t>August</w:t>
      </w:r>
      <w:r w:rsidR="00757148">
        <w:t xml:space="preserve"> 2023. </w:t>
      </w:r>
      <w:r w:rsidR="007A4A4B" w:rsidRPr="00B76A73">
        <w:t>Job openings</w:t>
      </w:r>
      <w:r w:rsidR="007A4A4B" w:rsidRPr="00B76A73">
        <w:rPr>
          <w:rStyle w:val="FootnoteReference"/>
        </w:rPr>
        <w:footnoteReference w:id="21"/>
      </w:r>
      <w:r w:rsidR="007A4A4B" w:rsidRPr="00B76A73">
        <w:t xml:space="preserve"> totaled </w:t>
      </w:r>
      <w:r w:rsidR="00757148">
        <w:t>9.</w:t>
      </w:r>
      <w:r w:rsidR="000C2DE9">
        <w:t>6</w:t>
      </w:r>
      <w:r w:rsidR="00CE5A3E" w:rsidRPr="00B76A73">
        <w:t xml:space="preserve"> million in </w:t>
      </w:r>
      <w:r w:rsidR="000C2DE9">
        <w:t>August</w:t>
      </w:r>
      <w:r w:rsidR="00757148">
        <w:t xml:space="preserve"> 2023</w:t>
      </w:r>
      <w:r w:rsidR="00CE5A3E" w:rsidRPr="00B76A73">
        <w:t xml:space="preserve">, </w:t>
      </w:r>
      <w:r w:rsidR="00757148">
        <w:t>2</w:t>
      </w:r>
      <w:r w:rsidR="00CE5A3E" w:rsidRPr="00B76A73">
        <w:t>.</w:t>
      </w:r>
      <w:r w:rsidR="000C2DE9">
        <w:t>4</w:t>
      </w:r>
      <w:r w:rsidR="00CE5A3E" w:rsidRPr="00B76A73">
        <w:t xml:space="preserve"> million below their record high in March 2022 and 2.</w:t>
      </w:r>
      <w:r w:rsidR="000C2DE9">
        <w:t>6</w:t>
      </w:r>
      <w:r w:rsidR="00CE5A3E" w:rsidRPr="00B76A73">
        <w:t xml:space="preserve"> times the number of resignations</w:t>
      </w:r>
      <w:r w:rsidR="007A4A4B" w:rsidRPr="00B76A73">
        <w:t>.</w:t>
      </w:r>
      <w:r w:rsidR="007A4A4B" w:rsidRPr="00B76A73">
        <w:rPr>
          <w:rStyle w:val="CommentReference"/>
        </w:rPr>
        <w:t xml:space="preserve"> </w:t>
      </w:r>
    </w:p>
    <w:p w14:paraId="799A9D83" w14:textId="55AAA7CF" w:rsidR="009526E8" w:rsidRPr="00B76A73" w:rsidRDefault="005C31E9" w:rsidP="009526E8">
      <w:pPr>
        <w:jc w:val="center"/>
      </w:pPr>
      <w:r>
        <w:rPr>
          <w:noProof/>
        </w:rPr>
        <w:lastRenderedPageBreak/>
        <w:drawing>
          <wp:inline distT="0" distB="0" distL="0" distR="0" wp14:anchorId="348A5B24" wp14:editId="3A1F1663">
            <wp:extent cx="3493135" cy="2651760"/>
            <wp:effectExtent l="0" t="0" r="0" b="0"/>
            <wp:docPr id="161705398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205F54" w14:textId="5DBA5B16" w:rsidR="007A4896" w:rsidRPr="00B76A73" w:rsidRDefault="007A4896" w:rsidP="007A4896">
      <w:r w:rsidRPr="00B76A73">
        <w:t xml:space="preserve">The U-6 </w:t>
      </w:r>
      <w:r w:rsidR="00895002" w:rsidRPr="00B76A73">
        <w:t xml:space="preserve">unemployment </w:t>
      </w:r>
      <w:r w:rsidRPr="00B76A73">
        <w:t>rate</w:t>
      </w:r>
      <w:r w:rsidR="009D7CB0" w:rsidRPr="00B76A73">
        <w:rPr>
          <w:rStyle w:val="FootnoteReference"/>
        </w:rPr>
        <w:footnoteReference w:id="22"/>
      </w:r>
      <w:r w:rsidRPr="00B76A73">
        <w:t xml:space="preserve"> is an alternative measure of unemployment with a broader definition, </w:t>
      </w:r>
      <w:r w:rsidR="001F297B" w:rsidRPr="00B76A73">
        <w:t>including such groups</w:t>
      </w:r>
      <w:r w:rsidRPr="00B76A73">
        <w:t xml:space="preserve"> as discouraged workers who are not actively searching for jobs but want full-time work and part-time workers who want full-time work. The U</w:t>
      </w:r>
      <w:r w:rsidRPr="00B76A73">
        <w:noBreakHyphen/>
        <w:t xml:space="preserve">6 </w:t>
      </w:r>
      <w:r w:rsidR="00895002" w:rsidRPr="00B76A73">
        <w:t xml:space="preserve">unemployment </w:t>
      </w:r>
      <w:r w:rsidRPr="00B76A73">
        <w:t xml:space="preserve">rate </w:t>
      </w:r>
      <w:r w:rsidR="00CE5A3E" w:rsidRPr="00B76A73">
        <w:t xml:space="preserve">has generally followed the same pattern as the official </w:t>
      </w:r>
      <w:r w:rsidR="004564C6" w:rsidRPr="00B76A73">
        <w:t>rate and</w:t>
      </w:r>
      <w:r w:rsidR="00CE5A3E" w:rsidRPr="00B76A73">
        <w:t xml:space="preserve"> stood</w:t>
      </w:r>
      <w:r w:rsidR="00985656" w:rsidRPr="00B76A73">
        <w:t xml:space="preserve"> at</w:t>
      </w:r>
      <w:r w:rsidR="00CE5A3E" w:rsidRPr="00B76A73">
        <w:t xml:space="preserve"> </w:t>
      </w:r>
      <w:r w:rsidR="000C2DE9">
        <w:t>7.0</w:t>
      </w:r>
      <w:r w:rsidR="00CE5A3E" w:rsidRPr="00B76A73">
        <w:t xml:space="preserve">% in </w:t>
      </w:r>
      <w:r w:rsidR="000C2DE9">
        <w:t>September</w:t>
      </w:r>
      <w:r w:rsidR="00F86BB9">
        <w:t xml:space="preserve"> 2023</w:t>
      </w:r>
      <w:r w:rsidRPr="00B76A73">
        <w:t>.</w:t>
      </w:r>
    </w:p>
    <w:p w14:paraId="6B09010C" w14:textId="3CEEFB69" w:rsidR="007A4896" w:rsidRPr="00B76A73" w:rsidRDefault="005C31E9" w:rsidP="004846E4">
      <w:pPr>
        <w:jc w:val="center"/>
      </w:pPr>
      <w:r>
        <w:rPr>
          <w:noProof/>
        </w:rPr>
        <w:drawing>
          <wp:inline distT="0" distB="0" distL="0" distR="0" wp14:anchorId="3B3C8067" wp14:editId="500DCFF0">
            <wp:extent cx="3493135" cy="2651760"/>
            <wp:effectExtent l="0" t="0" r="0" b="0"/>
            <wp:docPr id="84282736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158EAA" w14:textId="18EA8C76" w:rsidR="003412DA" w:rsidRPr="00B76A73" w:rsidRDefault="009D7CB0" w:rsidP="00E45DC1">
      <w:r w:rsidRPr="00B76A73">
        <w:t>Nonfarm p</w:t>
      </w:r>
      <w:r w:rsidR="003412DA" w:rsidRPr="00B76A73">
        <w:t>ayrolls</w:t>
      </w:r>
      <w:r w:rsidRPr="00B76A73">
        <w:rPr>
          <w:rStyle w:val="FootnoteReference"/>
        </w:rPr>
        <w:footnoteReference w:id="23"/>
      </w:r>
      <w:r w:rsidR="003412DA" w:rsidRPr="00B76A73">
        <w:t xml:space="preserve"> </w:t>
      </w:r>
      <w:r w:rsidR="00281B1D">
        <w:t>grew</w:t>
      </w:r>
      <w:r w:rsidR="003412DA" w:rsidRPr="00B76A73">
        <w:t xml:space="preserve"> by </w:t>
      </w:r>
      <w:r w:rsidR="00A25362">
        <w:t>0.</w:t>
      </w:r>
      <w:r w:rsidR="000C2DE9">
        <w:t>8</w:t>
      </w:r>
      <w:r w:rsidR="003412DA" w:rsidRPr="00B76A73">
        <w:t xml:space="preserve"> million jobs in </w:t>
      </w:r>
      <w:r w:rsidR="008A7107" w:rsidRPr="00B76A73">
        <w:t xml:space="preserve">the </w:t>
      </w:r>
      <w:r w:rsidR="000C2DE9">
        <w:t>3</w:t>
      </w:r>
      <w:r w:rsidR="000C2DE9" w:rsidRPr="000C2DE9">
        <w:rPr>
          <w:vertAlign w:val="superscript"/>
        </w:rPr>
        <w:t>rd</w:t>
      </w:r>
      <w:r w:rsidR="000C2DE9">
        <w:t xml:space="preserve"> </w:t>
      </w:r>
      <w:r w:rsidR="008A7107" w:rsidRPr="00B76A73">
        <w:t xml:space="preserve">quarter. </w:t>
      </w:r>
      <w:r w:rsidR="00BD4FA3" w:rsidRPr="00B76A73">
        <w:t>U.S.</w:t>
      </w:r>
      <w:r w:rsidR="008A7107" w:rsidRPr="00B76A73">
        <w:t xml:space="preserve"> nonfarm payrolls </w:t>
      </w:r>
      <w:r w:rsidR="00F72263" w:rsidRPr="00B76A73">
        <w:t xml:space="preserve">in </w:t>
      </w:r>
      <w:r w:rsidR="000C2DE9">
        <w:t>September</w:t>
      </w:r>
      <w:r w:rsidR="00F86BB9">
        <w:t xml:space="preserve"> 2023</w:t>
      </w:r>
      <w:r w:rsidR="00F72263" w:rsidRPr="00B76A73">
        <w:t xml:space="preserve"> totaled</w:t>
      </w:r>
      <w:r w:rsidR="008A7107" w:rsidRPr="00B76A73">
        <w:t xml:space="preserve"> </w:t>
      </w:r>
      <w:r w:rsidR="0022416D" w:rsidRPr="00B76A73">
        <w:t>15</w:t>
      </w:r>
      <w:r w:rsidR="00281B1D">
        <w:t>6</w:t>
      </w:r>
      <w:r w:rsidR="00746558" w:rsidRPr="00B76A73">
        <w:t>.</w:t>
      </w:r>
      <w:r w:rsidR="000C2DE9">
        <w:t>9</w:t>
      </w:r>
      <w:r w:rsidR="00204969" w:rsidRPr="00B76A73">
        <w:t xml:space="preserve"> million</w:t>
      </w:r>
      <w:r w:rsidR="00175A46" w:rsidRPr="00B76A73">
        <w:t xml:space="preserve"> jobs</w:t>
      </w:r>
      <w:r w:rsidR="008A7107" w:rsidRPr="00B76A73">
        <w:t>, up</w:t>
      </w:r>
      <w:r w:rsidR="00A14C86" w:rsidRPr="00B76A73">
        <w:t xml:space="preserve"> </w:t>
      </w:r>
      <w:r w:rsidR="00281B1D">
        <w:t>3.</w:t>
      </w:r>
      <w:r w:rsidR="000C2DE9">
        <w:t>2</w:t>
      </w:r>
      <w:r w:rsidR="00A14C86" w:rsidRPr="00B76A73">
        <w:t xml:space="preserve"> million </w:t>
      </w:r>
      <w:r w:rsidR="00567138">
        <w:t xml:space="preserve">from the prior </w:t>
      </w:r>
      <w:r w:rsidR="000C2DE9">
        <w:t>September</w:t>
      </w:r>
      <w:r w:rsidR="00B46091">
        <w:t>. The jobs count also stood</w:t>
      </w:r>
      <w:r w:rsidR="00204969" w:rsidRPr="00B76A73">
        <w:t xml:space="preserve"> </w:t>
      </w:r>
      <w:r w:rsidR="000C2DE9">
        <w:t xml:space="preserve">4.5 </w:t>
      </w:r>
      <w:r w:rsidR="00567138">
        <w:t>million above</w:t>
      </w:r>
      <w:r w:rsidR="00204969" w:rsidRPr="00B76A73">
        <w:t xml:space="preserve"> </w:t>
      </w:r>
      <w:r w:rsidR="00B46091">
        <w:t>its</w:t>
      </w:r>
      <w:r w:rsidR="008A7107" w:rsidRPr="00B76A73">
        <w:t xml:space="preserve"> pre-pandemic (</w:t>
      </w:r>
      <w:r w:rsidR="00F72263" w:rsidRPr="00B76A73">
        <w:t>Feb</w:t>
      </w:r>
      <w:r w:rsidR="008A7107" w:rsidRPr="00B76A73">
        <w:t>r</w:t>
      </w:r>
      <w:r w:rsidR="00F72263" w:rsidRPr="00B76A73">
        <w:t>uary</w:t>
      </w:r>
      <w:r w:rsidR="008A7107" w:rsidRPr="00B76A73">
        <w:t xml:space="preserve"> 2020) level</w:t>
      </w:r>
      <w:r w:rsidR="00B542EC" w:rsidRPr="00B76A73">
        <w:t xml:space="preserve">. </w:t>
      </w:r>
      <w:r w:rsidR="007F3F41">
        <w:t>September’s</w:t>
      </w:r>
      <w:r w:rsidR="00E45DC1">
        <w:t xml:space="preserve"> </w:t>
      </w:r>
      <w:r w:rsidR="00C367E1">
        <w:t xml:space="preserve">strong </w:t>
      </w:r>
      <w:r w:rsidR="009E6751">
        <w:lastRenderedPageBreak/>
        <w:t>job market growt</w:t>
      </w:r>
      <w:r w:rsidR="00C367E1">
        <w:t>h outperformed expectations despite elevated interest rates and high-profile labor strikes</w:t>
      </w:r>
      <w:r w:rsidR="00B77A7E">
        <w:t>.</w:t>
      </w:r>
      <w:r w:rsidR="00E45DC1">
        <w:t xml:space="preserve"> </w:t>
      </w:r>
      <w:r w:rsidR="00C367E1">
        <w:t>September’s job gains were led by the leisure and hospitality, government, and health care industries</w:t>
      </w:r>
      <w:r w:rsidR="00E16DF8" w:rsidRPr="00B76A73">
        <w:t>.</w:t>
      </w:r>
    </w:p>
    <w:p w14:paraId="1926EEEC" w14:textId="4DC265AF" w:rsidR="0017576B" w:rsidRPr="00B76A73" w:rsidRDefault="005C31E9" w:rsidP="009526E8">
      <w:pPr>
        <w:jc w:val="center"/>
      </w:pPr>
      <w:r>
        <w:rPr>
          <w:noProof/>
        </w:rPr>
        <w:drawing>
          <wp:inline distT="0" distB="0" distL="0" distR="0" wp14:anchorId="6C7AC06B" wp14:editId="42C2FF21">
            <wp:extent cx="3877310" cy="2651760"/>
            <wp:effectExtent l="0" t="0" r="8890" b="0"/>
            <wp:docPr id="38201670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38" w14:textId="77777777" w:rsidR="00005111" w:rsidRPr="00B76A73" w:rsidRDefault="00005111" w:rsidP="001475FF">
      <w:pPr>
        <w:pStyle w:val="Heading1"/>
      </w:pPr>
      <w:r w:rsidRPr="00B76A73">
        <w:t>Inflation</w:t>
      </w:r>
    </w:p>
    <w:p w14:paraId="042F9DA5" w14:textId="76090511" w:rsidR="00FB70B1" w:rsidRDefault="00587D0C" w:rsidP="00005111">
      <w:r>
        <w:t>I</w:t>
      </w:r>
      <w:r w:rsidR="00E37D74" w:rsidRPr="00E37D74">
        <w:t xml:space="preserve">n the </w:t>
      </w:r>
      <w:r w:rsidR="009124CB">
        <w:t>3</w:t>
      </w:r>
      <w:r w:rsidR="009124CB" w:rsidRPr="009124CB">
        <w:rPr>
          <w:vertAlign w:val="superscript"/>
        </w:rPr>
        <w:t>rd</w:t>
      </w:r>
      <w:r w:rsidR="009124CB">
        <w:t xml:space="preserve"> </w:t>
      </w:r>
      <w:r w:rsidR="001E1516">
        <w:t>quarter of 2023</w:t>
      </w:r>
      <w:r w:rsidR="00E37D74" w:rsidRPr="00E37D74">
        <w:t xml:space="preserve">, </w:t>
      </w:r>
      <w:r>
        <w:t xml:space="preserve">inflation </w:t>
      </w:r>
      <w:r w:rsidR="009124CB">
        <w:t xml:space="preserve">accelerated, but </w:t>
      </w:r>
      <w:r>
        <w:t>continued to rise at a more moderate pace than much of 2021 and 2022</w:t>
      </w:r>
      <w:r w:rsidR="00C867ED">
        <w:t xml:space="preserve">. </w:t>
      </w:r>
      <w:r w:rsidR="00661AA7" w:rsidRPr="00B76A73">
        <w:t>The Consumer Price Index</w:t>
      </w:r>
      <w:r w:rsidR="009B52AF" w:rsidRPr="00B76A73">
        <w:rPr>
          <w:rStyle w:val="FootnoteReference"/>
        </w:rPr>
        <w:footnoteReference w:id="24"/>
      </w:r>
      <w:r w:rsidR="00661AA7" w:rsidRPr="00B76A73">
        <w:t xml:space="preserve"> </w:t>
      </w:r>
      <w:r w:rsidR="007A46C7">
        <w:t xml:space="preserve">for all items </w:t>
      </w:r>
      <w:r w:rsidR="004E1574" w:rsidRPr="00B76A73">
        <w:t>rose</w:t>
      </w:r>
      <w:r w:rsidR="000D4AF1" w:rsidRPr="00B76A73">
        <w:t xml:space="preserve"> </w:t>
      </w:r>
      <w:r w:rsidR="000773EC">
        <w:t>3.</w:t>
      </w:r>
      <w:r w:rsidR="009124CB">
        <w:t>7</w:t>
      </w:r>
      <w:r w:rsidR="000D4AF1" w:rsidRPr="00B76A73">
        <w:t xml:space="preserve">% year-over-year in </w:t>
      </w:r>
      <w:r w:rsidR="009124CB">
        <w:t>September</w:t>
      </w:r>
      <w:r w:rsidR="00E66555">
        <w:t xml:space="preserve"> 2023</w:t>
      </w:r>
      <w:r w:rsidR="00B36811" w:rsidRPr="00B76A73">
        <w:t xml:space="preserve">, </w:t>
      </w:r>
      <w:r w:rsidR="000F02FB" w:rsidRPr="00B76A73">
        <w:t xml:space="preserve">down from its </w:t>
      </w:r>
      <w:r w:rsidR="001E1516">
        <w:t>more-than-</w:t>
      </w:r>
      <w:r w:rsidR="000F02FB" w:rsidRPr="00B76A73">
        <w:t xml:space="preserve">40-year high of </w:t>
      </w:r>
      <w:r w:rsidR="001E1516">
        <w:t>8.9</w:t>
      </w:r>
      <w:r w:rsidR="000F02FB" w:rsidRPr="00B76A73">
        <w:t>% in June</w:t>
      </w:r>
      <w:r w:rsidR="00E66555">
        <w:t xml:space="preserve"> 2022</w:t>
      </w:r>
      <w:r w:rsidR="002E0F29" w:rsidRPr="00B76A73">
        <w:t xml:space="preserve">. </w:t>
      </w:r>
      <w:r w:rsidR="009124CB">
        <w:t xml:space="preserve">Shelter </w:t>
      </w:r>
      <w:r w:rsidR="009A3D20">
        <w:t xml:space="preserve">prices accounted for most of September’s annual increase; motor vehicle insurance, recreation, personal care, and new vehicles also contributed. Energy costs were down in September 2023 due to lower prices for natural gas and fuel oil. </w:t>
      </w:r>
      <w:r w:rsidR="002E0F29" w:rsidRPr="00B76A73">
        <w:t>Excluding volatile energy prices</w:t>
      </w:r>
      <w:r w:rsidR="00EF1F20" w:rsidRPr="00B76A73">
        <w:rPr>
          <w:rStyle w:val="FootnoteReference"/>
        </w:rPr>
        <w:footnoteReference w:id="25"/>
      </w:r>
      <w:r w:rsidR="002E0F29" w:rsidRPr="00B76A73">
        <w:t xml:space="preserve">, the </w:t>
      </w:r>
      <w:r w:rsidR="000F02FB" w:rsidRPr="00B76A73">
        <w:t>annual increase was</w:t>
      </w:r>
      <w:r w:rsidR="003A2900" w:rsidRPr="00B76A73">
        <w:t xml:space="preserve"> </w:t>
      </w:r>
      <w:r w:rsidR="009124CB">
        <w:t>4.1</w:t>
      </w:r>
      <w:r w:rsidR="00FF3D19">
        <w:t>%</w:t>
      </w:r>
      <w:r w:rsidR="000D4AF1" w:rsidRPr="00B76A73">
        <w:t xml:space="preserve">. </w:t>
      </w:r>
      <w:r w:rsidR="000F02FB" w:rsidRPr="00B76A73">
        <w:t>The average</w:t>
      </w:r>
      <w:r w:rsidR="000D4AF1" w:rsidRPr="00B76A73">
        <w:t xml:space="preserve"> price</w:t>
      </w:r>
      <w:r w:rsidR="005C22CA" w:rsidRPr="00B76A73">
        <w:t xml:space="preserve"> of a gallon of gas</w:t>
      </w:r>
      <w:r w:rsidR="003A2900" w:rsidRPr="00B76A73">
        <w:rPr>
          <w:rStyle w:val="FootnoteReference"/>
        </w:rPr>
        <w:footnoteReference w:id="26"/>
      </w:r>
      <w:r w:rsidR="005C22CA" w:rsidRPr="00B76A73">
        <w:t xml:space="preserve"> </w:t>
      </w:r>
      <w:r w:rsidR="000F02FB" w:rsidRPr="00B76A73">
        <w:t xml:space="preserve">in the U.S. </w:t>
      </w:r>
      <w:r w:rsidR="009A3D20">
        <w:t>rose to</w:t>
      </w:r>
      <w:r w:rsidR="003B3369">
        <w:t xml:space="preserve"> $3.</w:t>
      </w:r>
      <w:r w:rsidR="009124CB">
        <w:t>99</w:t>
      </w:r>
      <w:r w:rsidR="003B3369">
        <w:t xml:space="preserve"> in </w:t>
      </w:r>
      <w:r w:rsidR="009124CB">
        <w:t>September</w:t>
      </w:r>
      <w:r w:rsidR="007C25F4">
        <w:t xml:space="preserve"> 2023</w:t>
      </w:r>
      <w:r w:rsidR="003B3369">
        <w:t xml:space="preserve">, </w:t>
      </w:r>
      <w:r w:rsidR="009577F1">
        <w:t>up 1</w:t>
      </w:r>
      <w:r w:rsidR="009124CB">
        <w:t>8.8</w:t>
      </w:r>
      <w:r w:rsidR="009577F1">
        <w:t>% from its December 20</w:t>
      </w:r>
      <w:r w:rsidR="009124CB">
        <w:t>2</w:t>
      </w:r>
      <w:r w:rsidR="009577F1">
        <w:t xml:space="preserve">2 trough but still </w:t>
      </w:r>
      <w:r w:rsidR="00C24FE2">
        <w:t>2</w:t>
      </w:r>
      <w:r w:rsidR="009124CB">
        <w:t>1.2</w:t>
      </w:r>
      <w:r w:rsidR="003B3369">
        <w:t xml:space="preserve">% lower than </w:t>
      </w:r>
      <w:r w:rsidR="009577F1">
        <w:t>its</w:t>
      </w:r>
      <w:r w:rsidR="003B3369">
        <w:t xml:space="preserve"> record</w:t>
      </w:r>
      <w:r w:rsidR="009577F1">
        <w:t xml:space="preserve"> </w:t>
      </w:r>
      <w:r w:rsidR="003B3369">
        <w:t>high</w:t>
      </w:r>
      <w:r w:rsidR="009577F1">
        <w:t xml:space="preserve"> of</w:t>
      </w:r>
      <w:r w:rsidR="003B3369">
        <w:t xml:space="preserve"> $5.06 in June</w:t>
      </w:r>
      <w:r w:rsidR="007C25F4">
        <w:t xml:space="preserve"> 2022</w:t>
      </w:r>
      <w:r w:rsidR="008B3356" w:rsidRPr="00B76A73">
        <w:t>.</w:t>
      </w:r>
    </w:p>
    <w:p w14:paraId="52A0C1E8" w14:textId="4D50CBFF" w:rsidR="00176F91" w:rsidRPr="00B76A73" w:rsidRDefault="000F02FB" w:rsidP="00005111">
      <w:r w:rsidRPr="00B76A73">
        <w:t xml:space="preserve">In the month of </w:t>
      </w:r>
      <w:r w:rsidR="009124CB">
        <w:t>September</w:t>
      </w:r>
      <w:r w:rsidR="007C25F4">
        <w:t xml:space="preserve"> 2023</w:t>
      </w:r>
      <w:r w:rsidRPr="00B76A73">
        <w:t xml:space="preserve">, </w:t>
      </w:r>
      <w:r w:rsidR="007C25F4">
        <w:t>higher prices</w:t>
      </w:r>
      <w:r w:rsidR="004335C3">
        <w:t xml:space="preserve"> for shelter</w:t>
      </w:r>
      <w:r w:rsidR="00D072A9">
        <w:t xml:space="preserve"> </w:t>
      </w:r>
      <w:r w:rsidR="00F33A6B">
        <w:t xml:space="preserve">and motor vehicle insurance </w:t>
      </w:r>
      <w:r w:rsidR="007C25F4">
        <w:t xml:space="preserve">led the </w:t>
      </w:r>
      <w:r w:rsidR="009A3D20">
        <w:t xml:space="preserve">increase in the </w:t>
      </w:r>
      <w:r w:rsidR="007C25F4">
        <w:t>consumer price index</w:t>
      </w:r>
      <w:r w:rsidR="00156E24" w:rsidRPr="00B76A73">
        <w:t>.</w:t>
      </w:r>
      <w:r w:rsidR="000D76D6">
        <w:t xml:space="preserve"> </w:t>
      </w:r>
      <w:r w:rsidR="009A3D20">
        <w:t>G</w:t>
      </w:r>
      <w:r w:rsidR="00EE7EE8">
        <w:t>asoline</w:t>
      </w:r>
      <w:r w:rsidR="009A3D20">
        <w:t>,</w:t>
      </w:r>
      <w:r w:rsidR="00EE7EE8">
        <w:t xml:space="preserve"> electricity</w:t>
      </w:r>
      <w:r w:rsidR="009A3D20">
        <w:t>, and fuel oil</w:t>
      </w:r>
      <w:r w:rsidR="00EE7EE8">
        <w:t xml:space="preserve"> </w:t>
      </w:r>
      <w:r w:rsidR="006B48FA">
        <w:t xml:space="preserve">costs </w:t>
      </w:r>
      <w:r w:rsidR="009A3D20">
        <w:t>rose in September,</w:t>
      </w:r>
      <w:r w:rsidR="006B48FA">
        <w:t xml:space="preserve"> but natural gas </w:t>
      </w:r>
      <w:r w:rsidR="009A3D20">
        <w:t>prices fell</w:t>
      </w:r>
      <w:r w:rsidR="000D76D6">
        <w:t>.</w:t>
      </w:r>
      <w:r w:rsidR="00156E24" w:rsidRPr="00B76A73">
        <w:t xml:space="preserve"> </w:t>
      </w:r>
      <w:r w:rsidR="000D4AF1" w:rsidRPr="00B76A73">
        <w:t>The Federal Reserve</w:t>
      </w:r>
      <w:r w:rsidR="00350673" w:rsidRPr="00B76A73">
        <w:t xml:space="preserve"> has </w:t>
      </w:r>
      <w:r w:rsidRPr="00B76A73">
        <w:t>been</w:t>
      </w:r>
      <w:r w:rsidR="00350673" w:rsidRPr="00B76A73">
        <w:t xml:space="preserve"> taking </w:t>
      </w:r>
      <w:r w:rsidR="007C25F4">
        <w:t xml:space="preserve">aggressive </w:t>
      </w:r>
      <w:r w:rsidR="00350673" w:rsidRPr="00B76A73">
        <w:t>action to curb inflatio</w:t>
      </w:r>
      <w:r w:rsidR="00F151F3" w:rsidRPr="00B76A73">
        <w:t xml:space="preserve">n </w:t>
      </w:r>
      <w:r w:rsidRPr="00B76A73">
        <w:t xml:space="preserve">with a series of target interest rate hikes totaling </w:t>
      </w:r>
      <w:r w:rsidR="000D76D6">
        <w:t>5.</w:t>
      </w:r>
      <w:r w:rsidR="009A3D20">
        <w:t>25</w:t>
      </w:r>
      <w:r w:rsidR="00091209" w:rsidRPr="00B76A73">
        <w:t xml:space="preserve"> percentage points</w:t>
      </w:r>
      <w:r w:rsidRPr="00B76A73">
        <w:t xml:space="preserve"> since March 2022</w:t>
      </w:r>
      <w:r w:rsidR="007C25F4">
        <w:t xml:space="preserve">. </w:t>
      </w:r>
      <w:r w:rsidR="000D76D6">
        <w:t>T</w:t>
      </w:r>
      <w:r w:rsidR="007C25F4">
        <w:t>he Fed</w:t>
      </w:r>
      <w:r w:rsidR="00924581">
        <w:t xml:space="preserve"> </w:t>
      </w:r>
      <w:r w:rsidR="009A3D20">
        <w:t xml:space="preserve">held </w:t>
      </w:r>
      <w:r w:rsidR="00924581">
        <w:t xml:space="preserve">its target rate </w:t>
      </w:r>
      <w:r w:rsidR="009A3D20">
        <w:t>steady</w:t>
      </w:r>
      <w:r w:rsidR="007C25F4">
        <w:t xml:space="preserve"> </w:t>
      </w:r>
      <w:r w:rsidR="009A3D20">
        <w:t>in Septembe</w:t>
      </w:r>
      <w:r w:rsidR="00924581">
        <w:t>r but offered little clarity on future rate hikes in 2023</w:t>
      </w:r>
      <w:r w:rsidR="007C25F4">
        <w:t>.</w:t>
      </w:r>
    </w:p>
    <w:p w14:paraId="3ED812A9" w14:textId="2258C2F9" w:rsidR="00176F91" w:rsidRPr="00B76A73" w:rsidRDefault="005C31E9" w:rsidP="009526E8">
      <w:pPr>
        <w:jc w:val="center"/>
      </w:pPr>
      <w:r>
        <w:rPr>
          <w:noProof/>
        </w:rPr>
        <w:lastRenderedPageBreak/>
        <w:drawing>
          <wp:inline distT="0" distB="0" distL="0" distR="0" wp14:anchorId="77ECCD00" wp14:editId="426B1D88">
            <wp:extent cx="3499485" cy="2651760"/>
            <wp:effectExtent l="0" t="0" r="5715" b="0"/>
            <wp:docPr id="122324696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3E" w14:textId="531462C6" w:rsidR="00A11CAC" w:rsidRPr="00B76A73" w:rsidRDefault="005B67F4" w:rsidP="006F7FB2">
      <w:r>
        <w:t xml:space="preserve">Wholesale inflation has been quicker to regulate than consumer inflation. </w:t>
      </w:r>
      <w:r w:rsidR="00A17C3A" w:rsidRPr="00B76A73">
        <w:t>The Producer Price Index</w:t>
      </w:r>
      <w:r w:rsidR="009B52AF" w:rsidRPr="00B76A73">
        <w:rPr>
          <w:rStyle w:val="FootnoteReference"/>
        </w:rPr>
        <w:footnoteReference w:id="27"/>
      </w:r>
      <w:r w:rsidR="00A17C3A" w:rsidRPr="00B76A73">
        <w:t xml:space="preserve"> </w:t>
      </w:r>
      <w:r w:rsidR="00924581">
        <w:t>rose</w:t>
      </w:r>
      <w:r w:rsidR="00E37D74">
        <w:t xml:space="preserve"> </w:t>
      </w:r>
      <w:r w:rsidR="00924581">
        <w:t>2.1</w:t>
      </w:r>
      <w:r w:rsidR="00A94F52" w:rsidRPr="00B76A73">
        <w:t xml:space="preserve">% in </w:t>
      </w:r>
      <w:r w:rsidR="009C2041">
        <w:t xml:space="preserve">the </w:t>
      </w:r>
      <w:r w:rsidR="00924581">
        <w:t>3</w:t>
      </w:r>
      <w:r w:rsidR="00924581" w:rsidRPr="00924581">
        <w:rPr>
          <w:vertAlign w:val="superscript"/>
        </w:rPr>
        <w:t>rd</w:t>
      </w:r>
      <w:r w:rsidR="00332C5D">
        <w:t xml:space="preserve"> </w:t>
      </w:r>
      <w:r w:rsidR="009C2041">
        <w:t>quarter</w:t>
      </w:r>
      <w:r w:rsidR="004940F1" w:rsidRPr="00B76A73">
        <w:t xml:space="preserve"> </w:t>
      </w:r>
      <w:r w:rsidR="00924581">
        <w:t>but fell 3.3</w:t>
      </w:r>
      <w:r w:rsidR="00235B28" w:rsidRPr="00B76A73">
        <w:t xml:space="preserve">% </w:t>
      </w:r>
      <w:r w:rsidR="00B5639B">
        <w:t>since</w:t>
      </w:r>
      <w:r w:rsidR="00235B28" w:rsidRPr="00B76A73">
        <w:t xml:space="preserve"> </w:t>
      </w:r>
      <w:r w:rsidR="00924581">
        <w:t>September</w:t>
      </w:r>
      <w:r w:rsidR="00B5639B">
        <w:t xml:space="preserve"> 2022. T</w:t>
      </w:r>
      <w:r w:rsidR="00235B28" w:rsidRPr="00B76A73">
        <w:t>he average annual increase over the last 30 years</w:t>
      </w:r>
      <w:r w:rsidR="00B5639B">
        <w:t xml:space="preserve"> was </w:t>
      </w:r>
      <w:r w:rsidR="00B9425C">
        <w:t>2.</w:t>
      </w:r>
      <w:r w:rsidR="00924581">
        <w:t>8</w:t>
      </w:r>
      <w:r w:rsidR="00B9425C">
        <w:t>%</w:t>
      </w:r>
      <w:r w:rsidR="00235B28" w:rsidRPr="00B76A73">
        <w:t>.</w:t>
      </w:r>
      <w:r w:rsidR="00332C5D">
        <w:t xml:space="preserve"> </w:t>
      </w:r>
    </w:p>
    <w:p w14:paraId="149D5F40" w14:textId="049C8A4B" w:rsidR="00B94E68" w:rsidRPr="00B76A73" w:rsidRDefault="005C31E9" w:rsidP="00166C08">
      <w:pPr>
        <w:jc w:val="center"/>
      </w:pPr>
      <w:r>
        <w:rPr>
          <w:noProof/>
        </w:rPr>
        <w:drawing>
          <wp:inline distT="0" distB="0" distL="0" distR="0" wp14:anchorId="5715F562" wp14:editId="2D8FE6F8">
            <wp:extent cx="3493135" cy="2651760"/>
            <wp:effectExtent l="0" t="0" r="0" b="0"/>
            <wp:docPr id="156947902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137979" w14:textId="602BDBD7" w:rsidR="00661AA7" w:rsidRPr="00B76A73" w:rsidRDefault="00661AA7" w:rsidP="00661AA7">
      <w:pPr>
        <w:rPr>
          <w:color w:val="000000" w:themeColor="text1"/>
        </w:rPr>
      </w:pPr>
      <w:r w:rsidRPr="00B76A73">
        <w:rPr>
          <w:color w:val="000000" w:themeColor="text1"/>
        </w:rPr>
        <w:t xml:space="preserve">The 5-year </w:t>
      </w:r>
      <w:r w:rsidR="00031DA4" w:rsidRPr="00B76A73">
        <w:rPr>
          <w:color w:val="000000" w:themeColor="text1"/>
        </w:rPr>
        <w:t>breakeven</w:t>
      </w:r>
      <w:r w:rsidRPr="00B76A73">
        <w:rPr>
          <w:color w:val="000000" w:themeColor="text1"/>
        </w:rPr>
        <w:t xml:space="preserve"> inflation rate</w:t>
      </w:r>
      <w:r w:rsidRPr="00B76A73">
        <w:rPr>
          <w:rStyle w:val="FootnoteReference"/>
          <w:color w:val="000000" w:themeColor="text1"/>
        </w:rPr>
        <w:footnoteReference w:id="28"/>
      </w:r>
      <w:r w:rsidRPr="00B76A73">
        <w:rPr>
          <w:color w:val="000000" w:themeColor="text1"/>
        </w:rPr>
        <w:t xml:space="preserve">, an indicator for the market’s inflation expectations for the period, </w:t>
      </w:r>
      <w:r w:rsidR="00924581">
        <w:rPr>
          <w:color w:val="000000" w:themeColor="text1"/>
        </w:rPr>
        <w:t>rose</w:t>
      </w:r>
      <w:r w:rsidR="00B92E54" w:rsidRPr="00B76A73">
        <w:rPr>
          <w:color w:val="000000" w:themeColor="text1"/>
        </w:rPr>
        <w:t xml:space="preserve"> </w:t>
      </w:r>
      <w:r w:rsidR="00502627">
        <w:rPr>
          <w:color w:val="000000" w:themeColor="text1"/>
        </w:rPr>
        <w:t>to</w:t>
      </w:r>
      <w:r w:rsidR="00502627" w:rsidRPr="00B76A73">
        <w:rPr>
          <w:color w:val="000000" w:themeColor="text1"/>
        </w:rPr>
        <w:t xml:space="preserve"> 2.</w:t>
      </w:r>
      <w:r w:rsidR="00924581">
        <w:rPr>
          <w:color w:val="000000" w:themeColor="text1"/>
        </w:rPr>
        <w:t>22</w:t>
      </w:r>
      <w:r w:rsidR="00502627" w:rsidRPr="00B76A73">
        <w:rPr>
          <w:color w:val="000000" w:themeColor="text1"/>
        </w:rPr>
        <w:t xml:space="preserve">% </w:t>
      </w:r>
      <w:r w:rsidR="00502627">
        <w:rPr>
          <w:color w:val="000000" w:themeColor="text1"/>
        </w:rPr>
        <w:t>at the end of the</w:t>
      </w:r>
      <w:r w:rsidR="00502627" w:rsidRPr="00B76A73">
        <w:rPr>
          <w:color w:val="000000" w:themeColor="text1"/>
        </w:rPr>
        <w:t xml:space="preserve"> </w:t>
      </w:r>
      <w:r w:rsidR="00924581">
        <w:rPr>
          <w:color w:val="000000" w:themeColor="text1"/>
        </w:rPr>
        <w:t>3</w:t>
      </w:r>
      <w:r w:rsidR="00924581" w:rsidRPr="00924581">
        <w:rPr>
          <w:color w:val="000000" w:themeColor="text1"/>
          <w:vertAlign w:val="superscript"/>
        </w:rPr>
        <w:t>rd</w:t>
      </w:r>
      <w:r w:rsidR="00924581">
        <w:rPr>
          <w:color w:val="000000" w:themeColor="text1"/>
        </w:rPr>
        <w:t xml:space="preserve"> </w:t>
      </w:r>
      <w:r w:rsidR="00502627" w:rsidRPr="00B76A73">
        <w:rPr>
          <w:color w:val="000000" w:themeColor="text1"/>
        </w:rPr>
        <w:t xml:space="preserve">quarter </w:t>
      </w:r>
      <w:r w:rsidR="00D8327E" w:rsidRPr="00B76A73">
        <w:rPr>
          <w:color w:val="000000" w:themeColor="text1"/>
        </w:rPr>
        <w:t xml:space="preserve">from </w:t>
      </w:r>
      <w:r w:rsidR="00AD19F0">
        <w:rPr>
          <w:color w:val="000000" w:themeColor="text1"/>
        </w:rPr>
        <w:t>2.</w:t>
      </w:r>
      <w:r w:rsidR="00924581">
        <w:rPr>
          <w:color w:val="000000" w:themeColor="text1"/>
        </w:rPr>
        <w:t>18</w:t>
      </w:r>
      <w:r w:rsidR="00D44E28" w:rsidRPr="00B76A73">
        <w:rPr>
          <w:color w:val="000000" w:themeColor="text1"/>
        </w:rPr>
        <w:t xml:space="preserve">% </w:t>
      </w:r>
      <w:r w:rsidR="00502627">
        <w:rPr>
          <w:color w:val="000000" w:themeColor="text1"/>
        </w:rPr>
        <w:t xml:space="preserve">at the end of the </w:t>
      </w:r>
      <w:r w:rsidR="00924581">
        <w:rPr>
          <w:color w:val="000000" w:themeColor="text1"/>
        </w:rPr>
        <w:t>2</w:t>
      </w:r>
      <w:r w:rsidR="00924581" w:rsidRPr="00924581">
        <w:rPr>
          <w:color w:val="000000" w:themeColor="text1"/>
          <w:vertAlign w:val="superscript"/>
        </w:rPr>
        <w:t>nd</w:t>
      </w:r>
      <w:r w:rsidR="00924581">
        <w:rPr>
          <w:color w:val="000000" w:themeColor="text1"/>
        </w:rPr>
        <w:t xml:space="preserve"> </w:t>
      </w:r>
      <w:r w:rsidR="002A496C">
        <w:rPr>
          <w:color w:val="000000" w:themeColor="text1"/>
        </w:rPr>
        <w:t>quarter</w:t>
      </w:r>
      <w:r w:rsidR="00AD19F0">
        <w:rPr>
          <w:color w:val="000000" w:themeColor="text1"/>
        </w:rPr>
        <w:t xml:space="preserve"> 202</w:t>
      </w:r>
      <w:r w:rsidR="005B67F4">
        <w:rPr>
          <w:color w:val="000000" w:themeColor="text1"/>
        </w:rPr>
        <w:t>3</w:t>
      </w:r>
      <w:r w:rsidR="002A496C">
        <w:rPr>
          <w:color w:val="000000" w:themeColor="text1"/>
        </w:rPr>
        <w:t>.</w:t>
      </w:r>
    </w:p>
    <w:p w14:paraId="2FA7F119" w14:textId="1485E2C1" w:rsidR="00A83597" w:rsidRPr="00B76A73" w:rsidRDefault="005C31E9" w:rsidP="00A83597">
      <w:pPr>
        <w:jc w:val="center"/>
      </w:pPr>
      <w:r>
        <w:rPr>
          <w:noProof/>
        </w:rPr>
        <w:lastRenderedPageBreak/>
        <w:drawing>
          <wp:inline distT="0" distB="0" distL="0" distR="0" wp14:anchorId="6AD3D895" wp14:editId="7FEF25B1">
            <wp:extent cx="3493135" cy="2651760"/>
            <wp:effectExtent l="0" t="0" r="0" b="0"/>
            <wp:docPr id="164308132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1A6E5E" w14:textId="4B184720" w:rsidR="00F03302" w:rsidRPr="00B76A73" w:rsidRDefault="0074137C" w:rsidP="00A83597">
      <w:r w:rsidRPr="00B76A73">
        <w:t>U.S. crude oil</w:t>
      </w:r>
      <w:r w:rsidRPr="00B76A73">
        <w:rPr>
          <w:rStyle w:val="FootnoteReference"/>
        </w:rPr>
        <w:footnoteReference w:id="29"/>
      </w:r>
      <w:r w:rsidRPr="00B76A73">
        <w:t xml:space="preserve"> </w:t>
      </w:r>
      <w:r w:rsidR="00660C7A" w:rsidRPr="00B76A73">
        <w:t xml:space="preserve">prices </w:t>
      </w:r>
      <w:r w:rsidR="00924581">
        <w:t xml:space="preserve">rose in the third quarter, as domestic inventories </w:t>
      </w:r>
      <w:r w:rsidR="00270E9D">
        <w:t xml:space="preserve">at a key storage hub </w:t>
      </w:r>
      <w:r w:rsidR="00924581">
        <w:t xml:space="preserve">fell </w:t>
      </w:r>
      <w:r w:rsidR="00270E9D">
        <w:t>close to their operational minimum</w:t>
      </w:r>
      <w:r w:rsidR="00374F21">
        <w:t>.</w:t>
      </w:r>
      <w:r w:rsidR="00270E9D">
        <w:t xml:space="preserve"> OPEC+ production cuts have triggered a global deficit, and key suppliers such as Saudi Arabia and Russia have pledged to continue restricting production through the end of 2023. </w:t>
      </w:r>
      <w:r w:rsidR="00B6639B" w:rsidRPr="00B76A73">
        <w:t xml:space="preserve">Crude prices ended the </w:t>
      </w:r>
      <w:r w:rsidR="00924581">
        <w:t>3</w:t>
      </w:r>
      <w:r w:rsidR="00924581" w:rsidRPr="00924581">
        <w:rPr>
          <w:vertAlign w:val="superscript"/>
        </w:rPr>
        <w:t>rd</w:t>
      </w:r>
      <w:r w:rsidR="00924581">
        <w:t xml:space="preserve"> </w:t>
      </w:r>
      <w:r w:rsidR="00A43008" w:rsidRPr="00B76A73">
        <w:t>quarter</w:t>
      </w:r>
      <w:r w:rsidR="00F03302" w:rsidRPr="00B76A73">
        <w:t xml:space="preserve"> at </w:t>
      </w:r>
      <w:r w:rsidRPr="00B76A73">
        <w:t>$</w:t>
      </w:r>
      <w:r w:rsidR="00924581">
        <w:t>90</w:t>
      </w:r>
      <w:r w:rsidR="00AD19F0">
        <w:t>.</w:t>
      </w:r>
      <w:r w:rsidR="00924581">
        <w:t>77</w:t>
      </w:r>
      <w:r w:rsidRPr="00B76A73">
        <w:t xml:space="preserve"> </w:t>
      </w:r>
      <w:r w:rsidR="00F03302" w:rsidRPr="00B76A73">
        <w:t>per barrel</w:t>
      </w:r>
      <w:r w:rsidR="00B6639B" w:rsidRPr="00B76A73">
        <w:t xml:space="preserve">, </w:t>
      </w:r>
      <w:r w:rsidR="00924581">
        <w:t>up 28.5</w:t>
      </w:r>
      <w:r w:rsidR="00B6639B" w:rsidRPr="00B76A73">
        <w:t xml:space="preserve">% </w:t>
      </w:r>
      <w:r w:rsidR="00AD19F0">
        <w:t>from</w:t>
      </w:r>
      <w:r w:rsidR="00B6639B" w:rsidRPr="00B76A73">
        <w:t xml:space="preserve"> </w:t>
      </w:r>
      <w:r w:rsidR="00AD19F0">
        <w:t xml:space="preserve">the prior quarter and </w:t>
      </w:r>
      <w:r w:rsidR="00924581">
        <w:t>13.6</w:t>
      </w:r>
      <w:r w:rsidR="00AD19F0">
        <w:t>% over one year</w:t>
      </w:r>
      <w:r w:rsidR="002E3E26" w:rsidRPr="00B76A73">
        <w:t xml:space="preserve">. </w:t>
      </w:r>
    </w:p>
    <w:p w14:paraId="51050840" w14:textId="183E7279" w:rsidR="00F03302" w:rsidRPr="00B76A73" w:rsidRDefault="005C31E9" w:rsidP="00166C08">
      <w:pPr>
        <w:jc w:val="center"/>
      </w:pPr>
      <w:r>
        <w:rPr>
          <w:noProof/>
        </w:rPr>
        <w:drawing>
          <wp:inline distT="0" distB="0" distL="0" distR="0" wp14:anchorId="3643C444" wp14:editId="54D8B256">
            <wp:extent cx="3609340" cy="2651760"/>
            <wp:effectExtent l="0" t="0" r="0" b="0"/>
            <wp:docPr id="35275463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41" w14:textId="77777777" w:rsidR="00005111" w:rsidRPr="00B76A73" w:rsidRDefault="00005111" w:rsidP="001475FF">
      <w:pPr>
        <w:pStyle w:val="Heading1"/>
      </w:pPr>
      <w:r w:rsidRPr="00B76A73">
        <w:t>Housing</w:t>
      </w:r>
    </w:p>
    <w:p w14:paraId="7135DBE1" w14:textId="63979872" w:rsidR="00A96A6A" w:rsidRPr="00B76A73" w:rsidRDefault="00A141EE">
      <w:r w:rsidRPr="00973D0F">
        <w:t xml:space="preserve">High interest rates and a lack of available inventory </w:t>
      </w:r>
      <w:r w:rsidR="00973D0F" w:rsidRPr="00973D0F">
        <w:t>continued to</w:t>
      </w:r>
      <w:r w:rsidRPr="00973D0F">
        <w:t xml:space="preserve"> plague the housing market in the </w:t>
      </w:r>
      <w:r w:rsidR="00973D0F" w:rsidRPr="00973D0F">
        <w:t>3</w:t>
      </w:r>
      <w:r w:rsidR="00973D0F" w:rsidRPr="00973D0F">
        <w:rPr>
          <w:vertAlign w:val="superscript"/>
        </w:rPr>
        <w:t>rd</w:t>
      </w:r>
      <w:r w:rsidR="00973D0F" w:rsidRPr="00973D0F">
        <w:t xml:space="preserve"> quarter</w:t>
      </w:r>
      <w:r w:rsidRPr="00973D0F">
        <w:t xml:space="preserve"> of 2023</w:t>
      </w:r>
      <w:r w:rsidR="00E82192" w:rsidRPr="00973D0F">
        <w:t xml:space="preserve">. </w:t>
      </w:r>
      <w:r w:rsidR="00C50377" w:rsidRPr="00C50377">
        <w:t>Home prices in major cities continued to rise</w:t>
      </w:r>
      <w:r w:rsidR="00C50377">
        <w:t xml:space="preserve"> overall</w:t>
      </w:r>
      <w:r w:rsidR="00C50377" w:rsidRPr="00C50377">
        <w:t xml:space="preserve">, </w:t>
      </w:r>
      <w:r w:rsidR="00C50377">
        <w:t>but</w:t>
      </w:r>
      <w:r w:rsidR="00C50377" w:rsidRPr="00C50377">
        <w:t xml:space="preserve"> results</w:t>
      </w:r>
      <w:r w:rsidR="00C50377">
        <w:t xml:space="preserve"> were mixed regionally</w:t>
      </w:r>
      <w:r w:rsidR="00370D64" w:rsidRPr="00C50377">
        <w:t xml:space="preserve">. </w:t>
      </w:r>
      <w:r w:rsidR="00370D64" w:rsidRPr="00973D0F">
        <w:t xml:space="preserve">Home sales continued to slide as mortgage rates </w:t>
      </w:r>
      <w:r w:rsidR="00973D0F" w:rsidRPr="00973D0F">
        <w:t xml:space="preserve">reached a nearly-23-year </w:t>
      </w:r>
      <w:r w:rsidR="00973D0F" w:rsidRPr="00973D0F">
        <w:lastRenderedPageBreak/>
        <w:t>high</w:t>
      </w:r>
      <w:r w:rsidR="00D413F8" w:rsidRPr="00973D0F">
        <w:t xml:space="preserve">. </w:t>
      </w:r>
      <w:r w:rsidR="003F007D" w:rsidRPr="00973D0F">
        <w:t>New</w:t>
      </w:r>
      <w:r w:rsidR="00B0395F" w:rsidRPr="00973D0F">
        <w:t xml:space="preserve"> home</w:t>
      </w:r>
      <w:r w:rsidR="00B0395F" w:rsidRPr="00B76A73">
        <w:t xml:space="preserve"> starts</w:t>
      </w:r>
      <w:r w:rsidR="00C828B0" w:rsidRPr="00B76A73">
        <w:rPr>
          <w:rStyle w:val="FootnoteReference"/>
        </w:rPr>
        <w:footnoteReference w:id="30"/>
      </w:r>
      <w:r w:rsidR="00B0395F" w:rsidRPr="00B76A73">
        <w:t xml:space="preserve"> </w:t>
      </w:r>
      <w:r w:rsidR="00845B35">
        <w:t>fell</w:t>
      </w:r>
      <w:r w:rsidR="00306EFA">
        <w:t xml:space="preserve"> </w:t>
      </w:r>
      <w:r w:rsidR="00845B35">
        <w:t>4.2</w:t>
      </w:r>
      <w:r w:rsidR="00306EFA">
        <w:t xml:space="preserve">% during the </w:t>
      </w:r>
      <w:r w:rsidR="00845B35">
        <w:t>3</w:t>
      </w:r>
      <w:r w:rsidR="00845B35" w:rsidRPr="00845B35">
        <w:rPr>
          <w:vertAlign w:val="superscript"/>
        </w:rPr>
        <w:t>rd</w:t>
      </w:r>
      <w:r w:rsidR="00845B35">
        <w:t xml:space="preserve"> </w:t>
      </w:r>
      <w:r w:rsidR="00306EFA">
        <w:t>quarter</w:t>
      </w:r>
      <w:r w:rsidR="00F13C1C" w:rsidRPr="00B76A73">
        <w:t xml:space="preserve"> to</w:t>
      </w:r>
      <w:r w:rsidR="00BC04D5" w:rsidRPr="00B76A73">
        <w:t xml:space="preserve"> </w:t>
      </w:r>
      <w:r w:rsidR="00306EFA">
        <w:t xml:space="preserve">a level of </w:t>
      </w:r>
      <w:r w:rsidR="00BC04D5" w:rsidRPr="00B76A73">
        <w:t>1.</w:t>
      </w:r>
      <w:r w:rsidR="0052479C">
        <w:t>3</w:t>
      </w:r>
      <w:r w:rsidR="00845B35">
        <w:t>6</w:t>
      </w:r>
      <w:r w:rsidR="003F007D" w:rsidRPr="00B76A73">
        <w:t xml:space="preserve"> </w:t>
      </w:r>
      <w:r w:rsidR="00B0395F" w:rsidRPr="00B76A73">
        <w:t>million</w:t>
      </w:r>
      <w:r w:rsidR="00675122" w:rsidRPr="00B76A73">
        <w:t xml:space="preserve"> in </w:t>
      </w:r>
      <w:r w:rsidR="00845B35">
        <w:t>September</w:t>
      </w:r>
      <w:r w:rsidR="00CC1275" w:rsidRPr="00B76A73">
        <w:t>;</w:t>
      </w:r>
      <w:r w:rsidR="002B6581">
        <w:t xml:space="preserve"> the </w:t>
      </w:r>
      <w:r w:rsidR="00845B35">
        <w:t>decrease</w:t>
      </w:r>
      <w:r w:rsidR="002B6581">
        <w:t xml:space="preserve"> was concentrated </w:t>
      </w:r>
      <w:r w:rsidR="00845B35">
        <w:t>among</w:t>
      </w:r>
      <w:r w:rsidR="00CC1275" w:rsidRPr="00B76A73">
        <w:t xml:space="preserve"> </w:t>
      </w:r>
      <w:r w:rsidR="008B088E" w:rsidRPr="00B76A73">
        <w:t>multifamily buildings with 5 or more units</w:t>
      </w:r>
      <w:r w:rsidR="00845B35">
        <w:t>; single-family home starts rose modestly over the quarter</w:t>
      </w:r>
      <w:r w:rsidR="00341282" w:rsidRPr="00B76A73">
        <w:t xml:space="preserve">. </w:t>
      </w:r>
      <w:r w:rsidR="00894434" w:rsidRPr="00B76A73">
        <w:t xml:space="preserve">Total new home starts were </w:t>
      </w:r>
      <w:r w:rsidR="00306EFA">
        <w:t xml:space="preserve">down </w:t>
      </w:r>
      <w:r w:rsidR="00845B35">
        <w:t>7.2</w:t>
      </w:r>
      <w:r w:rsidR="005D3FB8" w:rsidRPr="00B76A73">
        <w:t xml:space="preserve">% </w:t>
      </w:r>
      <w:r w:rsidR="009C2041">
        <w:t>year-over</w:t>
      </w:r>
      <w:r w:rsidR="0052479C">
        <w:t>-</w:t>
      </w:r>
      <w:r w:rsidR="005D3FB8" w:rsidRPr="00B76A73">
        <w:t>year</w:t>
      </w:r>
      <w:r w:rsidR="00306EFA">
        <w:t xml:space="preserve"> but</w:t>
      </w:r>
      <w:r w:rsidR="00835D9E" w:rsidRPr="00B76A73">
        <w:t xml:space="preserve"> </w:t>
      </w:r>
      <w:r w:rsidR="00306EFA">
        <w:t xml:space="preserve">remained </w:t>
      </w:r>
      <w:r w:rsidR="005D3FB8" w:rsidRPr="00B76A73">
        <w:t>above their 30-year average of 1.3</w:t>
      </w:r>
      <w:r w:rsidR="00306EFA">
        <w:t>4</w:t>
      </w:r>
      <w:r w:rsidR="005D3FB8" w:rsidRPr="00B76A73">
        <w:t xml:space="preserve"> million.</w:t>
      </w:r>
      <w:r w:rsidR="00D413F8">
        <w:t xml:space="preserve"> </w:t>
      </w:r>
    </w:p>
    <w:p w14:paraId="149D5F44" w14:textId="6EB2A076" w:rsidR="00B5315D" w:rsidRPr="00B76A73" w:rsidRDefault="005C31E9" w:rsidP="001B4B76">
      <w:pPr>
        <w:jc w:val="center"/>
      </w:pPr>
      <w:r>
        <w:rPr>
          <w:noProof/>
        </w:rPr>
        <w:drawing>
          <wp:inline distT="0" distB="0" distL="0" distR="0" wp14:anchorId="778C45D4" wp14:editId="1FD2A28C">
            <wp:extent cx="3816350" cy="2651760"/>
            <wp:effectExtent l="0" t="0" r="0" b="0"/>
            <wp:docPr id="125678364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46" w14:textId="68E781A5" w:rsidR="00A96795" w:rsidRPr="00B76A73" w:rsidRDefault="00A223EC" w:rsidP="000A1224">
      <w:r w:rsidRPr="00B76A73">
        <w:t xml:space="preserve">The cost </w:t>
      </w:r>
      <w:r w:rsidR="00BC00A7" w:rsidRPr="00B76A73">
        <w:t xml:space="preserve">of financing </w:t>
      </w:r>
      <w:r w:rsidRPr="00B76A73">
        <w:t xml:space="preserve">for </w:t>
      </w:r>
      <w:r w:rsidR="001B4B76" w:rsidRPr="00B76A73">
        <w:t xml:space="preserve">would-be homebuyers </w:t>
      </w:r>
      <w:r w:rsidR="00845B35">
        <w:t>continued to rise</w:t>
      </w:r>
      <w:r w:rsidR="0052479C">
        <w:t xml:space="preserve"> during the </w:t>
      </w:r>
      <w:r w:rsidR="00845B35">
        <w:t>3</w:t>
      </w:r>
      <w:r w:rsidR="00845B35" w:rsidRPr="00845B35">
        <w:rPr>
          <w:vertAlign w:val="superscript"/>
        </w:rPr>
        <w:t>rd</w:t>
      </w:r>
      <w:r w:rsidR="0052479C">
        <w:t xml:space="preserve"> </w:t>
      </w:r>
      <w:r w:rsidR="00CC1275" w:rsidRPr="00B76A73">
        <w:t>quarter</w:t>
      </w:r>
      <w:r w:rsidR="00B403A1" w:rsidRPr="00B76A73">
        <w:t xml:space="preserve">, with </w:t>
      </w:r>
      <w:r w:rsidR="001B4B76" w:rsidRPr="00B76A73">
        <w:t>the 30-year fixed-rate mortgage</w:t>
      </w:r>
      <w:r w:rsidR="00250313" w:rsidRPr="00B76A73">
        <w:rPr>
          <w:rStyle w:val="FootnoteReference"/>
        </w:rPr>
        <w:footnoteReference w:id="31"/>
      </w:r>
      <w:r w:rsidR="0081792D" w:rsidRPr="00B76A73">
        <w:t xml:space="preserve"> </w:t>
      </w:r>
      <w:r w:rsidR="00B403A1" w:rsidRPr="00B76A73">
        <w:t xml:space="preserve">ending </w:t>
      </w:r>
      <w:r w:rsidR="00845B35">
        <w:t>September</w:t>
      </w:r>
      <w:r w:rsidR="00BC3ABE">
        <w:t xml:space="preserve"> 2023</w:t>
      </w:r>
      <w:r w:rsidR="00B403A1" w:rsidRPr="00B76A73">
        <w:t xml:space="preserve"> at</w:t>
      </w:r>
      <w:r w:rsidR="0055033B" w:rsidRPr="00B76A73">
        <w:t xml:space="preserve"> </w:t>
      </w:r>
      <w:r w:rsidR="00720495">
        <w:t xml:space="preserve">an average of </w:t>
      </w:r>
      <w:r w:rsidR="00845B35">
        <w:t>7.3</w:t>
      </w:r>
      <w:r w:rsidR="0052479C">
        <w:t>1</w:t>
      </w:r>
      <w:r w:rsidR="0055033B" w:rsidRPr="00B76A73">
        <w:t>%</w:t>
      </w:r>
      <w:r w:rsidR="0052479C">
        <w:t xml:space="preserve">, </w:t>
      </w:r>
      <w:r w:rsidR="00973D0F">
        <w:t>its highest level since December 2000</w:t>
      </w:r>
      <w:r w:rsidR="001B4B76" w:rsidRPr="00B76A73">
        <w:t>.</w:t>
      </w:r>
      <w:r w:rsidR="00A730DC" w:rsidRPr="00B76A73">
        <w:t xml:space="preserve"> </w:t>
      </w:r>
    </w:p>
    <w:p w14:paraId="0D0A69F6" w14:textId="1BFF490C" w:rsidR="00A96A6A" w:rsidRPr="00B76A73" w:rsidRDefault="005C31E9" w:rsidP="00453708">
      <w:pPr>
        <w:jc w:val="center"/>
      </w:pPr>
      <w:r>
        <w:rPr>
          <w:noProof/>
        </w:rPr>
        <w:drawing>
          <wp:inline distT="0" distB="0" distL="0" distR="0" wp14:anchorId="070BF693" wp14:editId="76043F5A">
            <wp:extent cx="3816350" cy="2651760"/>
            <wp:effectExtent l="0" t="0" r="0" b="0"/>
            <wp:docPr id="41077784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2DE37C" w14:textId="59DC7537" w:rsidR="00A96A6A" w:rsidRPr="00B76A73" w:rsidRDefault="00B767AE" w:rsidP="00773B5B">
      <w:r w:rsidRPr="00C50377">
        <w:lastRenderedPageBreak/>
        <w:t>The S&amp;</w:t>
      </w:r>
      <w:r w:rsidR="00BD1AF4" w:rsidRPr="00C50377">
        <w:t>P Case-Shiller Home Price Index (20-city)</w:t>
      </w:r>
      <w:r w:rsidR="00B2585A" w:rsidRPr="00C50377">
        <w:rPr>
          <w:rStyle w:val="FootnoteReference"/>
        </w:rPr>
        <w:footnoteReference w:id="32"/>
      </w:r>
      <w:r w:rsidR="00BD1AF4" w:rsidRPr="00C50377">
        <w:t xml:space="preserve"> </w:t>
      </w:r>
      <w:r w:rsidR="00BC3ABE" w:rsidRPr="00C50377">
        <w:t xml:space="preserve">was </w:t>
      </w:r>
      <w:r w:rsidR="00F25F1D" w:rsidRPr="00C50377">
        <w:t>1.0</w:t>
      </w:r>
      <w:r w:rsidR="00A45AD4" w:rsidRPr="00C50377">
        <w:t xml:space="preserve">% higher from </w:t>
      </w:r>
      <w:r w:rsidR="00F25F1D" w:rsidRPr="00C50377">
        <w:t>July to August</w:t>
      </w:r>
      <w:r w:rsidR="00722380" w:rsidRPr="00C50377">
        <w:t xml:space="preserve"> </w:t>
      </w:r>
      <w:r w:rsidR="00F25F1D" w:rsidRPr="00C50377">
        <w:t>and</w:t>
      </w:r>
      <w:r w:rsidR="0057468C" w:rsidRPr="00C50377">
        <w:t xml:space="preserve"> </w:t>
      </w:r>
      <w:r w:rsidR="00F25F1D" w:rsidRPr="00C50377">
        <w:t xml:space="preserve">2.2% higher </w:t>
      </w:r>
      <w:r w:rsidR="0057468C" w:rsidRPr="00C50377">
        <w:t xml:space="preserve">since </w:t>
      </w:r>
      <w:r w:rsidR="00F25F1D" w:rsidRPr="00C50377">
        <w:t>August</w:t>
      </w:r>
      <w:r w:rsidR="00A45AD4" w:rsidRPr="00C50377">
        <w:t xml:space="preserve"> </w:t>
      </w:r>
      <w:r w:rsidR="0057468C" w:rsidRPr="00C50377">
        <w:t>202</w:t>
      </w:r>
      <w:r w:rsidR="00BC3ABE" w:rsidRPr="00C50377">
        <w:t>2</w:t>
      </w:r>
      <w:r w:rsidR="00877F82" w:rsidRPr="00C50377">
        <w:t>.</w:t>
      </w:r>
      <w:r w:rsidR="009550AF" w:rsidRPr="00C50377">
        <w:t xml:space="preserve"> </w:t>
      </w:r>
      <w:r w:rsidR="00722380" w:rsidRPr="00C50377">
        <w:t>Led by Chicag</w:t>
      </w:r>
      <w:r w:rsidR="00F25F1D" w:rsidRPr="00C50377">
        <w:t xml:space="preserve">o, New York, </w:t>
      </w:r>
      <w:r w:rsidR="00722380" w:rsidRPr="00C50377">
        <w:t xml:space="preserve">and </w:t>
      </w:r>
      <w:r w:rsidR="00F25F1D" w:rsidRPr="00C50377">
        <w:t>Detroit</w:t>
      </w:r>
      <w:r w:rsidR="00722380" w:rsidRPr="00C50377">
        <w:t>, 1</w:t>
      </w:r>
      <w:r w:rsidR="00F25F1D" w:rsidRPr="00C50377">
        <w:t>2</w:t>
      </w:r>
      <w:r w:rsidR="006C5DCC" w:rsidRPr="00C50377">
        <w:t xml:space="preserve"> of the 20</w:t>
      </w:r>
      <w:r w:rsidR="009550AF" w:rsidRPr="00C50377">
        <w:t xml:space="preserve"> cities </w:t>
      </w:r>
      <w:r w:rsidR="00F25F1D" w:rsidRPr="00C50377">
        <w:t>experienced</w:t>
      </w:r>
      <w:r w:rsidR="009550AF" w:rsidRPr="00C50377">
        <w:t xml:space="preserve"> </w:t>
      </w:r>
      <w:r w:rsidR="00877F82" w:rsidRPr="00C50377">
        <w:t xml:space="preserve">one-year </w:t>
      </w:r>
      <w:r w:rsidR="009550AF" w:rsidRPr="00C50377">
        <w:t>price increases</w:t>
      </w:r>
      <w:r w:rsidR="00F25F1D" w:rsidRPr="00C50377">
        <w:t>; 1 had unchanged prices, and 7 cities experienced decreases</w:t>
      </w:r>
      <w:r w:rsidR="00722380" w:rsidRPr="00C50377">
        <w:t xml:space="preserve">. </w:t>
      </w:r>
      <w:r w:rsidR="00F25F1D" w:rsidRPr="00C50377">
        <w:t xml:space="preserve">All cities in the Midwest and Northeast had </w:t>
      </w:r>
      <w:r w:rsidR="00C50377" w:rsidRPr="00C50377">
        <w:t>rising prices over the year; 6</w:t>
      </w:r>
      <w:r w:rsidR="004C7928" w:rsidRPr="00C50377">
        <w:t xml:space="preserve"> of the </w:t>
      </w:r>
      <w:r w:rsidR="00C50377" w:rsidRPr="00C50377">
        <w:t>7</w:t>
      </w:r>
      <w:r w:rsidR="004C7928" w:rsidRPr="00C50377">
        <w:t xml:space="preserve"> cities with </w:t>
      </w:r>
      <w:r w:rsidR="00AE4184">
        <w:t>year-</w:t>
      </w:r>
      <w:r w:rsidR="004C7928" w:rsidRPr="00C50377">
        <w:t xml:space="preserve">over-year price declines </w:t>
      </w:r>
      <w:r w:rsidR="00E261F7" w:rsidRPr="00C50377">
        <w:t>were in</w:t>
      </w:r>
      <w:r w:rsidR="004C7928" w:rsidRPr="00C50377">
        <w:t xml:space="preserve"> the West</w:t>
      </w:r>
      <w:r w:rsidR="004306FA" w:rsidRPr="00C50377">
        <w:t xml:space="preserve"> region</w:t>
      </w:r>
      <w:r w:rsidR="00B432FD" w:rsidRPr="00C50377">
        <w:t>.</w:t>
      </w:r>
      <w:r w:rsidR="006A656A" w:rsidRPr="00B76A73">
        <w:t xml:space="preserve"> </w:t>
      </w:r>
    </w:p>
    <w:p w14:paraId="149D5F4C" w14:textId="684FF562" w:rsidR="0064538F" w:rsidRPr="00B76A73" w:rsidRDefault="005C31E9" w:rsidP="002775DB">
      <w:pPr>
        <w:jc w:val="center"/>
      </w:pPr>
      <w:r>
        <w:rPr>
          <w:noProof/>
        </w:rPr>
        <w:drawing>
          <wp:inline distT="0" distB="0" distL="0" distR="0" wp14:anchorId="26491108" wp14:editId="6925C052">
            <wp:extent cx="3493135" cy="2651760"/>
            <wp:effectExtent l="0" t="0" r="0" b="0"/>
            <wp:docPr id="75488304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4D" w14:textId="52E84594" w:rsidR="00005111" w:rsidRPr="00B76A73" w:rsidRDefault="0079609A" w:rsidP="001475FF">
      <w:pPr>
        <w:pStyle w:val="Heading1"/>
      </w:pPr>
      <w:r w:rsidRPr="00B76A73">
        <w:t>Consumer Spending</w:t>
      </w:r>
    </w:p>
    <w:p w14:paraId="149D5F51" w14:textId="29135769" w:rsidR="0079609A" w:rsidRPr="00B76A73" w:rsidRDefault="0079609A" w:rsidP="00A04AD3">
      <w:r w:rsidRPr="00B76A73">
        <w:t>Personal Consumption Expenditures (PCE)</w:t>
      </w:r>
      <w:r w:rsidR="00421F60" w:rsidRPr="00B76A73">
        <w:rPr>
          <w:rStyle w:val="FootnoteReference"/>
        </w:rPr>
        <w:footnoteReference w:id="33"/>
      </w:r>
      <w:r w:rsidRPr="00B76A73">
        <w:t xml:space="preserve"> </w:t>
      </w:r>
      <w:r w:rsidR="00282C6E" w:rsidRPr="00B76A73">
        <w:t xml:space="preserve">rose </w:t>
      </w:r>
      <w:r w:rsidR="00973D0F">
        <w:t>2.0</w:t>
      </w:r>
      <w:r w:rsidR="00282C6E" w:rsidRPr="00B76A73">
        <w:t xml:space="preserve">% in the </w:t>
      </w:r>
      <w:r w:rsidR="00973D0F">
        <w:t>3</w:t>
      </w:r>
      <w:r w:rsidR="00973D0F" w:rsidRPr="00973D0F">
        <w:rPr>
          <w:vertAlign w:val="superscript"/>
        </w:rPr>
        <w:t>rd</w:t>
      </w:r>
      <w:r w:rsidR="00973D0F">
        <w:t xml:space="preserve"> </w:t>
      </w:r>
      <w:r w:rsidR="00282C6E" w:rsidRPr="00B76A73">
        <w:t>quarter to</w:t>
      </w:r>
      <w:r w:rsidR="00381A81" w:rsidRPr="00B76A73">
        <w:t xml:space="preserve"> </w:t>
      </w:r>
      <w:r w:rsidR="00AA74C1" w:rsidRPr="00B76A73">
        <w:t>$1</w:t>
      </w:r>
      <w:r w:rsidR="00370D64">
        <w:t>8.</w:t>
      </w:r>
      <w:r w:rsidR="00973D0F">
        <w:t>9</w:t>
      </w:r>
      <w:r w:rsidR="00AA74C1" w:rsidRPr="00B76A73">
        <w:t xml:space="preserve"> trillion</w:t>
      </w:r>
      <w:r w:rsidR="00E37950" w:rsidRPr="00B76A73">
        <w:t xml:space="preserve">. PCE </w:t>
      </w:r>
      <w:r w:rsidR="006A656A" w:rsidRPr="00B76A73">
        <w:t xml:space="preserve">were up </w:t>
      </w:r>
      <w:r w:rsidR="00D213F9">
        <w:t>5.</w:t>
      </w:r>
      <w:r w:rsidR="00973D0F">
        <w:t>9</w:t>
      </w:r>
      <w:r w:rsidR="0081792D" w:rsidRPr="00B76A73">
        <w:t xml:space="preserve">% </w:t>
      </w:r>
      <w:r w:rsidR="00282C6E" w:rsidRPr="00B76A73">
        <w:t xml:space="preserve">since the </w:t>
      </w:r>
      <w:r w:rsidR="00D213F9">
        <w:t>2</w:t>
      </w:r>
      <w:r w:rsidR="00D213F9" w:rsidRPr="00D213F9">
        <w:rPr>
          <w:vertAlign w:val="superscript"/>
        </w:rPr>
        <w:t>nd</w:t>
      </w:r>
      <w:r w:rsidR="00D213F9">
        <w:t xml:space="preserve"> </w:t>
      </w:r>
      <w:r w:rsidR="006A656A" w:rsidRPr="00B76A73">
        <w:t>quarter</w:t>
      </w:r>
      <w:r w:rsidR="0081792D" w:rsidRPr="00B76A73">
        <w:t xml:space="preserve"> </w:t>
      </w:r>
      <w:r w:rsidR="00AA74C1" w:rsidRPr="00B76A73">
        <w:t>last yea</w:t>
      </w:r>
      <w:r w:rsidR="0081792D" w:rsidRPr="00B76A73">
        <w:t>r</w:t>
      </w:r>
      <w:r w:rsidR="002A0B80" w:rsidRPr="00B76A73">
        <w:t>.</w:t>
      </w:r>
      <w:r w:rsidR="00F04BC9" w:rsidRPr="00B76A73">
        <w:t xml:space="preserve"> </w:t>
      </w:r>
      <w:r w:rsidR="00D477E7">
        <w:t>S</w:t>
      </w:r>
      <w:r w:rsidR="00282C6E" w:rsidRPr="00B76A73">
        <w:t xml:space="preserve">pending </w:t>
      </w:r>
      <w:r w:rsidR="00D477E7">
        <w:t xml:space="preserve">increased </w:t>
      </w:r>
      <w:r w:rsidR="00D213F9">
        <w:t xml:space="preserve">in </w:t>
      </w:r>
      <w:r w:rsidR="00973D0F">
        <w:t>September</w:t>
      </w:r>
      <w:r w:rsidR="00D213F9">
        <w:t xml:space="preserve"> </w:t>
      </w:r>
      <w:r w:rsidR="00973948">
        <w:t xml:space="preserve">for services such as </w:t>
      </w:r>
      <w:r w:rsidR="00564781">
        <w:t xml:space="preserve">other services (led by </w:t>
      </w:r>
      <w:r w:rsidR="00973D0F">
        <w:t>international travel</w:t>
      </w:r>
      <w:r w:rsidR="00564781">
        <w:t>)</w:t>
      </w:r>
      <w:r w:rsidR="00973D0F">
        <w:t xml:space="preserve">, </w:t>
      </w:r>
      <w:r w:rsidR="00564781">
        <w:t>housing and utilities, health care, and transportation</w:t>
      </w:r>
      <w:r w:rsidR="00282C6E" w:rsidRPr="00B76A73">
        <w:t>.</w:t>
      </w:r>
      <w:r w:rsidR="00973948">
        <w:t xml:space="preserve"> Goods spending also increased, </w:t>
      </w:r>
      <w:r w:rsidR="00564781">
        <w:t>other nondurable goods (</w:t>
      </w:r>
      <w:r w:rsidR="00973948">
        <w:t xml:space="preserve">led by </w:t>
      </w:r>
      <w:r w:rsidR="00564781">
        <w:t xml:space="preserve">prescription drugs) and </w:t>
      </w:r>
      <w:r w:rsidR="00973948">
        <w:t>motor vehicles and parts.</w:t>
      </w:r>
    </w:p>
    <w:p w14:paraId="419D69CE" w14:textId="0CAB82BA" w:rsidR="00A96A6A" w:rsidRPr="00B76A73" w:rsidRDefault="005C31E9" w:rsidP="00CF06AE">
      <w:pPr>
        <w:jc w:val="center"/>
      </w:pPr>
      <w:r>
        <w:rPr>
          <w:noProof/>
        </w:rPr>
        <w:lastRenderedPageBreak/>
        <w:drawing>
          <wp:inline distT="0" distB="0" distL="0" distR="0" wp14:anchorId="00EBB5CE" wp14:editId="0DB24FC9">
            <wp:extent cx="3493135" cy="2651760"/>
            <wp:effectExtent l="0" t="0" r="0" b="0"/>
            <wp:docPr id="119831337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53" w14:textId="69EB027A" w:rsidR="0079609A" w:rsidRPr="00B76A73" w:rsidRDefault="00D148FE" w:rsidP="00F92FD1">
      <w:r w:rsidRPr="00B76A73">
        <w:t xml:space="preserve">Auto manufacturers </w:t>
      </w:r>
      <w:r w:rsidR="00695980" w:rsidRPr="00B76A73">
        <w:t xml:space="preserve">reported </w:t>
      </w:r>
      <w:r w:rsidR="0079609A" w:rsidRPr="00B76A73">
        <w:t>autos and light trucks sold</w:t>
      </w:r>
      <w:r w:rsidR="00933E80" w:rsidRPr="00B76A73">
        <w:rPr>
          <w:rStyle w:val="FootnoteReference"/>
        </w:rPr>
        <w:footnoteReference w:id="34"/>
      </w:r>
      <w:r w:rsidR="0079609A" w:rsidRPr="00B76A73">
        <w:t xml:space="preserve"> </w:t>
      </w:r>
      <w:r w:rsidR="0099207D">
        <w:t xml:space="preserve">at an annual rate of </w:t>
      </w:r>
      <w:r w:rsidR="0099207D" w:rsidRPr="00B76A73">
        <w:t>1</w:t>
      </w:r>
      <w:r w:rsidR="0099207D">
        <w:t>5</w:t>
      </w:r>
      <w:r w:rsidR="0099207D" w:rsidRPr="00B76A73">
        <w:t>.</w:t>
      </w:r>
      <w:r w:rsidR="0099207D">
        <w:t>7</w:t>
      </w:r>
      <w:r w:rsidR="0099207D" w:rsidRPr="00B76A73">
        <w:t xml:space="preserve"> million </w:t>
      </w:r>
      <w:r w:rsidR="0079609A" w:rsidRPr="00B76A73">
        <w:t xml:space="preserve">in </w:t>
      </w:r>
      <w:r w:rsidR="00564781">
        <w:t>September</w:t>
      </w:r>
      <w:r w:rsidR="007679B8">
        <w:t xml:space="preserve"> 2023</w:t>
      </w:r>
      <w:r w:rsidR="008B3E4E" w:rsidRPr="00B76A73">
        <w:t>,</w:t>
      </w:r>
      <w:r w:rsidR="005B40E5" w:rsidRPr="00B76A73">
        <w:t xml:space="preserve"> </w:t>
      </w:r>
      <w:r w:rsidR="00564781">
        <w:t>down 2.0% from June</w:t>
      </w:r>
      <w:r w:rsidR="00140B44" w:rsidRPr="00B76A73">
        <w:t xml:space="preserve">. </w:t>
      </w:r>
      <w:r w:rsidR="00B0457A" w:rsidRPr="00B76A73">
        <w:t>N</w:t>
      </w:r>
      <w:r w:rsidR="00D822BB" w:rsidRPr="00B76A73">
        <w:t>ew vehicle prices</w:t>
      </w:r>
      <w:r w:rsidR="00D822BB" w:rsidRPr="00B76A73">
        <w:rPr>
          <w:rStyle w:val="FootnoteReference"/>
        </w:rPr>
        <w:footnoteReference w:id="35"/>
      </w:r>
      <w:r w:rsidR="00D822BB" w:rsidRPr="00B76A73">
        <w:t xml:space="preserve"> </w:t>
      </w:r>
      <w:r w:rsidR="00564781">
        <w:t>remained at a</w:t>
      </w:r>
      <w:r w:rsidR="00D822BB" w:rsidRPr="00B76A73">
        <w:t xml:space="preserve"> </w:t>
      </w:r>
      <w:r w:rsidR="00CF63FE" w:rsidRPr="00B76A73">
        <w:t>record</w:t>
      </w:r>
      <w:r w:rsidR="00D822BB" w:rsidRPr="00B76A73">
        <w:t xml:space="preserve"> high</w:t>
      </w:r>
      <w:r w:rsidR="00564781">
        <w:t xml:space="preserve">, inching up </w:t>
      </w:r>
      <w:r w:rsidR="006F67DF">
        <w:t>0.</w:t>
      </w:r>
      <w:r w:rsidR="00564781">
        <w:t>1</w:t>
      </w:r>
      <w:r w:rsidR="00CF63FE" w:rsidRPr="00B76A73">
        <w:t xml:space="preserve">% during the </w:t>
      </w:r>
      <w:r w:rsidR="00564781">
        <w:t>3</w:t>
      </w:r>
      <w:r w:rsidR="00564781" w:rsidRPr="00564781">
        <w:rPr>
          <w:vertAlign w:val="superscript"/>
        </w:rPr>
        <w:t>rd</w:t>
      </w:r>
      <w:r w:rsidR="00564781">
        <w:t xml:space="preserve"> </w:t>
      </w:r>
      <w:r w:rsidR="00CF63FE" w:rsidRPr="00B76A73">
        <w:t>quarter</w:t>
      </w:r>
      <w:r w:rsidR="006F67DF">
        <w:t>. U</w:t>
      </w:r>
      <w:r w:rsidR="002530D7" w:rsidRPr="00B76A73">
        <w:t>sed car</w:t>
      </w:r>
      <w:r w:rsidR="00340262" w:rsidRPr="00B76A73">
        <w:t xml:space="preserve"> prices</w:t>
      </w:r>
      <w:r w:rsidR="002530D7" w:rsidRPr="00B76A73">
        <w:rPr>
          <w:rStyle w:val="FootnoteReference"/>
        </w:rPr>
        <w:footnoteReference w:id="36"/>
      </w:r>
      <w:r w:rsidR="002C0E92">
        <w:t>, which have declined in 3 of the last 4 quarters,</w:t>
      </w:r>
      <w:r w:rsidR="008C2435" w:rsidRPr="00B76A73">
        <w:t xml:space="preserve"> </w:t>
      </w:r>
      <w:r w:rsidR="002C0E92">
        <w:t>fell 5.0% from June to September</w:t>
      </w:r>
      <w:r w:rsidR="002530D7" w:rsidRPr="00B76A73">
        <w:t xml:space="preserve">. </w:t>
      </w:r>
    </w:p>
    <w:p w14:paraId="571A905C" w14:textId="76E6A4E3" w:rsidR="002E3647" w:rsidRPr="00B76A73" w:rsidRDefault="005C31E9" w:rsidP="003A679B">
      <w:pPr>
        <w:jc w:val="center"/>
      </w:pPr>
      <w:r>
        <w:rPr>
          <w:noProof/>
        </w:rPr>
        <w:drawing>
          <wp:inline distT="0" distB="0" distL="0" distR="0" wp14:anchorId="17777795" wp14:editId="1D203038">
            <wp:extent cx="4090670" cy="2651760"/>
            <wp:effectExtent l="0" t="0" r="5080" b="0"/>
            <wp:docPr id="82051169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B475FF" w14:textId="731D6423" w:rsidR="002E3647" w:rsidRPr="00B76A73" w:rsidRDefault="008A581A" w:rsidP="00354195">
      <w:r w:rsidRPr="00B76A73">
        <w:t xml:space="preserve">The </w:t>
      </w:r>
      <w:r w:rsidR="00661AA7" w:rsidRPr="00B76A73">
        <w:t xml:space="preserve">University of Michigan’s </w:t>
      </w:r>
      <w:r w:rsidRPr="00B76A73">
        <w:t>c</w:t>
      </w:r>
      <w:r w:rsidR="008C5503" w:rsidRPr="00B76A73">
        <w:t>onsumer sentiment</w:t>
      </w:r>
      <w:r w:rsidR="00661AA7" w:rsidRPr="00B76A73">
        <w:t xml:space="preserve"> index</w:t>
      </w:r>
      <w:r w:rsidR="00291FFB" w:rsidRPr="00B76A73">
        <w:rPr>
          <w:rStyle w:val="FootnoteReference"/>
        </w:rPr>
        <w:footnoteReference w:id="37"/>
      </w:r>
      <w:r w:rsidR="00B745AA">
        <w:t xml:space="preserve"> </w:t>
      </w:r>
      <w:r w:rsidR="002C0E92">
        <w:t>stood at</w:t>
      </w:r>
      <w:r w:rsidR="006F67DF">
        <w:t xml:space="preserve"> 6</w:t>
      </w:r>
      <w:r w:rsidR="002C0E92">
        <w:t>7.9</w:t>
      </w:r>
      <w:r w:rsidR="006F67DF">
        <w:t xml:space="preserve"> in </w:t>
      </w:r>
      <w:r w:rsidR="002C0E92">
        <w:t>September</w:t>
      </w:r>
      <w:r w:rsidR="006F67DF">
        <w:t xml:space="preserve"> 2023, continuing</w:t>
      </w:r>
      <w:r w:rsidR="00B745AA">
        <w:t xml:space="preserve"> </w:t>
      </w:r>
      <w:r w:rsidR="006F67DF">
        <w:t>the</w:t>
      </w:r>
      <w:r w:rsidR="00B745AA">
        <w:t xml:space="preserve"> rebound from </w:t>
      </w:r>
      <w:r w:rsidR="005233AB">
        <w:t>its</w:t>
      </w:r>
      <w:r w:rsidR="00B745AA">
        <w:t xml:space="preserve"> all</w:t>
      </w:r>
      <w:r w:rsidR="005233AB">
        <w:t>-</w:t>
      </w:r>
      <w:r w:rsidR="00B745AA">
        <w:t>time low of 50.0</w:t>
      </w:r>
      <w:r w:rsidR="005233AB">
        <w:t xml:space="preserve"> </w:t>
      </w:r>
      <w:r w:rsidR="002C0E92">
        <w:t>fifteen months earlier</w:t>
      </w:r>
      <w:r w:rsidR="007679B8">
        <w:t xml:space="preserve">. The index was up </w:t>
      </w:r>
      <w:r w:rsidR="002C0E92">
        <w:lastRenderedPageBreak/>
        <w:t>15.9</w:t>
      </w:r>
      <w:r w:rsidR="007679B8">
        <w:t xml:space="preserve">% in the year ended </w:t>
      </w:r>
      <w:r w:rsidR="002C0E92">
        <w:t>September</w:t>
      </w:r>
      <w:r w:rsidR="007679B8">
        <w:t xml:space="preserve"> 2023</w:t>
      </w:r>
      <w:r w:rsidR="005233AB">
        <w:t xml:space="preserve"> yet </w:t>
      </w:r>
      <w:r w:rsidR="000022F6">
        <w:t>still</w:t>
      </w:r>
      <w:r w:rsidR="005233AB">
        <w:t xml:space="preserve"> </w:t>
      </w:r>
      <w:r w:rsidR="005233AB" w:rsidRPr="00B76A73">
        <w:t>well below its 30-year average of 8</w:t>
      </w:r>
      <w:r w:rsidR="00EF0010">
        <w:t>6.</w:t>
      </w:r>
      <w:r w:rsidR="002C0E92">
        <w:t>5</w:t>
      </w:r>
      <w:r w:rsidR="002F6613" w:rsidRPr="00B76A73">
        <w:t>.</w:t>
      </w:r>
      <w:r w:rsidR="00B1397B" w:rsidRPr="00B76A73">
        <w:t xml:space="preserve"> </w:t>
      </w:r>
      <w:r w:rsidR="002C0E92">
        <w:t>September’s index underperformed expectations, yet consumer perceptions of inflation were lower for both the one-year and five-year timeframes</w:t>
      </w:r>
      <w:r w:rsidR="00D467A8">
        <w:t>.</w:t>
      </w:r>
    </w:p>
    <w:p w14:paraId="182CF22B" w14:textId="7EDF017E" w:rsidR="000D5719" w:rsidRPr="00B76A73" w:rsidRDefault="005C31E9" w:rsidP="002E3647">
      <w:pPr>
        <w:jc w:val="center"/>
      </w:pPr>
      <w:r>
        <w:rPr>
          <w:noProof/>
        </w:rPr>
        <w:drawing>
          <wp:inline distT="0" distB="0" distL="0" distR="0" wp14:anchorId="0C8F411F" wp14:editId="1760FD38">
            <wp:extent cx="4090670" cy="2651760"/>
            <wp:effectExtent l="0" t="0" r="5080" b="0"/>
            <wp:docPr id="12876726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56" w14:textId="77777777" w:rsidR="0091664E" w:rsidRPr="00B76A73" w:rsidRDefault="0091664E" w:rsidP="0091664E">
      <w:pPr>
        <w:pStyle w:val="Heading1"/>
      </w:pPr>
      <w:r w:rsidRPr="00B76A73">
        <w:t>Capital Markets</w:t>
      </w:r>
    </w:p>
    <w:p w14:paraId="0E0EEED4" w14:textId="38B8E7F5" w:rsidR="008A3D99" w:rsidRDefault="003D1D39" w:rsidP="00B875CA">
      <w:pPr>
        <w:rPr>
          <w:noProof/>
        </w:rPr>
      </w:pPr>
      <w:r w:rsidRPr="000E1968">
        <w:rPr>
          <w:noProof/>
        </w:rPr>
        <w:t xml:space="preserve">The table below shows the </w:t>
      </w:r>
      <w:r w:rsidR="00C427E3" w:rsidRPr="000E1968">
        <w:rPr>
          <w:noProof/>
        </w:rPr>
        <w:t>quarterly, year-to-date,</w:t>
      </w:r>
      <w:r w:rsidRPr="000E1968">
        <w:rPr>
          <w:noProof/>
        </w:rPr>
        <w:t xml:space="preserve"> and 12-month performance of major </w:t>
      </w:r>
      <w:r w:rsidR="00BD4FA3" w:rsidRPr="000E1968">
        <w:rPr>
          <w:noProof/>
        </w:rPr>
        <w:t>U.S.</w:t>
      </w:r>
      <w:r w:rsidRPr="000E1968">
        <w:rPr>
          <w:noProof/>
        </w:rPr>
        <w:t xml:space="preserve"> equity indices. </w:t>
      </w:r>
      <w:r w:rsidR="007929C4" w:rsidRPr="005508D0">
        <w:rPr>
          <w:noProof/>
        </w:rPr>
        <w:t>Capital markets</w:t>
      </w:r>
      <w:r w:rsidR="00A41749" w:rsidRPr="005508D0">
        <w:rPr>
          <w:noProof/>
        </w:rPr>
        <w:t xml:space="preserve"> </w:t>
      </w:r>
      <w:r w:rsidR="005508D0">
        <w:rPr>
          <w:noProof/>
        </w:rPr>
        <w:t>suffered a difficult 3</w:t>
      </w:r>
      <w:r w:rsidR="005508D0" w:rsidRPr="005508D0">
        <w:rPr>
          <w:noProof/>
          <w:vertAlign w:val="superscript"/>
        </w:rPr>
        <w:t>rd</w:t>
      </w:r>
      <w:r w:rsidR="005508D0">
        <w:rPr>
          <w:noProof/>
        </w:rPr>
        <w:t xml:space="preserve"> quarter in 2023, ending their 1</w:t>
      </w:r>
      <w:r w:rsidR="005508D0" w:rsidRPr="005508D0">
        <w:rPr>
          <w:noProof/>
          <w:vertAlign w:val="superscript"/>
        </w:rPr>
        <w:t>st</w:t>
      </w:r>
      <w:r w:rsidR="005508D0">
        <w:rPr>
          <w:noProof/>
        </w:rPr>
        <w:t>-</w:t>
      </w:r>
      <w:r w:rsidR="000D75AF">
        <w:rPr>
          <w:noProof/>
        </w:rPr>
        <w:t>half</w:t>
      </w:r>
      <w:r w:rsidR="005508D0">
        <w:rPr>
          <w:noProof/>
        </w:rPr>
        <w:t xml:space="preserve"> rally.</w:t>
      </w:r>
      <w:r w:rsidRPr="005508D0">
        <w:rPr>
          <w:noProof/>
        </w:rPr>
        <w:t xml:space="preserve"> </w:t>
      </w:r>
      <w:r w:rsidR="002759A7">
        <w:rPr>
          <w:noProof/>
        </w:rPr>
        <w:t>The most serious struggles came in September, a historically challenging month for stocks. Amid a government shutdown scare</w:t>
      </w:r>
      <w:r w:rsidR="00F87D34">
        <w:rPr>
          <w:noProof/>
        </w:rPr>
        <w:t>, high-profile labor strikes,</w:t>
      </w:r>
      <w:r w:rsidR="002759A7">
        <w:rPr>
          <w:noProof/>
        </w:rPr>
        <w:t xml:space="preserve"> and the continuing drag of elevated inflation and interest rates, stocks closed the quarter in </w:t>
      </w:r>
      <w:r w:rsidR="00AE4184">
        <w:rPr>
          <w:noProof/>
        </w:rPr>
        <w:t>the red</w:t>
      </w:r>
      <w:r w:rsidR="002759A7">
        <w:rPr>
          <w:noProof/>
        </w:rPr>
        <w:t xml:space="preserve">. </w:t>
      </w:r>
      <w:r w:rsidR="00C42568">
        <w:rPr>
          <w:noProof/>
        </w:rPr>
        <w:t>T</w:t>
      </w:r>
      <w:r w:rsidR="00923BA7">
        <w:rPr>
          <w:noProof/>
        </w:rPr>
        <w:t xml:space="preserve">he </w:t>
      </w:r>
      <w:r w:rsidR="00C42568">
        <w:rPr>
          <w:noProof/>
        </w:rPr>
        <w:t>Dow Jones Composite Average fell 3.8</w:t>
      </w:r>
      <w:r w:rsidR="00923BA7">
        <w:rPr>
          <w:noProof/>
        </w:rPr>
        <w:t xml:space="preserve">% during the </w:t>
      </w:r>
      <w:r w:rsidR="00C42568">
        <w:rPr>
          <w:noProof/>
        </w:rPr>
        <w:t>3</w:t>
      </w:r>
      <w:r w:rsidR="00C42568" w:rsidRPr="00C42568">
        <w:rPr>
          <w:noProof/>
          <w:vertAlign w:val="superscript"/>
        </w:rPr>
        <w:t>rd</w:t>
      </w:r>
      <w:r w:rsidR="00C42568">
        <w:rPr>
          <w:noProof/>
        </w:rPr>
        <w:t xml:space="preserve"> </w:t>
      </w:r>
      <w:r w:rsidR="00923BA7">
        <w:rPr>
          <w:noProof/>
        </w:rPr>
        <w:t>quarter</w:t>
      </w:r>
      <w:r w:rsidR="0034740B">
        <w:rPr>
          <w:noProof/>
        </w:rPr>
        <w:t xml:space="preserve"> of 2023</w:t>
      </w:r>
      <w:r w:rsidR="00C42568">
        <w:rPr>
          <w:noProof/>
        </w:rPr>
        <w:t>, and the NASDAQ composite fell 3.7%</w:t>
      </w:r>
      <w:r w:rsidR="00923BA7">
        <w:rPr>
          <w:noProof/>
        </w:rPr>
        <w:t>. T</w:t>
      </w:r>
      <w:r w:rsidR="007D3E70">
        <w:rPr>
          <w:noProof/>
        </w:rPr>
        <w:t xml:space="preserve">he </w:t>
      </w:r>
      <w:r w:rsidR="0034740B">
        <w:rPr>
          <w:noProof/>
        </w:rPr>
        <w:t>S&amp;P 500</w:t>
      </w:r>
      <w:r w:rsidR="00C42568">
        <w:rPr>
          <w:noProof/>
        </w:rPr>
        <w:t xml:space="preserve">, </w:t>
      </w:r>
      <w:r w:rsidR="00923BA7">
        <w:rPr>
          <w:noProof/>
        </w:rPr>
        <w:t>Wilshire 5000</w:t>
      </w:r>
      <w:r w:rsidR="00C42568">
        <w:rPr>
          <w:noProof/>
        </w:rPr>
        <w:t xml:space="preserve">, and </w:t>
      </w:r>
      <w:r w:rsidR="0034740B">
        <w:rPr>
          <w:noProof/>
        </w:rPr>
        <w:t>Dow Jones Transp</w:t>
      </w:r>
      <w:r w:rsidR="00C42568">
        <w:rPr>
          <w:noProof/>
        </w:rPr>
        <w:t>o</w:t>
      </w:r>
      <w:r w:rsidR="0034740B">
        <w:rPr>
          <w:noProof/>
        </w:rPr>
        <w:t>rtation Avera</w:t>
      </w:r>
      <w:r w:rsidR="001B1D5E">
        <w:rPr>
          <w:noProof/>
        </w:rPr>
        <w:t>g</w:t>
      </w:r>
      <w:r w:rsidR="0034740B">
        <w:rPr>
          <w:noProof/>
        </w:rPr>
        <w:t xml:space="preserve">e </w:t>
      </w:r>
      <w:r w:rsidR="00C42568">
        <w:rPr>
          <w:noProof/>
        </w:rPr>
        <w:t xml:space="preserve">were each down </w:t>
      </w:r>
      <w:r w:rsidR="0034740B">
        <w:rPr>
          <w:noProof/>
        </w:rPr>
        <w:t xml:space="preserve"> </w:t>
      </w:r>
      <w:r w:rsidR="00C42568">
        <w:rPr>
          <w:noProof/>
        </w:rPr>
        <w:t>3</w:t>
      </w:r>
      <w:r w:rsidR="0034740B">
        <w:rPr>
          <w:noProof/>
        </w:rPr>
        <w:t>.6%</w:t>
      </w:r>
      <w:r w:rsidR="007D3E70">
        <w:rPr>
          <w:noProof/>
        </w:rPr>
        <w:t xml:space="preserve"> </w:t>
      </w:r>
      <w:r w:rsidR="00EF0010">
        <w:rPr>
          <w:noProof/>
        </w:rPr>
        <w:t>for the quarter</w:t>
      </w:r>
      <w:r w:rsidR="007D3E70" w:rsidRPr="000E1968">
        <w:rPr>
          <w:noProof/>
        </w:rPr>
        <w:t>.</w:t>
      </w:r>
      <w:r w:rsidR="007D3E70">
        <w:rPr>
          <w:noProof/>
        </w:rPr>
        <w:t xml:space="preserve"> </w:t>
      </w:r>
      <w:r w:rsidR="00923BA7">
        <w:rPr>
          <w:noProof/>
        </w:rPr>
        <w:t>T</w:t>
      </w:r>
      <w:r w:rsidR="008A3D99">
        <w:rPr>
          <w:noProof/>
        </w:rPr>
        <w:t>he Dow Jones Industrial Average</w:t>
      </w:r>
      <w:r w:rsidR="00C42568">
        <w:rPr>
          <w:noProof/>
        </w:rPr>
        <w:t xml:space="preserve"> fared a bit better, down 2.6</w:t>
      </w:r>
      <w:r w:rsidR="00923BA7">
        <w:rPr>
          <w:noProof/>
        </w:rPr>
        <w:t>%</w:t>
      </w:r>
      <w:r w:rsidR="005508D0">
        <w:rPr>
          <w:noProof/>
        </w:rPr>
        <w:t xml:space="preserve"> over the quarter</w:t>
      </w:r>
      <w:r w:rsidR="006148A4" w:rsidRPr="000E1968">
        <w:rPr>
          <w:noProof/>
        </w:rPr>
        <w:t>.</w:t>
      </w:r>
    </w:p>
    <w:p w14:paraId="79C54A89" w14:textId="55001C6F" w:rsidR="002E3647" w:rsidRPr="00B76A73" w:rsidRDefault="005C31E9" w:rsidP="00855C4E">
      <w:pPr>
        <w:jc w:val="center"/>
        <w:rPr>
          <w:noProof/>
        </w:rPr>
      </w:pPr>
      <w:r w:rsidRPr="005C31E9">
        <w:drawing>
          <wp:inline distT="0" distB="0" distL="0" distR="0" wp14:anchorId="27BCFDD3" wp14:editId="5ADC6AF5">
            <wp:extent cx="5593080" cy="1478280"/>
            <wp:effectExtent l="0" t="0" r="7620" b="7620"/>
            <wp:docPr id="120012662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D39" w:rsidRPr="00B76A73">
        <w:br/>
      </w:r>
    </w:p>
    <w:p w14:paraId="3743084E" w14:textId="69DCD372" w:rsidR="00857079" w:rsidRPr="00B76A73" w:rsidRDefault="005C31E9" w:rsidP="00BB3B04">
      <w:pPr>
        <w:jc w:val="center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646456A6" wp14:editId="7FFB619D">
            <wp:extent cx="4097020" cy="2658110"/>
            <wp:effectExtent l="0" t="0" r="0" b="8890"/>
            <wp:docPr id="56332950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20E509" w14:textId="2A5D1BD0" w:rsidR="00100DF8" w:rsidRPr="00B76A73" w:rsidRDefault="00100DF8" w:rsidP="003D1D39">
      <w:pPr>
        <w:rPr>
          <w:noProof/>
        </w:rPr>
      </w:pPr>
      <w:r w:rsidRPr="00B76A73">
        <w:t>Stock market v</w:t>
      </w:r>
      <w:r w:rsidR="0007515A" w:rsidRPr="00B76A73">
        <w:t>olatility</w:t>
      </w:r>
      <w:r w:rsidR="00A1419D" w:rsidRPr="00B76A73">
        <w:t>, as measured by the VIX</w:t>
      </w:r>
      <w:r w:rsidR="00A1419D" w:rsidRPr="00B76A73">
        <w:rPr>
          <w:rStyle w:val="FootnoteReference"/>
        </w:rPr>
        <w:t xml:space="preserve"> </w:t>
      </w:r>
      <w:r w:rsidR="0007515A" w:rsidRPr="00B76A73">
        <w:rPr>
          <w:rStyle w:val="FootnoteReference"/>
        </w:rPr>
        <w:footnoteReference w:id="38"/>
      </w:r>
      <w:r w:rsidR="005573A8" w:rsidRPr="00B76A73">
        <w:t>,</w:t>
      </w:r>
      <w:r w:rsidRPr="00B76A73">
        <w:t xml:space="preserve"> </w:t>
      </w:r>
      <w:r w:rsidR="00595D8A" w:rsidRPr="00B76A73">
        <w:t xml:space="preserve">ended the </w:t>
      </w:r>
      <w:r w:rsidR="00C42568">
        <w:t>3</w:t>
      </w:r>
      <w:r w:rsidR="00C42568" w:rsidRPr="00C42568">
        <w:rPr>
          <w:vertAlign w:val="superscript"/>
        </w:rPr>
        <w:t>rd</w:t>
      </w:r>
      <w:r w:rsidR="00C42568">
        <w:t xml:space="preserve"> </w:t>
      </w:r>
      <w:r w:rsidR="00595D8A" w:rsidRPr="00B76A73">
        <w:t xml:space="preserve">quarter </w:t>
      </w:r>
      <w:r w:rsidR="005F5E70">
        <w:t xml:space="preserve">of 2023 </w:t>
      </w:r>
      <w:r w:rsidR="00595D8A" w:rsidRPr="00B76A73">
        <w:t xml:space="preserve">at </w:t>
      </w:r>
      <w:r w:rsidR="005F5E70">
        <w:t>1</w:t>
      </w:r>
      <w:r w:rsidR="00C42568">
        <w:t>7</w:t>
      </w:r>
      <w:r w:rsidR="005F5E70">
        <w:t>.</w:t>
      </w:r>
      <w:r w:rsidR="00C42568">
        <w:t>5</w:t>
      </w:r>
      <w:r w:rsidR="00595D8A" w:rsidRPr="00B76A73">
        <w:t xml:space="preserve">, </w:t>
      </w:r>
      <w:r w:rsidR="00C42568">
        <w:t>up</w:t>
      </w:r>
      <w:r w:rsidR="007B70CF">
        <w:t xml:space="preserve"> </w:t>
      </w:r>
      <w:r w:rsidR="00BA47E9">
        <w:t>2</w:t>
      </w:r>
      <w:r w:rsidR="00C42568">
        <w:t>8</w:t>
      </w:r>
      <w:r w:rsidR="00BA47E9">
        <w:t>.</w:t>
      </w:r>
      <w:r w:rsidR="00C42568">
        <w:t>9</w:t>
      </w:r>
      <w:r w:rsidR="00595D8A" w:rsidRPr="00B76A73">
        <w:t xml:space="preserve">% since the prior quarter </w:t>
      </w:r>
      <w:r w:rsidR="00C42568">
        <w:t>but down</w:t>
      </w:r>
      <w:r w:rsidR="005F5E70">
        <w:t xml:space="preserve"> </w:t>
      </w:r>
      <w:r w:rsidR="00603BFF">
        <w:t>4</w:t>
      </w:r>
      <w:r w:rsidR="00C42568">
        <w:t>4</w:t>
      </w:r>
      <w:r w:rsidR="00603BFF">
        <w:t>.</w:t>
      </w:r>
      <w:r w:rsidR="00C42568">
        <w:t>6</w:t>
      </w:r>
      <w:r w:rsidR="00595D8A" w:rsidRPr="00B76A73">
        <w:t xml:space="preserve">% since the </w:t>
      </w:r>
      <w:r w:rsidR="00C42568">
        <w:t>3</w:t>
      </w:r>
      <w:r w:rsidR="00C42568" w:rsidRPr="00C42568">
        <w:rPr>
          <w:vertAlign w:val="superscript"/>
        </w:rPr>
        <w:t>rd</w:t>
      </w:r>
      <w:r w:rsidR="00C42568">
        <w:t xml:space="preserve"> </w:t>
      </w:r>
      <w:r w:rsidR="005F5E70">
        <w:t>quarter of 2022</w:t>
      </w:r>
      <w:r w:rsidR="003D1D39" w:rsidRPr="00B76A73">
        <w:t>.</w:t>
      </w:r>
      <w:r w:rsidR="00B45117" w:rsidRPr="00B76A73">
        <w:t xml:space="preserve"> </w:t>
      </w:r>
      <w:r w:rsidR="005F5E70">
        <w:t xml:space="preserve">The </w:t>
      </w:r>
      <w:r w:rsidR="00C42A2D">
        <w:t xml:space="preserve">VIX </w:t>
      </w:r>
      <w:r w:rsidR="00F87D34">
        <w:t>rose during</w:t>
      </w:r>
      <w:r w:rsidR="00C42568">
        <w:t xml:space="preserve"> the 3</w:t>
      </w:r>
      <w:r w:rsidR="00C42568" w:rsidRPr="00C42568">
        <w:rPr>
          <w:vertAlign w:val="superscript"/>
        </w:rPr>
        <w:t>rd</w:t>
      </w:r>
      <w:r w:rsidR="00C42568">
        <w:t xml:space="preserve"> quarter, </w:t>
      </w:r>
      <w:r w:rsidR="00F87D34">
        <w:t>particularly</w:t>
      </w:r>
      <w:r w:rsidR="00C42568">
        <w:t xml:space="preserve"> September</w:t>
      </w:r>
      <w:r w:rsidR="002106AF">
        <w:t>.</w:t>
      </w:r>
    </w:p>
    <w:p w14:paraId="29D9D20D" w14:textId="41A98AF0" w:rsidR="00661AA7" w:rsidRPr="00B76A73" w:rsidRDefault="005C31E9" w:rsidP="00404E89">
      <w:pPr>
        <w:jc w:val="center"/>
      </w:pPr>
      <w:r>
        <w:rPr>
          <w:noProof/>
        </w:rPr>
        <w:drawing>
          <wp:inline distT="0" distB="0" distL="0" distR="0" wp14:anchorId="752425BB" wp14:editId="7269031E">
            <wp:extent cx="4097020" cy="2658110"/>
            <wp:effectExtent l="0" t="0" r="0" b="8890"/>
            <wp:docPr id="73787866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93" w14:textId="77777777" w:rsidR="00E44639" w:rsidRPr="00B76A73" w:rsidRDefault="00E44639" w:rsidP="00E44639">
      <w:pPr>
        <w:pStyle w:val="Heading1"/>
      </w:pPr>
      <w:r w:rsidRPr="00B76A73">
        <w:t>Outlook</w:t>
      </w:r>
    </w:p>
    <w:p w14:paraId="71C9C508" w14:textId="3495D953" w:rsidR="005573A8" w:rsidRPr="00B76A73" w:rsidRDefault="003071CD" w:rsidP="00E44639">
      <w:r w:rsidRPr="00B76A73">
        <w:t xml:space="preserve">In </w:t>
      </w:r>
      <w:r w:rsidR="001C1454">
        <w:t>September</w:t>
      </w:r>
      <w:r w:rsidR="005F5E70">
        <w:t xml:space="preserve"> 2023</w:t>
      </w:r>
      <w:r w:rsidRPr="00B76A73">
        <w:t xml:space="preserve">, the FOMC </w:t>
      </w:r>
      <w:r w:rsidR="005573A8" w:rsidRPr="00B76A73">
        <w:t xml:space="preserve">revised their </w:t>
      </w:r>
      <w:r w:rsidR="000755E2" w:rsidRPr="00B76A73">
        <w:t xml:space="preserve">near-term </w:t>
      </w:r>
      <w:r w:rsidR="007C29E7">
        <w:t>real GDP</w:t>
      </w:r>
      <w:r w:rsidR="005573A8" w:rsidRPr="00B76A73">
        <w:t xml:space="preserve"> projections upward </w:t>
      </w:r>
      <w:r w:rsidR="000755E2" w:rsidRPr="00B76A73">
        <w:t xml:space="preserve">and </w:t>
      </w:r>
      <w:r w:rsidR="00C22FCD">
        <w:t>unemployment rate</w:t>
      </w:r>
      <w:r w:rsidR="005125AE" w:rsidRPr="00B76A73">
        <w:t xml:space="preserve"> </w:t>
      </w:r>
      <w:r w:rsidR="000755E2" w:rsidRPr="00B76A73">
        <w:t>projections</w:t>
      </w:r>
      <w:r w:rsidR="00260D17" w:rsidRPr="00B76A73">
        <w:t xml:space="preserve"> </w:t>
      </w:r>
      <w:r w:rsidR="000755E2" w:rsidRPr="00B76A73">
        <w:t>downward</w:t>
      </w:r>
      <w:r w:rsidR="007C29E7">
        <w:t>; little change was made to near-term PCE inflation projections</w:t>
      </w:r>
      <w:r w:rsidR="0007242E" w:rsidRPr="00B76A73">
        <w:t xml:space="preserve">. </w:t>
      </w:r>
      <w:r w:rsidR="00C22FCD">
        <w:t>Little to no adjustments were made</w:t>
      </w:r>
      <w:r w:rsidR="00260D17" w:rsidRPr="00B76A73">
        <w:t xml:space="preserve"> to l</w:t>
      </w:r>
      <w:r w:rsidR="005573A8" w:rsidRPr="00B76A73">
        <w:t>onger</w:t>
      </w:r>
      <w:r w:rsidR="00452720" w:rsidRPr="00B76A73">
        <w:t>-</w:t>
      </w:r>
      <w:r w:rsidR="005573A8" w:rsidRPr="00B76A73">
        <w:t xml:space="preserve">run projections for </w:t>
      </w:r>
      <w:r w:rsidR="00C22FCD">
        <w:t>the</w:t>
      </w:r>
      <w:r w:rsidR="005573A8" w:rsidRPr="00B76A73">
        <w:t xml:space="preserve"> three indicators. </w:t>
      </w:r>
    </w:p>
    <w:p w14:paraId="1779A15E" w14:textId="539038B5" w:rsidR="00855C4E" w:rsidRPr="00B76A73" w:rsidRDefault="005573A8" w:rsidP="00855C4E">
      <w:r w:rsidRPr="00B76A73">
        <w:lastRenderedPageBreak/>
        <w:t>The FOMC revised their projection</w:t>
      </w:r>
      <w:r w:rsidR="00F60736" w:rsidRPr="00B76A73">
        <w:t xml:space="preserve"> </w:t>
      </w:r>
      <w:r w:rsidRPr="00B76A73">
        <w:t xml:space="preserve">for </w:t>
      </w:r>
      <w:r w:rsidR="00F60736" w:rsidRPr="00B76A73">
        <w:t>real GDP</w:t>
      </w:r>
      <w:r w:rsidR="00BF5CE2" w:rsidRPr="00B76A73">
        <w:rPr>
          <w:rStyle w:val="FootnoteReference"/>
        </w:rPr>
        <w:footnoteReference w:id="39"/>
      </w:r>
      <w:r w:rsidR="00F60736" w:rsidRPr="00B76A73">
        <w:t xml:space="preserve"> </w:t>
      </w:r>
      <w:r w:rsidR="001C1454">
        <w:t xml:space="preserve">sharply upward for the near term, </w:t>
      </w:r>
      <w:r w:rsidR="0039421C" w:rsidRPr="00B76A73">
        <w:t xml:space="preserve">to </w:t>
      </w:r>
      <w:r w:rsidR="001C1454">
        <w:t>2.0</w:t>
      </w:r>
      <w:r w:rsidR="007C29E7">
        <w:t>5</w:t>
      </w:r>
      <w:r w:rsidR="00F60736" w:rsidRPr="00B76A73">
        <w:t>%</w:t>
      </w:r>
      <w:r w:rsidR="0049182B" w:rsidRPr="00B76A73">
        <w:t xml:space="preserve"> growth in</w:t>
      </w:r>
      <w:r w:rsidR="00F60736" w:rsidRPr="00B76A73">
        <w:t xml:space="preserve"> 20</w:t>
      </w:r>
      <w:r w:rsidR="00090DA6" w:rsidRPr="00B76A73">
        <w:t>2</w:t>
      </w:r>
      <w:r w:rsidR="00495F77">
        <w:t>3</w:t>
      </w:r>
      <w:r w:rsidR="0049182B" w:rsidRPr="00B76A73">
        <w:t xml:space="preserve">, </w:t>
      </w:r>
      <w:r w:rsidR="001C1454">
        <w:t>cooling</w:t>
      </w:r>
      <w:r w:rsidR="0049182B" w:rsidRPr="00B76A73">
        <w:t xml:space="preserve"> to </w:t>
      </w:r>
      <w:r w:rsidR="00495F77">
        <w:t>1</w:t>
      </w:r>
      <w:r w:rsidR="00922197" w:rsidRPr="00B76A73">
        <w:t>.</w:t>
      </w:r>
      <w:r w:rsidR="001C1454">
        <w:t>5</w:t>
      </w:r>
      <w:r w:rsidR="007C29E7">
        <w:t>0</w:t>
      </w:r>
      <w:r w:rsidR="0049182B" w:rsidRPr="00B76A73">
        <w:t xml:space="preserve">% </w:t>
      </w:r>
      <w:r w:rsidR="00F66850" w:rsidRPr="00B76A73">
        <w:t>in 202</w:t>
      </w:r>
      <w:r w:rsidR="00495F77">
        <w:t>4</w:t>
      </w:r>
      <w:r w:rsidR="00F66850" w:rsidRPr="00B76A73">
        <w:t xml:space="preserve"> </w:t>
      </w:r>
      <w:r w:rsidR="001C1454">
        <w:t>and</w:t>
      </w:r>
      <w:r w:rsidR="00F66850" w:rsidRPr="00B76A73">
        <w:t xml:space="preserve"> 1.</w:t>
      </w:r>
      <w:r w:rsidR="007C29E7">
        <w:t>80</w:t>
      </w:r>
      <w:r w:rsidR="00F66850" w:rsidRPr="00B76A73">
        <w:t xml:space="preserve">% </w:t>
      </w:r>
      <w:r w:rsidR="001C1454">
        <w:t>in</w:t>
      </w:r>
      <w:r w:rsidR="000D646D" w:rsidRPr="00B76A73">
        <w:t xml:space="preserve"> 202</w:t>
      </w:r>
      <w:r w:rsidR="00495F77">
        <w:t>5</w:t>
      </w:r>
      <w:r w:rsidR="00F60736" w:rsidRPr="00B76A73">
        <w:t xml:space="preserve">. They </w:t>
      </w:r>
      <w:r w:rsidR="001C1454">
        <w:t>forecast</w:t>
      </w:r>
      <w:r w:rsidR="00F60736" w:rsidRPr="00B76A73">
        <w:t xml:space="preserve"> Personal Consumption Expendit</w:t>
      </w:r>
      <w:r w:rsidR="00090DA6" w:rsidRPr="00B76A73">
        <w:t>ures (PCE)</w:t>
      </w:r>
      <w:r w:rsidR="00F66850" w:rsidRPr="00B76A73">
        <w:t xml:space="preserve"> inflation</w:t>
      </w:r>
      <w:r w:rsidR="005D3CEF" w:rsidRPr="00B76A73">
        <w:rPr>
          <w:rStyle w:val="FootnoteReference"/>
        </w:rPr>
        <w:footnoteReference w:id="40"/>
      </w:r>
      <w:r w:rsidR="00090DA6" w:rsidRPr="00B76A73">
        <w:t xml:space="preserve"> </w:t>
      </w:r>
      <w:r w:rsidR="001C1454">
        <w:t>of</w:t>
      </w:r>
      <w:r w:rsidR="00155E5F" w:rsidRPr="00B76A73">
        <w:t xml:space="preserve"> </w:t>
      </w:r>
      <w:r w:rsidR="00495F77">
        <w:t>3.</w:t>
      </w:r>
      <w:r w:rsidR="001C1454">
        <w:t>30</w:t>
      </w:r>
      <w:r w:rsidR="000F3008" w:rsidRPr="00B76A73">
        <w:t>%</w:t>
      </w:r>
      <w:r w:rsidR="000755E2" w:rsidRPr="00B76A73">
        <w:t xml:space="preserve"> </w:t>
      </w:r>
      <w:r w:rsidR="00D31480" w:rsidRPr="00B76A73">
        <w:t>in</w:t>
      </w:r>
      <w:r w:rsidR="000755E2" w:rsidRPr="00B76A73">
        <w:t xml:space="preserve"> 202</w:t>
      </w:r>
      <w:r w:rsidR="00495F77">
        <w:t xml:space="preserve">3, </w:t>
      </w:r>
      <w:r w:rsidR="00AE492E" w:rsidRPr="00B76A73">
        <w:t>moderat</w:t>
      </w:r>
      <w:r w:rsidR="00495F77">
        <w:t>ing</w:t>
      </w:r>
      <w:r w:rsidR="00D31480" w:rsidRPr="00B76A73">
        <w:t xml:space="preserve"> to</w:t>
      </w:r>
      <w:r w:rsidR="000755E2" w:rsidRPr="00B76A73">
        <w:t xml:space="preserve"> </w:t>
      </w:r>
      <w:r w:rsidR="00495F77">
        <w:t>2.5</w:t>
      </w:r>
      <w:r w:rsidR="001C1454">
        <w:t>0</w:t>
      </w:r>
      <w:r w:rsidR="00AE492E" w:rsidRPr="00B76A73">
        <w:t>% by 202</w:t>
      </w:r>
      <w:r w:rsidR="00495F77">
        <w:t>4</w:t>
      </w:r>
      <w:r w:rsidR="00AE492E" w:rsidRPr="00B76A73">
        <w:t xml:space="preserve"> and 2.</w:t>
      </w:r>
      <w:r w:rsidR="001C1454">
        <w:t>15</w:t>
      </w:r>
      <w:r w:rsidR="000F3008" w:rsidRPr="00B76A73">
        <w:t>%</w:t>
      </w:r>
      <w:r w:rsidR="000755E2" w:rsidRPr="00B76A73">
        <w:t xml:space="preserve"> </w:t>
      </w:r>
      <w:r w:rsidR="00AE492E" w:rsidRPr="00B76A73">
        <w:t>by</w:t>
      </w:r>
      <w:r w:rsidR="000755E2" w:rsidRPr="00B76A73">
        <w:t xml:space="preserve"> 202</w:t>
      </w:r>
      <w:r w:rsidR="00495F77">
        <w:t>5</w:t>
      </w:r>
      <w:r w:rsidRPr="00B76A73">
        <w:t xml:space="preserve">. </w:t>
      </w:r>
      <w:r w:rsidR="00F60736" w:rsidRPr="00B76A73">
        <w:t>The</w:t>
      </w:r>
      <w:r w:rsidR="004907DA" w:rsidRPr="00B76A73">
        <w:t>y</w:t>
      </w:r>
      <w:r w:rsidR="00F60736" w:rsidRPr="00B76A73">
        <w:t xml:space="preserve"> </w:t>
      </w:r>
      <w:r w:rsidR="001C1454">
        <w:t>expected</w:t>
      </w:r>
      <w:r w:rsidR="00F60736" w:rsidRPr="00B76A73">
        <w:t xml:space="preserve"> th</w:t>
      </w:r>
      <w:r w:rsidR="004907DA" w:rsidRPr="00B76A73">
        <w:t>at th</w:t>
      </w:r>
      <w:r w:rsidR="00F60736" w:rsidRPr="00B76A73">
        <w:t>e unemployment rate</w:t>
      </w:r>
      <w:r w:rsidR="00E72196" w:rsidRPr="00B76A73">
        <w:rPr>
          <w:rStyle w:val="FootnoteReference"/>
        </w:rPr>
        <w:footnoteReference w:id="41"/>
      </w:r>
      <w:r w:rsidR="00F60736" w:rsidRPr="00B76A73">
        <w:t xml:space="preserve"> </w:t>
      </w:r>
      <w:r w:rsidR="000755E2" w:rsidRPr="00B76A73">
        <w:t>would</w:t>
      </w:r>
      <w:r w:rsidR="00F60736" w:rsidRPr="00B76A73">
        <w:t xml:space="preserve"> </w:t>
      </w:r>
      <w:r w:rsidR="001C1454">
        <w:t>be 3.80</w:t>
      </w:r>
      <w:r w:rsidR="00F60736" w:rsidRPr="00B76A73">
        <w:t>%</w:t>
      </w:r>
      <w:r w:rsidR="0039421C" w:rsidRPr="00B76A73">
        <w:t xml:space="preserve"> in 202</w:t>
      </w:r>
      <w:r w:rsidR="00495F77">
        <w:t>3</w:t>
      </w:r>
      <w:r w:rsidR="00F66850" w:rsidRPr="00B76A73">
        <w:t>, rising to 4.</w:t>
      </w:r>
      <w:r w:rsidR="001C1454">
        <w:t>1</w:t>
      </w:r>
      <w:r w:rsidR="007C29E7">
        <w:t>5</w:t>
      </w:r>
      <w:r w:rsidR="0049182B" w:rsidRPr="00B76A73">
        <w:t xml:space="preserve">% </w:t>
      </w:r>
      <w:r w:rsidR="00AE492E" w:rsidRPr="00B76A73">
        <w:t>in</w:t>
      </w:r>
      <w:r w:rsidR="00F60736" w:rsidRPr="00B76A73">
        <w:t xml:space="preserve"> 20</w:t>
      </w:r>
      <w:r w:rsidR="00090DA6" w:rsidRPr="00B76A73">
        <w:t>2</w:t>
      </w:r>
      <w:r w:rsidR="00495F77">
        <w:t>4</w:t>
      </w:r>
      <w:r w:rsidR="00AE492E" w:rsidRPr="00B76A73">
        <w:t xml:space="preserve"> and</w:t>
      </w:r>
      <w:r w:rsidR="00495F77">
        <w:t xml:space="preserve"> </w:t>
      </w:r>
      <w:r w:rsidR="001C1454">
        <w:t xml:space="preserve">4.10% in </w:t>
      </w:r>
      <w:r w:rsidR="00AE492E" w:rsidRPr="00B76A73">
        <w:t>202</w:t>
      </w:r>
      <w:r w:rsidR="00495F77">
        <w:t>5</w:t>
      </w:r>
      <w:r w:rsidR="003071CD" w:rsidRPr="00B76A73">
        <w:t>.</w:t>
      </w:r>
      <w:r w:rsidR="005C22CA" w:rsidRPr="00B76A73">
        <w:t xml:space="preserve"> </w:t>
      </w:r>
      <w:r w:rsidR="00155E5F" w:rsidRPr="00B76A73">
        <w:t>T</w:t>
      </w:r>
      <w:r w:rsidR="005C22CA" w:rsidRPr="00B76A73">
        <w:t xml:space="preserve">he board </w:t>
      </w:r>
      <w:r w:rsidR="00043F5D">
        <w:t>raised</w:t>
      </w:r>
      <w:r w:rsidR="00091282" w:rsidRPr="00B76A73">
        <w:t xml:space="preserve"> </w:t>
      </w:r>
      <w:r w:rsidR="001C1454">
        <w:t xml:space="preserve">long-term </w:t>
      </w:r>
      <w:r w:rsidR="00091282" w:rsidRPr="00B76A73">
        <w:t>projections of future target rates</w:t>
      </w:r>
      <w:r w:rsidR="00495F77">
        <w:t>, revising the</w:t>
      </w:r>
      <w:r w:rsidR="00043F5D">
        <w:t xml:space="preserve"> </w:t>
      </w:r>
      <w:r w:rsidR="009A205A">
        <w:t xml:space="preserve">median </w:t>
      </w:r>
      <w:r w:rsidR="00495F77">
        <w:t>projection</w:t>
      </w:r>
      <w:r w:rsidR="00043F5D">
        <w:t>s</w:t>
      </w:r>
      <w:r w:rsidR="00495F77">
        <w:t xml:space="preserve"> </w:t>
      </w:r>
      <w:r w:rsidR="00043F5D">
        <w:t xml:space="preserve">to 5.6% in 2023, </w:t>
      </w:r>
      <w:r w:rsidR="001C1454">
        <w:t>5.1</w:t>
      </w:r>
      <w:r w:rsidR="00043F5D">
        <w:t>% in 2024, and 3.</w:t>
      </w:r>
      <w:r w:rsidR="001C1454">
        <w:t>9</w:t>
      </w:r>
      <w:r w:rsidR="00043F5D">
        <w:t>% in 2025</w:t>
      </w:r>
      <w:r w:rsidR="00A54ACF" w:rsidRPr="00B76A73">
        <w:t>.</w:t>
      </w:r>
      <w:r w:rsidR="009839D2">
        <w:t xml:space="preserve"> While the committee paused target rate increases in June, they foreshadowed future rate hikes this year.</w:t>
      </w:r>
    </w:p>
    <w:p w14:paraId="4D630423" w14:textId="6A8DBD24" w:rsidR="00FD0160" w:rsidRPr="00B76A73" w:rsidRDefault="005C31E9" w:rsidP="00855C4E">
      <w:pPr>
        <w:jc w:val="center"/>
      </w:pPr>
      <w:r w:rsidRPr="005C31E9">
        <w:drawing>
          <wp:inline distT="0" distB="0" distL="0" distR="0" wp14:anchorId="72AA90AF" wp14:editId="2B97686C">
            <wp:extent cx="3909060" cy="1112520"/>
            <wp:effectExtent l="0" t="0" r="0" b="0"/>
            <wp:docPr id="130170173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5A3C9" w14:textId="4CF9E1B8" w:rsidR="002301AB" w:rsidRPr="00B76A73" w:rsidRDefault="002308A9">
      <w:r w:rsidRPr="00B76A73">
        <w:br w:type="page"/>
      </w:r>
    </w:p>
    <w:p w14:paraId="71E59CEA" w14:textId="6D7E62F8" w:rsidR="002308A9" w:rsidRPr="00B76A73" w:rsidRDefault="002301AB">
      <w:pPr>
        <w:rPr>
          <w:rFonts w:asciiTheme="majorHAnsi" w:eastAsiaTheme="majorEastAsia" w:hAnsiTheme="majorHAnsi" w:cstheme="majorBidi"/>
          <w:color w:val="008FD5"/>
          <w:sz w:val="36"/>
          <w:szCs w:val="32"/>
        </w:rPr>
      </w:pPr>
      <w:r w:rsidRPr="00B76A73">
        <w:rPr>
          <w:rFonts w:asciiTheme="majorHAnsi" w:eastAsiaTheme="majorEastAsia" w:hAnsiTheme="majorHAnsi" w:cstheme="majorBidi"/>
          <w:color w:val="008FD5"/>
          <w:sz w:val="36"/>
          <w:szCs w:val="32"/>
        </w:rPr>
        <w:lastRenderedPageBreak/>
        <w:t>Appendix – Selected Interest Rates</w:t>
      </w:r>
    </w:p>
    <w:p w14:paraId="6F34C406" w14:textId="47863787" w:rsidR="002301AB" w:rsidRPr="00B76A73" w:rsidRDefault="005C31E9">
      <w:r w:rsidRPr="005C31E9">
        <w:drawing>
          <wp:inline distT="0" distB="0" distL="0" distR="0" wp14:anchorId="1C0CF91E" wp14:editId="182ED773">
            <wp:extent cx="5486400" cy="7706051"/>
            <wp:effectExtent l="0" t="0" r="0" b="9525"/>
            <wp:docPr id="206881345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0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D5FB3" w14:textId="386CB697" w:rsidR="00005111" w:rsidRPr="00B76A73" w:rsidRDefault="00005111" w:rsidP="001475FF">
      <w:pPr>
        <w:pStyle w:val="Heading1"/>
      </w:pPr>
      <w:r w:rsidRPr="00B76A73">
        <w:lastRenderedPageBreak/>
        <w:t>About This Report</w:t>
      </w:r>
    </w:p>
    <w:p w14:paraId="149D5FB4" w14:textId="5800CD46" w:rsidR="002F3682" w:rsidRPr="00B76A73" w:rsidRDefault="00BB34CA" w:rsidP="00005111">
      <w:r w:rsidRPr="00B76A73">
        <w:t xml:space="preserve">The </w:t>
      </w:r>
      <w:r w:rsidRPr="00B76A73">
        <w:rPr>
          <w:i/>
        </w:rPr>
        <w:t>Quarterly Economic Update</w:t>
      </w:r>
      <w:r w:rsidRPr="00B76A73">
        <w:t xml:space="preserve"> is a free publication sponsored by </w:t>
      </w:r>
      <w:proofErr w:type="spellStart"/>
      <w:r w:rsidRPr="00B76A73">
        <w:t>TagniFi</w:t>
      </w:r>
      <w:proofErr w:type="spellEnd"/>
      <w:r w:rsidRPr="00B76A73">
        <w:t>. You are free to share this report and include its contents in the economic outlook section of your valuation reports</w:t>
      </w:r>
      <w:r w:rsidR="00DF67C7" w:rsidRPr="00B76A73">
        <w:t xml:space="preserve"> as required by </w:t>
      </w:r>
      <w:r w:rsidR="00DF67C7" w:rsidRPr="00B76A73">
        <w:rPr>
          <w:i/>
        </w:rPr>
        <w:t>Revenue Ruling 59-60</w:t>
      </w:r>
      <w:r w:rsidRPr="00B76A73">
        <w:t xml:space="preserve">. Please forward this </w:t>
      </w:r>
      <w:r w:rsidR="00DF67C7" w:rsidRPr="00B76A73">
        <w:t xml:space="preserve">free </w:t>
      </w:r>
      <w:r w:rsidRPr="00B76A73">
        <w:t>report to a c</w:t>
      </w:r>
      <w:r w:rsidR="00DF67C7" w:rsidRPr="00B76A73">
        <w:t xml:space="preserve">olleague to help us spread the word about </w:t>
      </w:r>
      <w:proofErr w:type="spellStart"/>
      <w:r w:rsidR="00DF67C7" w:rsidRPr="00B76A73">
        <w:t>TagniFi</w:t>
      </w:r>
      <w:proofErr w:type="spellEnd"/>
      <w:r w:rsidRPr="00B76A73">
        <w:t>.</w:t>
      </w:r>
    </w:p>
    <w:p w14:paraId="5E6B4C93" w14:textId="2938085A" w:rsidR="00964DD4" w:rsidRPr="00B76A73" w:rsidRDefault="00964DD4" w:rsidP="00230D29">
      <w:pPr>
        <w:rPr>
          <w:rFonts w:ascii="Calibri Light" w:hAnsi="Calibri Light" w:cs="Calibri Light"/>
          <w:color w:val="008FD5"/>
          <w:sz w:val="36"/>
          <w:szCs w:val="36"/>
        </w:rPr>
      </w:pPr>
      <w:r w:rsidRPr="00B76A73">
        <w:rPr>
          <w:rFonts w:ascii="Calibri Light" w:hAnsi="Calibri Light" w:cs="Calibri Light"/>
          <w:color w:val="008FD5"/>
          <w:sz w:val="36"/>
          <w:szCs w:val="36"/>
        </w:rPr>
        <w:t xml:space="preserve">How </w:t>
      </w:r>
      <w:proofErr w:type="spellStart"/>
      <w:r w:rsidRPr="00B76A73">
        <w:rPr>
          <w:rFonts w:ascii="Calibri Light" w:hAnsi="Calibri Light" w:cs="Calibri Light"/>
          <w:color w:val="008FD5"/>
          <w:sz w:val="36"/>
          <w:szCs w:val="36"/>
        </w:rPr>
        <w:t>TagniFi</w:t>
      </w:r>
      <w:proofErr w:type="spellEnd"/>
      <w:r w:rsidR="005F5744" w:rsidRPr="00B76A73">
        <w:rPr>
          <w:rFonts w:ascii="Calibri Light" w:hAnsi="Calibri Light" w:cs="Calibri Light"/>
          <w:color w:val="008FD5"/>
          <w:sz w:val="36"/>
          <w:szCs w:val="36"/>
        </w:rPr>
        <w:t xml:space="preserve"> Helps </w:t>
      </w:r>
      <w:r w:rsidRPr="00B76A73">
        <w:rPr>
          <w:rFonts w:ascii="Calibri Light" w:hAnsi="Calibri Light" w:cs="Calibri Light"/>
          <w:color w:val="008FD5"/>
          <w:sz w:val="36"/>
          <w:szCs w:val="36"/>
        </w:rPr>
        <w:t>Business Valuation</w:t>
      </w:r>
      <w:r w:rsidR="005F5744" w:rsidRPr="00B76A73">
        <w:rPr>
          <w:rFonts w:ascii="Calibri Light" w:hAnsi="Calibri Light" w:cs="Calibri Light"/>
          <w:color w:val="008FD5"/>
          <w:sz w:val="36"/>
          <w:szCs w:val="36"/>
        </w:rPr>
        <w:t xml:space="preserve"> Teams</w:t>
      </w:r>
    </w:p>
    <w:p w14:paraId="1FE39938" w14:textId="7315018D" w:rsidR="00964DD4" w:rsidRPr="00B76A73" w:rsidRDefault="00964DD4" w:rsidP="00230D29">
      <w:proofErr w:type="spellStart"/>
      <w:r w:rsidRPr="00B76A73">
        <w:t>TagniFi’s</w:t>
      </w:r>
      <w:proofErr w:type="spellEnd"/>
      <w:r w:rsidRPr="00B76A73">
        <w:t xml:space="preserve"> financial data platform empowers business valuation </w:t>
      </w:r>
      <w:r w:rsidR="00617DFF" w:rsidRPr="00B76A73">
        <w:t>teams</w:t>
      </w:r>
      <w:r w:rsidRPr="00B76A73">
        <w:t xml:space="preserve"> to quickly and easily build highly accurate financial models with full transparency—and within seconds.</w:t>
      </w:r>
    </w:p>
    <w:p w14:paraId="5282F11A" w14:textId="77777777" w:rsidR="003D3C51" w:rsidRPr="00B76A73" w:rsidRDefault="003D3C51" w:rsidP="00230D29"/>
    <w:p w14:paraId="736F547D" w14:textId="34D03572" w:rsidR="004C20AB" w:rsidRPr="00B76A73" w:rsidRDefault="00617DFF" w:rsidP="00230D29">
      <w:r w:rsidRPr="00B76A73">
        <w:rPr>
          <w:b/>
          <w:bCs/>
        </w:rPr>
        <w:t xml:space="preserve">Better </w:t>
      </w:r>
      <w:r w:rsidR="004C20AB" w:rsidRPr="00B76A73">
        <w:rPr>
          <w:b/>
          <w:bCs/>
        </w:rPr>
        <w:t>Public Comps</w:t>
      </w:r>
      <w:r w:rsidR="004C20AB" w:rsidRPr="00B76A73">
        <w:br/>
      </w:r>
      <w:r w:rsidR="004C20AB" w:rsidRPr="00B76A73">
        <w:rPr>
          <w:noProof/>
        </w:rPr>
        <w:drawing>
          <wp:anchor distT="0" distB="0" distL="114300" distR="114300" simplePos="0" relativeHeight="251659776" behindDoc="0" locked="0" layoutInCell="1" allowOverlap="1" wp14:anchorId="0C218BE2" wp14:editId="5412CA4E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162175" cy="1621631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20AB" w:rsidRPr="00B76A73">
        <w:t xml:space="preserve">Search for public companies with </w:t>
      </w:r>
      <w:proofErr w:type="spellStart"/>
      <w:r w:rsidR="004C20AB" w:rsidRPr="00B76A73">
        <w:t>TagniFi</w:t>
      </w:r>
      <w:proofErr w:type="spellEnd"/>
      <w:r w:rsidR="004C20AB" w:rsidRPr="00B76A73">
        <w:t xml:space="preserve"> Web. Simply enter your valuation date and ticker symbols in Excel to run a guideline public company method. Your Excel model populates instantly with the financial statements, analyst estimates, interest rates and economic data for your valuation date. </w:t>
      </w:r>
    </w:p>
    <w:p w14:paraId="70ABEE83" w14:textId="4BA88891" w:rsidR="004C20AB" w:rsidRPr="00B76A73" w:rsidRDefault="004C20AB" w:rsidP="00230D29"/>
    <w:p w14:paraId="249DCE3B" w14:textId="77777777" w:rsidR="004C20AB" w:rsidRPr="00B76A73" w:rsidRDefault="004C20AB" w:rsidP="004C20AB"/>
    <w:p w14:paraId="44A583AB" w14:textId="48F01EF7" w:rsidR="004C20AB" w:rsidRPr="00B76A73" w:rsidRDefault="004C20AB" w:rsidP="004C20AB">
      <w:r w:rsidRPr="00B76A73">
        <w:rPr>
          <w:b/>
          <w:bCs/>
          <w:noProof/>
        </w:rPr>
        <w:drawing>
          <wp:anchor distT="0" distB="0" distL="114300" distR="114300" simplePos="0" relativeHeight="251660800" behindDoc="0" locked="0" layoutInCell="1" allowOverlap="1" wp14:anchorId="6657EAAE" wp14:editId="5C451360">
            <wp:simplePos x="0" y="0"/>
            <wp:positionH relativeFrom="column">
              <wp:posOffset>3524250</wp:posOffset>
            </wp:positionH>
            <wp:positionV relativeFrom="paragraph">
              <wp:posOffset>-478790</wp:posOffset>
            </wp:positionV>
            <wp:extent cx="2152650" cy="1614170"/>
            <wp:effectExtent l="0" t="0" r="0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7DFF" w:rsidRPr="00B76A73">
        <w:rPr>
          <w:b/>
          <w:bCs/>
        </w:rPr>
        <w:t xml:space="preserve">Better </w:t>
      </w:r>
      <w:r w:rsidRPr="00B76A73">
        <w:rPr>
          <w:b/>
          <w:bCs/>
        </w:rPr>
        <w:t>Transaction Comps</w:t>
      </w:r>
      <w:r w:rsidRPr="00B76A73">
        <w:br/>
        <w:t xml:space="preserve">Search for public and private M&amp;A transactions with </w:t>
      </w:r>
      <w:proofErr w:type="spellStart"/>
      <w:r w:rsidRPr="00B76A73">
        <w:t>TagniFi</w:t>
      </w:r>
      <w:proofErr w:type="spellEnd"/>
      <w:r w:rsidRPr="00B76A73">
        <w:t xml:space="preserve"> Web. Run your transaction comps within seconds by pasting the Deal ID into your Excel model. Every deal disclosed in an SEC filing (8-K, 10-K, or 10-Q) is available for your analysis. Choose from over 90 fields of data available for every deal. </w:t>
      </w:r>
    </w:p>
    <w:p w14:paraId="67E200C4" w14:textId="310AA887" w:rsidR="003B0B22" w:rsidRPr="00B76A73" w:rsidRDefault="003B0B22" w:rsidP="004C20AB">
      <w:pPr>
        <w:rPr>
          <w:b/>
          <w:bCs/>
        </w:rPr>
      </w:pPr>
      <w:r w:rsidRPr="00B76A73">
        <w:rPr>
          <w:b/>
          <w:bCs/>
          <w:noProof/>
        </w:rPr>
        <w:drawing>
          <wp:anchor distT="0" distB="0" distL="114300" distR="114300" simplePos="0" relativeHeight="251661824" behindDoc="0" locked="0" layoutInCell="1" allowOverlap="1" wp14:anchorId="7A9B5416" wp14:editId="00F0202F">
            <wp:simplePos x="0" y="0"/>
            <wp:positionH relativeFrom="margin">
              <wp:align>left</wp:align>
            </wp:positionH>
            <wp:positionV relativeFrom="paragraph">
              <wp:posOffset>274320</wp:posOffset>
            </wp:positionV>
            <wp:extent cx="2256790" cy="1559560"/>
            <wp:effectExtent l="0" t="0" r="0" b="254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7"/>
                    <a:stretch/>
                  </pic:blipFill>
                  <pic:spPr bwMode="auto">
                    <a:xfrm>
                      <a:off x="0" y="0"/>
                      <a:ext cx="225679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A5C467F" w14:textId="170F5616" w:rsidR="004C20AB" w:rsidRPr="00B76A73" w:rsidRDefault="004C20AB" w:rsidP="004C20AB">
      <w:r w:rsidRPr="00B76A73">
        <w:rPr>
          <w:b/>
          <w:bCs/>
        </w:rPr>
        <w:t>Historical Beta and Volatility</w:t>
      </w:r>
      <w:r w:rsidRPr="00B76A73">
        <w:rPr>
          <w:b/>
          <w:bCs/>
        </w:rPr>
        <w:br/>
      </w:r>
      <w:r w:rsidRPr="00B76A73">
        <w:t xml:space="preserve">Calculate historical beta and volatility as of your valuation date automatically. Simply enter the tickers and valuation date in Excel </w:t>
      </w:r>
      <w:r w:rsidR="003B0B22" w:rsidRPr="00B76A73">
        <w:t>-</w:t>
      </w:r>
      <w:r w:rsidRPr="00B76A73">
        <w:t xml:space="preserve"> </w:t>
      </w:r>
      <w:proofErr w:type="spellStart"/>
      <w:r w:rsidRPr="00B76A73">
        <w:t>TagniFi</w:t>
      </w:r>
      <w:proofErr w:type="spellEnd"/>
      <w:r w:rsidRPr="00B76A73">
        <w:t xml:space="preserve"> does the rest.</w:t>
      </w:r>
      <w:r w:rsidR="003B0B22" w:rsidRPr="00B76A73">
        <w:t xml:space="preserve"> In addition to beta and volatility, there are over 40 Excel models available in the Model Library to help with your valuation report. </w:t>
      </w:r>
    </w:p>
    <w:p w14:paraId="42664782" w14:textId="50B2EA67" w:rsidR="003B0B22" w:rsidRPr="00B76A73" w:rsidRDefault="003B0B22" w:rsidP="004C20AB"/>
    <w:p w14:paraId="4808FD9A" w14:textId="7CD3F2CA" w:rsidR="003B0B22" w:rsidRPr="00B76A73" w:rsidRDefault="003B0B22" w:rsidP="004C20AB">
      <w:r w:rsidRPr="00B76A73"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7F6FB4BC" wp14:editId="1BE8E9C3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219325" cy="1664494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76A73">
        <w:rPr>
          <w:b/>
          <w:bCs/>
        </w:rPr>
        <w:t>Interest Rates and Economic Dat</w:t>
      </w:r>
      <w:r w:rsidR="00BC7E45" w:rsidRPr="00B76A73">
        <w:rPr>
          <w:b/>
          <w:bCs/>
        </w:rPr>
        <w:t>a</w:t>
      </w:r>
      <w:r w:rsidRPr="00B76A73">
        <w:rPr>
          <w:b/>
          <w:bCs/>
        </w:rPr>
        <w:br/>
      </w:r>
      <w:r w:rsidRPr="00B76A73">
        <w:t xml:space="preserve">Automate the interest rates and economic data in your valuation report using the </w:t>
      </w:r>
      <w:proofErr w:type="spellStart"/>
      <w:r w:rsidRPr="00B76A73">
        <w:t>TagniFi</w:t>
      </w:r>
      <w:proofErr w:type="spellEnd"/>
      <w:r w:rsidRPr="00B76A73">
        <w:t xml:space="preserve"> Excel plugin. Choose from over 200,000 time series available. All data in this </w:t>
      </w:r>
      <w:r w:rsidRPr="00B76A73">
        <w:rPr>
          <w:i/>
          <w:iCs/>
        </w:rPr>
        <w:t>Quarterly Economic Update</w:t>
      </w:r>
      <w:r w:rsidRPr="00B76A73">
        <w:t xml:space="preserve"> </w:t>
      </w:r>
      <w:r w:rsidR="002C5E52" w:rsidRPr="00B76A73">
        <w:t>is</w:t>
      </w:r>
      <w:r w:rsidRPr="00B76A73">
        <w:t xml:space="preserve"> from the </w:t>
      </w:r>
      <w:proofErr w:type="spellStart"/>
      <w:r w:rsidRPr="00B76A73">
        <w:t>TagniFi</w:t>
      </w:r>
      <w:proofErr w:type="spellEnd"/>
      <w:r w:rsidRPr="00B76A73">
        <w:t xml:space="preserve"> platform.</w:t>
      </w:r>
      <w:r w:rsidR="002C5E52" w:rsidRPr="00B76A73">
        <w:t xml:space="preserve"> Use economic and interest rate dat</w:t>
      </w:r>
      <w:r w:rsidR="006C08FA" w:rsidRPr="00B76A73">
        <w:t>a</w:t>
      </w:r>
      <w:r w:rsidR="002C5E52" w:rsidRPr="00B76A73">
        <w:t xml:space="preserve"> for your own valuation models with the </w:t>
      </w:r>
      <w:proofErr w:type="spellStart"/>
      <w:r w:rsidR="002C5E52" w:rsidRPr="00B76A73">
        <w:t>TagniFi</w:t>
      </w:r>
      <w:proofErr w:type="spellEnd"/>
      <w:r w:rsidR="002C5E52" w:rsidRPr="00B76A73">
        <w:t xml:space="preserve"> Excel plugin.</w:t>
      </w:r>
    </w:p>
    <w:p w14:paraId="76A748D9" w14:textId="6DA146B3" w:rsidR="002D4C10" w:rsidRPr="00B76A73" w:rsidRDefault="002D4C10" w:rsidP="002D4C10">
      <w:pPr>
        <w:rPr>
          <w:b/>
          <w:bCs/>
        </w:rPr>
      </w:pPr>
      <w:r w:rsidRPr="00B76A73">
        <w:rPr>
          <w:noProof/>
        </w:rPr>
        <w:drawing>
          <wp:anchor distT="0" distB="0" distL="114300" distR="114300" simplePos="0" relativeHeight="251663872" behindDoc="0" locked="0" layoutInCell="1" allowOverlap="1" wp14:anchorId="14BEAF36" wp14:editId="2559BE73">
            <wp:simplePos x="0" y="0"/>
            <wp:positionH relativeFrom="margin">
              <wp:posOffset>-635</wp:posOffset>
            </wp:positionH>
            <wp:positionV relativeFrom="paragraph">
              <wp:posOffset>296545</wp:posOffset>
            </wp:positionV>
            <wp:extent cx="2380615" cy="1819275"/>
            <wp:effectExtent l="0" t="0" r="635" b="9525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1" t="15145" r="49039" b="54028"/>
                    <a:stretch/>
                  </pic:blipFill>
                  <pic:spPr bwMode="auto">
                    <a:xfrm>
                      <a:off x="0" y="0"/>
                      <a:ext cx="238061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DB224E1" w14:textId="64D6F5F8" w:rsidR="002D4C10" w:rsidRDefault="002D4C10" w:rsidP="002D4C10">
      <w:r w:rsidRPr="00B76A73">
        <w:rPr>
          <w:b/>
          <w:bCs/>
        </w:rPr>
        <w:br/>
        <w:t>Closed-End Mutual Fund Data</w:t>
      </w:r>
      <w:r w:rsidRPr="00B76A73">
        <w:rPr>
          <w:b/>
          <w:bCs/>
        </w:rPr>
        <w:br/>
      </w:r>
      <w:r w:rsidRPr="00B76A73">
        <w:t xml:space="preserve">Search for closed-end mutual funds by keyword, category, subcategory, and more with the </w:t>
      </w:r>
      <w:proofErr w:type="spellStart"/>
      <w:r w:rsidRPr="00B76A73">
        <w:t>TagniFi</w:t>
      </w:r>
      <w:proofErr w:type="spellEnd"/>
      <w:r w:rsidRPr="00B76A73">
        <w:t xml:space="preserve"> Console. Use the </w:t>
      </w:r>
      <w:proofErr w:type="spellStart"/>
      <w:r w:rsidRPr="00B76A73">
        <w:t>TagniFi</w:t>
      </w:r>
      <w:proofErr w:type="spellEnd"/>
      <w:r w:rsidRPr="00B76A73">
        <w:t xml:space="preserve"> Excel plugin to calculate historical discounts, yields, leverage, as of your valuation date automatically. Simply enter the tickers and valuation date in Excel - </w:t>
      </w:r>
      <w:proofErr w:type="spellStart"/>
      <w:r w:rsidRPr="00B76A73">
        <w:t>TagniFi</w:t>
      </w:r>
      <w:proofErr w:type="spellEnd"/>
      <w:r w:rsidRPr="00B76A73">
        <w:t xml:space="preserve"> does the rest.</w:t>
      </w:r>
      <w:r>
        <w:t xml:space="preserve"> </w:t>
      </w:r>
    </w:p>
    <w:p w14:paraId="26171B27" w14:textId="77777777" w:rsidR="002D4C10" w:rsidRPr="004C20AB" w:rsidRDefault="002D4C10" w:rsidP="004C20AB">
      <w:pPr>
        <w:rPr>
          <w:b/>
          <w:bCs/>
        </w:rPr>
      </w:pPr>
    </w:p>
    <w:sectPr w:rsidR="002D4C10" w:rsidRPr="004C20AB" w:rsidSect="00005111">
      <w:headerReference w:type="default" r:id="rId44"/>
      <w:footerReference w:type="default" r:id="rId45"/>
      <w:footerReference w:type="first" r:id="rId46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02BF28" w14:textId="77777777" w:rsidR="00B91BFC" w:rsidRDefault="00B91BFC" w:rsidP="00171C8E">
      <w:pPr>
        <w:spacing w:after="0" w:line="240" w:lineRule="auto"/>
      </w:pPr>
      <w:r>
        <w:separator/>
      </w:r>
    </w:p>
  </w:endnote>
  <w:endnote w:type="continuationSeparator" w:id="0">
    <w:p w14:paraId="2E43A157" w14:textId="77777777" w:rsidR="00B91BFC" w:rsidRDefault="00B91BFC" w:rsidP="00171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D5FE8" w14:textId="51E2EC1E" w:rsidR="00B36811" w:rsidRDefault="00B36811">
    <w:pPr>
      <w:pStyle w:val="Footer"/>
    </w:pPr>
    <w:r>
      <w:t>© 202</w:t>
    </w:r>
    <w:r w:rsidR="00A74430">
      <w:t>3</w:t>
    </w:r>
    <w:r>
      <w:t xml:space="preserve"> </w:t>
    </w:r>
    <w:proofErr w:type="spellStart"/>
    <w:r>
      <w:t>TagniFi</w:t>
    </w:r>
    <w:proofErr w:type="spellEnd"/>
    <w:r>
      <w:t>, LLC. All rights reserved.</w:t>
    </w:r>
    <w:r>
      <w:tab/>
    </w: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20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CAF58" w14:textId="5EAC5F17" w:rsidR="00B36811" w:rsidRDefault="00B36811">
    <w:pPr>
      <w:pStyle w:val="Footer"/>
    </w:pPr>
    <w:r>
      <w:t>TagniFi.com</w:t>
    </w:r>
    <w:r>
      <w:tab/>
    </w:r>
    <w:r>
      <w:tab/>
      <w:t>800-TagniFi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A5429" w14:textId="77777777" w:rsidR="00B91BFC" w:rsidRDefault="00B91BFC" w:rsidP="00171C8E">
      <w:pPr>
        <w:spacing w:after="0" w:line="240" w:lineRule="auto"/>
      </w:pPr>
      <w:r>
        <w:separator/>
      </w:r>
    </w:p>
  </w:footnote>
  <w:footnote w:type="continuationSeparator" w:id="0">
    <w:p w14:paraId="05D69439" w14:textId="77777777" w:rsidR="00B91BFC" w:rsidRDefault="00B91BFC" w:rsidP="00171C8E">
      <w:pPr>
        <w:spacing w:after="0" w:line="240" w:lineRule="auto"/>
      </w:pPr>
      <w:r>
        <w:continuationSeparator/>
      </w:r>
    </w:p>
  </w:footnote>
  <w:footnote w:id="1">
    <w:p w14:paraId="0A2FA1C7" w14:textId="29B35A77" w:rsidR="00B36811" w:rsidRDefault="00B36811" w:rsidP="00EC7CB1">
      <w:pPr>
        <w:pStyle w:val="FootnoteText"/>
      </w:pPr>
      <w:r w:rsidRPr="000763E1">
        <w:rPr>
          <w:rStyle w:val="FootnoteReference"/>
          <w:sz w:val="16"/>
          <w:szCs w:val="16"/>
        </w:rPr>
        <w:footnoteRef/>
      </w:r>
      <w:r w:rsidRPr="000763E1">
        <w:rPr>
          <w:sz w:val="16"/>
          <w:szCs w:val="16"/>
        </w:rPr>
        <w:t xml:space="preserve"> </w:t>
      </w:r>
      <w:r w:rsidRPr="006B1EB1">
        <w:rPr>
          <w:rFonts w:cstheme="minorHAnsi"/>
          <w:color w:val="222222"/>
          <w:sz w:val="16"/>
          <w:szCs w:val="16"/>
          <w:shd w:val="clear" w:color="auto" w:fill="FFFFFF"/>
        </w:rPr>
        <w:t>Federal Reserve Bank of Philadelphia, Coincident Economic Activity Index for the United States [USPHCI],</w:t>
      </w:r>
      <w:r w:rsidRPr="00DA395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 </w:t>
      </w:r>
      <w:hyperlink r:id="rId1" w:history="1">
        <w:r w:rsidRPr="001B4FCC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https://fred.stlouisfed.org/series/USPHCI</w:t>
        </w:r>
      </w:hyperlink>
      <w:r w:rsidRPr="00DA395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7E21C0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Oct 27</w:t>
      </w:r>
      <w:r w:rsidR="00056DC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Pr="00DA395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2">
    <w:p w14:paraId="04EBBD96" w14:textId="1FB6A48D" w:rsidR="00B36811" w:rsidRPr="000322F4" w:rsidRDefault="00B36811">
      <w:pPr>
        <w:pStyle w:val="FootnoteText"/>
        <w:rPr>
          <w:sz w:val="16"/>
          <w:szCs w:val="16"/>
          <w:lang w:val="en-PH"/>
        </w:rPr>
      </w:pPr>
      <w:r w:rsidRPr="000322F4">
        <w:rPr>
          <w:rStyle w:val="FootnoteReference"/>
          <w:sz w:val="16"/>
          <w:szCs w:val="16"/>
        </w:rPr>
        <w:footnoteRef/>
      </w:r>
      <w:r w:rsidRPr="000322F4">
        <w:rPr>
          <w:sz w:val="16"/>
          <w:szCs w:val="16"/>
        </w:rPr>
        <w:t xml:space="preserve"> </w:t>
      </w:r>
      <w:r w:rsidRPr="006B1EB1">
        <w:rPr>
          <w:rFonts w:cstheme="minorHAnsi"/>
          <w:color w:val="222222"/>
          <w:sz w:val="16"/>
          <w:szCs w:val="16"/>
          <w:shd w:val="clear" w:color="auto" w:fill="FFFFFF"/>
        </w:rPr>
        <w:t>Board of Governors of the Federal Reserve System (US), Trade Weighted U.S. Dollar Index: Broad, Goods and Services [DTWEXBGS],</w:t>
      </w:r>
      <w:r w:rsidRPr="00DA395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 </w:t>
      </w:r>
      <w:hyperlink r:id="rId2" w:history="1">
        <w:r w:rsidRPr="00DA3959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https://fred.stlouisfed.org/series/DTWEXBGS</w:t>
        </w:r>
      </w:hyperlink>
      <w:r w:rsidRPr="00DA395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7E21C0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Oct 27</w:t>
      </w:r>
      <w:r w:rsidR="006D705D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Pr="00DA395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3">
    <w:p w14:paraId="517776FA" w14:textId="421FD2F0" w:rsidR="00B36811" w:rsidRPr="000763E1" w:rsidRDefault="00B36811" w:rsidP="000763E1">
      <w:pPr>
        <w:pStyle w:val="FootnoteText"/>
        <w:rPr>
          <w:rFonts w:cstheme="minorHAnsi"/>
          <w:sz w:val="16"/>
          <w:szCs w:val="16"/>
          <w:lang w:val="en-PH"/>
        </w:rPr>
      </w:pPr>
      <w:r w:rsidRPr="000763E1">
        <w:rPr>
          <w:rStyle w:val="FootnoteReference"/>
          <w:sz w:val="16"/>
          <w:szCs w:val="16"/>
        </w:rPr>
        <w:footnoteRef/>
      </w:r>
      <w:r w:rsidRPr="000763E1">
        <w:rPr>
          <w:sz w:val="16"/>
          <w:szCs w:val="16"/>
        </w:rPr>
        <w:t xml:space="preserve"> </w:t>
      </w:r>
      <w:r w:rsidRPr="000763E1">
        <w:rPr>
          <w:rFonts w:cstheme="minorHAnsi"/>
          <w:sz w:val="16"/>
          <w:szCs w:val="16"/>
          <w:lang w:val="en-PH"/>
        </w:rPr>
        <w:t>U.S. Bureau of Economic Analysis, Real Gross Domestic Product [GDPC1],</w:t>
      </w:r>
      <w:r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3" w:history="1">
        <w:r w:rsidRPr="000763E1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https://fred.stlouisfed.org/series/GDPC1</w:t>
        </w:r>
      </w:hyperlink>
      <w:r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70780D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Oct 27</w:t>
      </w:r>
      <w:r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</w:t>
      </w:r>
      <w:r w:rsidR="00C36C6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3</w:t>
      </w:r>
      <w:r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4">
    <w:p w14:paraId="1BE0CB36" w14:textId="6DF2F42C" w:rsidR="00C060D2" w:rsidRPr="000763E1" w:rsidRDefault="00C060D2" w:rsidP="00C060D2">
      <w:pPr>
        <w:pStyle w:val="FootnoteText"/>
        <w:rPr>
          <w:rFonts w:cstheme="minorHAnsi"/>
          <w:i/>
          <w:iCs/>
          <w:sz w:val="16"/>
          <w:szCs w:val="16"/>
        </w:rPr>
      </w:pPr>
      <w:r w:rsidRPr="000763E1">
        <w:rPr>
          <w:rStyle w:val="FootnoteReference"/>
          <w:rFonts w:cstheme="minorHAnsi"/>
          <w:sz w:val="16"/>
          <w:szCs w:val="16"/>
        </w:rPr>
        <w:footnoteRef/>
      </w:r>
      <w:r w:rsidRPr="000763E1">
        <w:rPr>
          <w:rFonts w:cstheme="minorHAnsi"/>
          <w:sz w:val="16"/>
          <w:szCs w:val="16"/>
        </w:rPr>
        <w:t xml:space="preserve"> U.S. Bureau of Economic Analysis, Contributions to percent change in real gross domestic product: Personal consumption expenditures [DPCERY2Q224SBEA], </w:t>
      </w:r>
      <w:r w:rsidRPr="000763E1">
        <w:rPr>
          <w:rFonts w:cstheme="minorHAnsi"/>
          <w:i/>
          <w:iCs/>
          <w:sz w:val="16"/>
          <w:szCs w:val="16"/>
        </w:rPr>
        <w:t xml:space="preserve">retrieved from FRED, Federal Reserve Bank of St. Louis; </w:t>
      </w:r>
      <w:hyperlink r:id="rId4" w:history="1">
        <w:r w:rsidRPr="000763E1">
          <w:rPr>
            <w:rStyle w:val="Hyperlink"/>
            <w:rFonts w:cstheme="minorHAnsi"/>
            <w:i/>
            <w:iCs/>
            <w:sz w:val="16"/>
            <w:szCs w:val="16"/>
          </w:rPr>
          <w:t>https://fred.stlouisfed.org/series/DPCERY2Q224SBEA</w:t>
        </w:r>
      </w:hyperlink>
      <w:r w:rsidRPr="000763E1">
        <w:rPr>
          <w:rFonts w:cstheme="minorHAnsi"/>
          <w:i/>
          <w:iCs/>
          <w:sz w:val="16"/>
          <w:szCs w:val="16"/>
        </w:rPr>
        <w:t xml:space="preserve">, </w:t>
      </w:r>
      <w:r w:rsidR="00DD107B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Oct 27</w:t>
      </w:r>
      <w:r w:rsidR="00C36C62"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</w:t>
      </w:r>
      <w:r w:rsidR="00C36C6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3</w:t>
      </w:r>
      <w:r w:rsidRPr="000763E1">
        <w:rPr>
          <w:rFonts w:cstheme="minorHAnsi"/>
          <w:i/>
          <w:iCs/>
          <w:sz w:val="16"/>
          <w:szCs w:val="16"/>
        </w:rPr>
        <w:t>.</w:t>
      </w:r>
    </w:p>
  </w:footnote>
  <w:footnote w:id="5">
    <w:p w14:paraId="2C6A27F2" w14:textId="4B4F72CC" w:rsidR="00384A65" w:rsidRPr="000763E1" w:rsidRDefault="00384A65" w:rsidP="00384A65">
      <w:pPr>
        <w:pStyle w:val="FootnoteText"/>
        <w:rPr>
          <w:rFonts w:cstheme="minorHAnsi"/>
          <w:i/>
          <w:iCs/>
          <w:sz w:val="16"/>
          <w:szCs w:val="16"/>
        </w:rPr>
      </w:pPr>
      <w:r w:rsidRPr="000763E1">
        <w:rPr>
          <w:rStyle w:val="FootnoteReference"/>
          <w:rFonts w:cstheme="minorHAnsi"/>
          <w:sz w:val="16"/>
          <w:szCs w:val="16"/>
        </w:rPr>
        <w:footnoteRef/>
      </w:r>
      <w:r w:rsidRPr="000763E1">
        <w:rPr>
          <w:rFonts w:cstheme="minorHAnsi"/>
          <w:sz w:val="16"/>
          <w:szCs w:val="16"/>
        </w:rPr>
        <w:t xml:space="preserve"> U.S. Bureau of Economic Analysis, Contributions to percent change in real gross domestic product: Gross private domestic investment [A006RY2Q224SBEA], </w:t>
      </w:r>
      <w:r w:rsidRPr="000763E1">
        <w:rPr>
          <w:rFonts w:cstheme="minorHAnsi"/>
          <w:i/>
          <w:iCs/>
          <w:sz w:val="16"/>
          <w:szCs w:val="16"/>
        </w:rPr>
        <w:t xml:space="preserve">retrieved from FRED, Federal Reserve Bank of St. Louis; </w:t>
      </w:r>
      <w:hyperlink r:id="rId5" w:history="1">
        <w:r w:rsidRPr="000763E1">
          <w:rPr>
            <w:rStyle w:val="Hyperlink"/>
            <w:rFonts w:cstheme="minorHAnsi"/>
            <w:i/>
            <w:iCs/>
            <w:sz w:val="16"/>
            <w:szCs w:val="16"/>
          </w:rPr>
          <w:t>https://fred.stlouisfed.org/series/A006RY2Q224SBEA</w:t>
        </w:r>
      </w:hyperlink>
      <w:r w:rsidRPr="000763E1">
        <w:rPr>
          <w:rFonts w:cstheme="minorHAnsi"/>
          <w:i/>
          <w:iCs/>
          <w:sz w:val="16"/>
          <w:szCs w:val="16"/>
        </w:rPr>
        <w:t xml:space="preserve">, </w:t>
      </w:r>
      <w:r w:rsidR="00DD107B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Oct 27</w:t>
      </w:r>
      <w:r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</w:t>
      </w:r>
      <w:r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3</w:t>
      </w:r>
      <w:r w:rsidRPr="000763E1">
        <w:rPr>
          <w:rFonts w:cstheme="minorHAnsi"/>
          <w:i/>
          <w:iCs/>
          <w:sz w:val="16"/>
          <w:szCs w:val="16"/>
        </w:rPr>
        <w:t>.</w:t>
      </w:r>
    </w:p>
  </w:footnote>
  <w:footnote w:id="6">
    <w:p w14:paraId="2B74C68A" w14:textId="422CFF68" w:rsidR="00C060D2" w:rsidRPr="000763E1" w:rsidRDefault="00C060D2" w:rsidP="00C060D2">
      <w:pPr>
        <w:pStyle w:val="FootnoteText"/>
        <w:rPr>
          <w:rFonts w:cstheme="minorHAnsi"/>
          <w:sz w:val="16"/>
          <w:szCs w:val="16"/>
        </w:rPr>
      </w:pPr>
      <w:r w:rsidRPr="000763E1">
        <w:rPr>
          <w:rStyle w:val="FootnoteReference"/>
          <w:rFonts w:cstheme="minorHAnsi"/>
          <w:sz w:val="16"/>
          <w:szCs w:val="16"/>
        </w:rPr>
        <w:footnoteRef/>
      </w:r>
      <w:r w:rsidRPr="000763E1">
        <w:rPr>
          <w:rFonts w:cstheme="minorHAnsi"/>
          <w:sz w:val="16"/>
          <w:szCs w:val="16"/>
        </w:rPr>
        <w:t xml:space="preserve"> U.S. Bureau of Economic Analysis, Contributions to percent change in real gross domestic product: Government consumption expenditures and gross investment [A822RY2Q224SBEA], </w:t>
      </w:r>
      <w:r w:rsidRPr="000763E1">
        <w:rPr>
          <w:rFonts w:cstheme="minorHAnsi"/>
          <w:i/>
          <w:iCs/>
          <w:sz w:val="16"/>
          <w:szCs w:val="16"/>
        </w:rPr>
        <w:t xml:space="preserve">retrieved from FRED, Federal Reserve Bank of St. Louis; </w:t>
      </w:r>
      <w:hyperlink r:id="rId6" w:history="1">
        <w:r w:rsidRPr="000763E1">
          <w:rPr>
            <w:rStyle w:val="Hyperlink"/>
            <w:rFonts w:cstheme="minorHAnsi"/>
            <w:i/>
            <w:iCs/>
            <w:sz w:val="16"/>
            <w:szCs w:val="16"/>
          </w:rPr>
          <w:t>https://fred.stlouisfed.org/series/A822RY2Q224SBEA</w:t>
        </w:r>
      </w:hyperlink>
      <w:r w:rsidRPr="000763E1">
        <w:rPr>
          <w:rFonts w:cstheme="minorHAnsi"/>
          <w:i/>
          <w:iCs/>
          <w:sz w:val="16"/>
          <w:szCs w:val="16"/>
        </w:rPr>
        <w:t xml:space="preserve">, </w:t>
      </w:r>
      <w:r w:rsidR="00DD107B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Oct 27</w:t>
      </w:r>
      <w:r w:rsidR="00AF1F9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</w:t>
      </w:r>
      <w:r w:rsidR="00C36C62"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202</w:t>
      </w:r>
      <w:r w:rsidR="00C36C6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3</w:t>
      </w:r>
      <w:r w:rsidRPr="000763E1">
        <w:rPr>
          <w:rFonts w:cstheme="minorHAnsi"/>
          <w:i/>
          <w:iCs/>
          <w:sz w:val="16"/>
          <w:szCs w:val="16"/>
        </w:rPr>
        <w:t>.</w:t>
      </w:r>
    </w:p>
  </w:footnote>
  <w:footnote w:id="7">
    <w:p w14:paraId="15C9993D" w14:textId="1BB54D7F" w:rsidR="00DD2ED8" w:rsidRPr="000763E1" w:rsidRDefault="00DD2ED8" w:rsidP="000763E1">
      <w:pPr>
        <w:pStyle w:val="FootnoteText"/>
        <w:rPr>
          <w:rFonts w:cstheme="minorHAnsi"/>
          <w:i/>
          <w:iCs/>
          <w:sz w:val="16"/>
          <w:szCs w:val="16"/>
        </w:rPr>
      </w:pPr>
      <w:r w:rsidRPr="000763E1">
        <w:rPr>
          <w:rStyle w:val="FootnoteReference"/>
          <w:rFonts w:cstheme="minorHAnsi"/>
          <w:sz w:val="16"/>
          <w:szCs w:val="16"/>
        </w:rPr>
        <w:footnoteRef/>
      </w:r>
      <w:r w:rsidR="000763E1" w:rsidRPr="000763E1">
        <w:rPr>
          <w:rFonts w:cstheme="minorHAnsi"/>
          <w:color w:val="222222"/>
          <w:sz w:val="16"/>
          <w:szCs w:val="16"/>
          <w:shd w:val="clear" w:color="auto" w:fill="FFFFFF"/>
        </w:rPr>
        <w:t xml:space="preserve"> </w:t>
      </w:r>
      <w:r w:rsidRPr="000763E1">
        <w:rPr>
          <w:rFonts w:cstheme="minorHAnsi"/>
          <w:sz w:val="16"/>
          <w:szCs w:val="16"/>
        </w:rPr>
        <w:t xml:space="preserve">U.S. </w:t>
      </w:r>
      <w:r w:rsidRPr="000763E1">
        <w:rPr>
          <w:rFonts w:cstheme="minorHAnsi"/>
          <w:sz w:val="16"/>
          <w:szCs w:val="16"/>
          <w:lang w:val="en-PH"/>
        </w:rPr>
        <w:t>Bureau o</w:t>
      </w:r>
      <w:r w:rsidRPr="000763E1">
        <w:rPr>
          <w:rFonts w:cstheme="minorHAnsi"/>
          <w:sz w:val="16"/>
          <w:szCs w:val="16"/>
        </w:rPr>
        <w:t xml:space="preserve">f Economic Analysis, Contributions to percent change in real gross domestic product: Net exports of goods and services [A019RY2Q224SBEA], </w:t>
      </w:r>
      <w:r w:rsidRPr="000763E1">
        <w:rPr>
          <w:rFonts w:cstheme="minorHAnsi"/>
          <w:i/>
          <w:iCs/>
          <w:sz w:val="16"/>
          <w:szCs w:val="16"/>
        </w:rPr>
        <w:t>retrieved from FRED, Federal Reserve Bank of St. Louis;</w:t>
      </w:r>
      <w:r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  <w:lang w:val="en-PH"/>
        </w:rPr>
        <w:t xml:space="preserve"> </w:t>
      </w:r>
      <w:hyperlink r:id="rId7" w:history="1">
        <w:r w:rsidRPr="000763E1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  <w:lang w:val="en-PH"/>
          </w:rPr>
          <w:t>https://fred.stlouisfed.org/series/A019RY2Q224SBEA</w:t>
        </w:r>
      </w:hyperlink>
      <w:r w:rsidRPr="000763E1">
        <w:rPr>
          <w:rFonts w:cstheme="minorHAnsi"/>
          <w:i/>
          <w:iCs/>
          <w:sz w:val="16"/>
          <w:szCs w:val="16"/>
        </w:rPr>
        <w:t xml:space="preserve">, </w:t>
      </w:r>
      <w:r w:rsidR="00DD107B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Oct 27</w:t>
      </w:r>
      <w:r w:rsidR="00C36C62"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</w:t>
      </w:r>
      <w:r w:rsidR="00C36C6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3</w:t>
      </w:r>
      <w:r w:rsidRPr="000763E1">
        <w:rPr>
          <w:rFonts w:cstheme="minorHAnsi"/>
          <w:i/>
          <w:iCs/>
          <w:sz w:val="16"/>
          <w:szCs w:val="16"/>
        </w:rPr>
        <w:t>.</w:t>
      </w:r>
    </w:p>
  </w:footnote>
  <w:footnote w:id="8">
    <w:p w14:paraId="0F596133" w14:textId="50E94E0B" w:rsidR="00100F15" w:rsidRDefault="00100F15" w:rsidP="00100F1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00F15">
        <w:rPr>
          <w:sz w:val="16"/>
          <w:szCs w:val="16"/>
        </w:rPr>
        <w:t xml:space="preserve">Federal Reserve Bank of Philadelphia, The Livingston Survey </w:t>
      </w:r>
      <w:r w:rsidR="00600E5F">
        <w:rPr>
          <w:sz w:val="16"/>
          <w:szCs w:val="16"/>
        </w:rPr>
        <w:t>June 2023</w:t>
      </w:r>
      <w:r w:rsidRPr="00100F15">
        <w:rPr>
          <w:sz w:val="16"/>
          <w:szCs w:val="16"/>
        </w:rPr>
        <w:t xml:space="preserve">, [economic release], retrieved from </w:t>
      </w:r>
      <w:hyperlink r:id="rId8" w:history="1">
        <w:r w:rsidR="00600E5F">
          <w:rPr>
            <w:rStyle w:val="Hyperlink"/>
            <w:sz w:val="16"/>
            <w:szCs w:val="16"/>
          </w:rPr>
          <w:t>https://www.philadelphiafed.org/surveys-and-data/real-time-data-research/livingston-survey</w:t>
        </w:r>
      </w:hyperlink>
      <w:r w:rsidRPr="00100F15">
        <w:rPr>
          <w:sz w:val="16"/>
          <w:szCs w:val="16"/>
        </w:rPr>
        <w:t xml:space="preserve">, </w:t>
      </w:r>
      <w:r w:rsidR="00160C1F">
        <w:rPr>
          <w:sz w:val="16"/>
          <w:szCs w:val="16"/>
        </w:rPr>
        <w:t>Oct 27</w:t>
      </w:r>
      <w:r w:rsidRPr="00100F15">
        <w:rPr>
          <w:sz w:val="16"/>
          <w:szCs w:val="16"/>
        </w:rPr>
        <w:t>, 2023.</w:t>
      </w:r>
    </w:p>
  </w:footnote>
  <w:footnote w:id="9">
    <w:p w14:paraId="7FABCB6E" w14:textId="33B079F8" w:rsidR="00B36811" w:rsidRPr="006A114D" w:rsidRDefault="00B36811" w:rsidP="00D03164">
      <w:pPr>
        <w:pStyle w:val="FootnoteText"/>
        <w:rPr>
          <w:lang w:val="en-PH"/>
        </w:rPr>
      </w:pPr>
      <w:r w:rsidRPr="000763E1">
        <w:rPr>
          <w:rStyle w:val="FootnoteReference"/>
          <w:sz w:val="16"/>
          <w:szCs w:val="16"/>
        </w:rPr>
        <w:footnoteRef/>
      </w:r>
      <w:r w:rsidRPr="000763E1">
        <w:rPr>
          <w:sz w:val="16"/>
          <w:szCs w:val="16"/>
        </w:rPr>
        <w:t xml:space="preserve"> </w:t>
      </w:r>
      <w:r w:rsidRPr="000763E1">
        <w:rPr>
          <w:sz w:val="16"/>
          <w:szCs w:val="16"/>
          <w:lang w:val="en-PH"/>
        </w:rPr>
        <w:t>Board of</w:t>
      </w:r>
      <w:r w:rsidRPr="00BF5CE2">
        <w:rPr>
          <w:sz w:val="16"/>
          <w:szCs w:val="16"/>
          <w:lang w:val="en-PH"/>
        </w:rPr>
        <w:t xml:space="preserve"> Governors of the Federal Reserve System (US), Industrial Production Index [INDPRO],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9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https://fred.stlouisfed.org/series/INDPRO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160C1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Oct 27</w:t>
      </w:r>
      <w:r w:rsidR="00C36C62"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</w:t>
      </w:r>
      <w:r w:rsidR="00C36C6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3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10">
    <w:p w14:paraId="036626D0" w14:textId="06E08C53" w:rsidR="00B36811" w:rsidRPr="000763E1" w:rsidRDefault="00B36811" w:rsidP="007A05AD">
      <w:pPr>
        <w:pStyle w:val="FootnoteText"/>
        <w:rPr>
          <w:sz w:val="16"/>
          <w:szCs w:val="16"/>
        </w:rPr>
      </w:pPr>
      <w:r w:rsidRPr="000763E1">
        <w:rPr>
          <w:rStyle w:val="FootnoteReference"/>
          <w:sz w:val="16"/>
          <w:szCs w:val="16"/>
        </w:rPr>
        <w:footnoteRef/>
      </w:r>
      <w:r w:rsidRPr="000763E1">
        <w:rPr>
          <w:sz w:val="16"/>
          <w:szCs w:val="16"/>
          <w:lang w:val="en-PH"/>
        </w:rPr>
        <w:t xml:space="preserve"> Board of Governors of the Federal Reserve System (US), Capacity Utilization, Manufacturing (NAICS), </w:t>
      </w:r>
      <w:r w:rsidRPr="000763E1">
        <w:rPr>
          <w:i/>
          <w:iCs/>
          <w:sz w:val="16"/>
          <w:szCs w:val="16"/>
          <w:lang w:val="en-PH"/>
        </w:rPr>
        <w:t xml:space="preserve">retrieved from FRED, Federal Reserve Bank of St. Louis; </w:t>
      </w:r>
      <w:hyperlink r:id="rId10" w:history="1">
        <w:r w:rsidRPr="000763E1">
          <w:rPr>
            <w:rStyle w:val="Hyperlink"/>
            <w:i/>
            <w:iCs/>
            <w:sz w:val="16"/>
            <w:szCs w:val="16"/>
            <w:lang w:val="en-PH"/>
          </w:rPr>
          <w:t>https://fred.stlouisfed.org/series/MCUMFN</w:t>
        </w:r>
      </w:hyperlink>
      <w:r w:rsidRPr="000763E1">
        <w:rPr>
          <w:i/>
          <w:iCs/>
          <w:sz w:val="16"/>
          <w:szCs w:val="16"/>
          <w:lang w:val="en-PH"/>
        </w:rPr>
        <w:t xml:space="preserve">, </w:t>
      </w:r>
      <w:r w:rsidR="00160C1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Oct 27</w:t>
      </w:r>
      <w:r w:rsidR="00C36C62"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</w:t>
      </w:r>
      <w:r w:rsidR="00C36C6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3</w:t>
      </w:r>
      <w:r w:rsidR="006B1EB1" w:rsidRPr="000763E1">
        <w:rPr>
          <w:i/>
          <w:iCs/>
          <w:sz w:val="16"/>
          <w:szCs w:val="16"/>
          <w:lang w:val="en-PH"/>
        </w:rPr>
        <w:t>.</w:t>
      </w:r>
    </w:p>
  </w:footnote>
  <w:footnote w:id="11">
    <w:p w14:paraId="5D03BFAC" w14:textId="46532A36" w:rsidR="00B36811" w:rsidRPr="000763E1" w:rsidRDefault="00B36811" w:rsidP="00952E0A">
      <w:pPr>
        <w:pStyle w:val="FootnoteText"/>
        <w:rPr>
          <w:rFonts w:ascii="Times New Roman" w:eastAsia="Times New Roman" w:hAnsi="Times New Roman" w:cs="Times New Roman"/>
          <w:sz w:val="16"/>
          <w:szCs w:val="16"/>
        </w:rPr>
      </w:pPr>
      <w:r w:rsidRPr="000763E1">
        <w:rPr>
          <w:rStyle w:val="FootnoteReference"/>
          <w:sz w:val="16"/>
          <w:szCs w:val="16"/>
        </w:rPr>
        <w:footnoteRef/>
      </w:r>
      <w:r w:rsidRPr="000763E1">
        <w:rPr>
          <w:sz w:val="16"/>
          <w:szCs w:val="16"/>
        </w:rPr>
        <w:t xml:space="preserve"> </w:t>
      </w:r>
      <w:r w:rsidRPr="000763E1">
        <w:rPr>
          <w:sz w:val="16"/>
          <w:szCs w:val="16"/>
          <w:lang w:val="en-PH"/>
        </w:rPr>
        <w:t xml:space="preserve">Board of Governors of the Federal Reserve System (US), Federal Funds Effective Rate [FEDFUNDS], </w:t>
      </w:r>
      <w:r w:rsidRPr="000763E1">
        <w:rPr>
          <w:i/>
          <w:iCs/>
          <w:sz w:val="16"/>
          <w:szCs w:val="16"/>
          <w:lang w:val="en-PH"/>
        </w:rPr>
        <w:t xml:space="preserve">retrieved from FRED, Federal Reserve Bank of St. Louis; </w:t>
      </w:r>
      <w:hyperlink r:id="rId11" w:history="1">
        <w:r w:rsidRPr="000763E1">
          <w:rPr>
            <w:rStyle w:val="Hyperlink"/>
            <w:i/>
            <w:iCs/>
            <w:sz w:val="16"/>
            <w:szCs w:val="16"/>
            <w:lang w:val="en-PH"/>
          </w:rPr>
          <w:t>https://fred.stlouisfed.org/series/FEDFUNDS</w:t>
        </w:r>
      </w:hyperlink>
      <w:r w:rsidRPr="000763E1">
        <w:rPr>
          <w:i/>
          <w:iCs/>
          <w:sz w:val="16"/>
          <w:szCs w:val="16"/>
          <w:lang w:val="en-PH"/>
        </w:rPr>
        <w:t xml:space="preserve">, </w:t>
      </w:r>
      <w:r w:rsidR="00160C1F">
        <w:rPr>
          <w:i/>
          <w:iCs/>
          <w:sz w:val="16"/>
          <w:szCs w:val="16"/>
          <w:lang w:val="en-PH"/>
        </w:rPr>
        <w:t>Oct 27</w:t>
      </w:r>
      <w:r w:rsidR="00E93558">
        <w:rPr>
          <w:i/>
          <w:iCs/>
          <w:sz w:val="16"/>
          <w:szCs w:val="16"/>
          <w:lang w:val="en-PH"/>
        </w:rPr>
        <w:t>, 2023</w:t>
      </w:r>
      <w:r w:rsidRPr="000763E1">
        <w:rPr>
          <w:i/>
          <w:iCs/>
          <w:sz w:val="16"/>
          <w:szCs w:val="16"/>
          <w:lang w:val="en-PH"/>
        </w:rPr>
        <w:t>.</w:t>
      </w:r>
    </w:p>
  </w:footnote>
  <w:footnote w:id="12">
    <w:p w14:paraId="2BE1B367" w14:textId="33CBFBA7" w:rsidR="00B36811" w:rsidRPr="00E64295" w:rsidRDefault="00B36811">
      <w:pPr>
        <w:pStyle w:val="FootnoteText"/>
        <w:rPr>
          <w:sz w:val="16"/>
          <w:szCs w:val="16"/>
        </w:rPr>
      </w:pPr>
      <w:r w:rsidRPr="000763E1">
        <w:rPr>
          <w:rStyle w:val="FootnoteReference"/>
          <w:sz w:val="16"/>
          <w:szCs w:val="16"/>
        </w:rPr>
        <w:footnoteRef/>
      </w:r>
      <w:r w:rsidRPr="000763E1">
        <w:rPr>
          <w:sz w:val="16"/>
          <w:szCs w:val="16"/>
        </w:rPr>
        <w:t xml:space="preserve"> </w:t>
      </w:r>
      <w:r w:rsidRPr="00E64295">
        <w:rPr>
          <w:sz w:val="16"/>
          <w:szCs w:val="16"/>
          <w:lang w:val="en-PH"/>
        </w:rPr>
        <w:t>Selected Interest Rates Instruments, Yields in percent per annum,</w:t>
      </w:r>
      <w:r w:rsidRPr="00E64295">
        <w:rPr>
          <w:i/>
          <w:iCs/>
          <w:sz w:val="16"/>
          <w:szCs w:val="16"/>
          <w:lang w:val="en-PH"/>
        </w:rPr>
        <w:t xml:space="preserve"> retrieved from FRED, Federal Reserve Bank of St. Louis; </w:t>
      </w:r>
      <w:hyperlink r:id="rId12" w:history="1">
        <w:r w:rsidR="00E64295">
          <w:rPr>
            <w:rStyle w:val="Hyperlink"/>
            <w:sz w:val="16"/>
            <w:szCs w:val="16"/>
          </w:rPr>
          <w:t>https://fred.stlouisfed.org/release/tables?rid=18&amp;eid=289&amp;od=2023-06-30#</w:t>
        </w:r>
      </w:hyperlink>
      <w:r w:rsidRPr="00E64295">
        <w:rPr>
          <w:i/>
          <w:iCs/>
          <w:sz w:val="16"/>
          <w:szCs w:val="16"/>
          <w:lang w:val="en-PH"/>
        </w:rPr>
        <w:t xml:space="preserve">, </w:t>
      </w:r>
      <w:r w:rsidR="00160C1F">
        <w:rPr>
          <w:i/>
          <w:iCs/>
          <w:sz w:val="16"/>
          <w:szCs w:val="16"/>
          <w:lang w:val="en-PH"/>
        </w:rPr>
        <w:t>Oct 27</w:t>
      </w:r>
      <w:r w:rsidR="004C17A1" w:rsidRPr="00E64295">
        <w:rPr>
          <w:i/>
          <w:iCs/>
          <w:sz w:val="16"/>
          <w:szCs w:val="16"/>
          <w:lang w:val="en-PH"/>
        </w:rPr>
        <w:t>, 2023</w:t>
      </w:r>
      <w:r w:rsidRPr="00E64295">
        <w:rPr>
          <w:i/>
          <w:iCs/>
          <w:sz w:val="16"/>
          <w:szCs w:val="16"/>
          <w:lang w:val="en-PH"/>
        </w:rPr>
        <w:t>.</w:t>
      </w:r>
    </w:p>
  </w:footnote>
  <w:footnote w:id="13">
    <w:p w14:paraId="5D342EB9" w14:textId="72D52E17" w:rsidR="003A4C56" w:rsidRPr="00BF5CE2" w:rsidRDefault="003A4C56" w:rsidP="003A4C56">
      <w:pPr>
        <w:pStyle w:val="FootnoteText"/>
        <w:rPr>
          <w:sz w:val="16"/>
          <w:szCs w:val="16"/>
          <w:lang w:val="en-PH"/>
        </w:rPr>
      </w:pPr>
      <w:r w:rsidRPr="003A4C56">
        <w:rPr>
          <w:rStyle w:val="FootnoteReference"/>
        </w:rPr>
        <w:footnoteRef/>
      </w:r>
      <w:r w:rsidRPr="003A4C56">
        <w:t xml:space="preserve"> </w:t>
      </w:r>
      <w:r w:rsidRPr="005E1BD2">
        <w:rPr>
          <w:sz w:val="16"/>
          <w:szCs w:val="16"/>
          <w:lang w:val="en-PH"/>
        </w:rPr>
        <w:t xml:space="preserve">Board of Governors of the Federal Reserve System (US), Federal Funds Target Range - Upper Limit [DFEDTARU], </w:t>
      </w:r>
      <w:r w:rsidRPr="005E1BD2">
        <w:rPr>
          <w:i/>
          <w:iCs/>
          <w:sz w:val="16"/>
          <w:szCs w:val="16"/>
          <w:lang w:val="en-PH"/>
        </w:rPr>
        <w:t xml:space="preserve">retrieved from FRED, Federal Reserve Bank of St. Louis; </w:t>
      </w:r>
      <w:hyperlink r:id="rId13" w:history="1">
        <w:r w:rsidRPr="005E1BD2">
          <w:rPr>
            <w:rStyle w:val="Hyperlink"/>
            <w:i/>
            <w:iCs/>
            <w:sz w:val="16"/>
            <w:szCs w:val="16"/>
            <w:lang w:val="en-PH"/>
          </w:rPr>
          <w:t>https://fred.stlouisfed.org/series/DFEDTARU</w:t>
        </w:r>
      </w:hyperlink>
      <w:r w:rsidRPr="005E1BD2">
        <w:rPr>
          <w:i/>
          <w:iCs/>
          <w:sz w:val="16"/>
          <w:szCs w:val="16"/>
          <w:lang w:val="en-PH"/>
        </w:rPr>
        <w:t xml:space="preserve">, </w:t>
      </w:r>
      <w:r w:rsidR="00943802">
        <w:rPr>
          <w:i/>
          <w:iCs/>
          <w:sz w:val="16"/>
          <w:szCs w:val="16"/>
          <w:lang w:val="en-PH"/>
        </w:rPr>
        <w:t>Oct 27</w:t>
      </w:r>
      <w:r w:rsidR="006A3F6C">
        <w:rPr>
          <w:i/>
          <w:iCs/>
          <w:sz w:val="16"/>
          <w:szCs w:val="16"/>
          <w:lang w:val="en-PH"/>
        </w:rPr>
        <w:t>, 2023</w:t>
      </w:r>
      <w:r w:rsidRPr="005E1BD2">
        <w:rPr>
          <w:sz w:val="16"/>
          <w:szCs w:val="16"/>
          <w:lang w:val="en-PH"/>
        </w:rPr>
        <w:t>.</w:t>
      </w:r>
    </w:p>
  </w:footnote>
  <w:footnote w:id="14">
    <w:p w14:paraId="5D92A033" w14:textId="0C735A58" w:rsidR="00B36811" w:rsidRPr="004759DB" w:rsidRDefault="00B36811">
      <w:pPr>
        <w:pStyle w:val="FootnoteText"/>
        <w:rPr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Pr="00BF5CE2">
        <w:rPr>
          <w:sz w:val="16"/>
          <w:szCs w:val="16"/>
          <w:lang w:val="en-PH"/>
        </w:rPr>
        <w:t>Board of Governors of the Federal Reserve System (US), 10-Year Treasury Constant Maturity Rate [DGS10],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14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https://fred.stlouisfed.org/series/DGS10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9F4853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Oct 27</w:t>
      </w:r>
      <w:r w:rsidR="009D6A5D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15">
    <w:p w14:paraId="29E4EDD1" w14:textId="356D367E" w:rsidR="00B36811" w:rsidRPr="00BF5CE2" w:rsidRDefault="00B36811">
      <w:pPr>
        <w:pStyle w:val="FootnoteText"/>
        <w:rPr>
          <w:sz w:val="16"/>
          <w:szCs w:val="16"/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="00263EBD" w:rsidRPr="00263EBD">
        <w:rPr>
          <w:sz w:val="16"/>
          <w:szCs w:val="16"/>
          <w:lang w:val="en-PH"/>
        </w:rPr>
        <w:t xml:space="preserve">Moody’s, Moody's Seasoned Baa Corporate Bond Yield [DBAA], </w:t>
      </w:r>
      <w:r w:rsidR="00263EBD" w:rsidRPr="00263EBD">
        <w:rPr>
          <w:i/>
          <w:iCs/>
          <w:sz w:val="16"/>
          <w:szCs w:val="16"/>
          <w:lang w:val="en-PH"/>
        </w:rPr>
        <w:t xml:space="preserve">retrieved from FRED, Federal Reserve Bank of St. Louis; </w:t>
      </w:r>
      <w:hyperlink r:id="rId15" w:history="1">
        <w:r w:rsidR="00263EBD" w:rsidRPr="00263EBD">
          <w:rPr>
            <w:rStyle w:val="Hyperlink"/>
            <w:i/>
            <w:iCs/>
            <w:sz w:val="16"/>
            <w:szCs w:val="16"/>
            <w:lang w:val="en-PH"/>
          </w:rPr>
          <w:t>https://fred.stlouisfed.org/series/DBAA</w:t>
        </w:r>
      </w:hyperlink>
      <w:r w:rsidR="00263EBD" w:rsidRPr="00263EBD">
        <w:rPr>
          <w:i/>
          <w:iCs/>
          <w:sz w:val="16"/>
          <w:szCs w:val="16"/>
          <w:lang w:val="en-PH"/>
        </w:rPr>
        <w:t xml:space="preserve">, </w:t>
      </w:r>
      <w:r w:rsidR="009F4853">
        <w:rPr>
          <w:i/>
          <w:iCs/>
          <w:sz w:val="16"/>
          <w:szCs w:val="16"/>
          <w:lang w:val="en-PH"/>
        </w:rPr>
        <w:t>Oct 27</w:t>
      </w:r>
      <w:r w:rsidR="00E75EC5">
        <w:rPr>
          <w:i/>
          <w:iCs/>
          <w:sz w:val="16"/>
          <w:szCs w:val="16"/>
          <w:lang w:val="en-PH"/>
        </w:rPr>
        <w:t>, 2023</w:t>
      </w:r>
      <w:r w:rsidR="00263EBD" w:rsidRPr="00263EBD">
        <w:rPr>
          <w:i/>
          <w:iCs/>
          <w:sz w:val="16"/>
          <w:szCs w:val="16"/>
          <w:lang w:val="en-PH"/>
        </w:rPr>
        <w:t>.</w:t>
      </w:r>
    </w:p>
  </w:footnote>
  <w:footnote w:id="16">
    <w:p w14:paraId="6012CE06" w14:textId="715B2B44" w:rsidR="00B36811" w:rsidRPr="00263EBD" w:rsidRDefault="00B36811">
      <w:pPr>
        <w:pStyle w:val="FootnoteText"/>
        <w:rPr>
          <w:i/>
          <w:iCs/>
        </w:rPr>
      </w:pPr>
      <w:r w:rsidRPr="009D42AA">
        <w:rPr>
          <w:rStyle w:val="FootnoteReference"/>
          <w:sz w:val="16"/>
          <w:szCs w:val="16"/>
        </w:rPr>
        <w:footnoteRef/>
      </w:r>
      <w:r w:rsidRPr="009D42AA">
        <w:rPr>
          <w:rStyle w:val="FootnoteReference"/>
          <w:sz w:val="16"/>
          <w:szCs w:val="16"/>
        </w:rPr>
        <w:t xml:space="preserve"> </w:t>
      </w:r>
      <w:r w:rsidR="00263EBD" w:rsidRPr="00263EBD">
        <w:rPr>
          <w:sz w:val="16"/>
          <w:szCs w:val="16"/>
          <w:lang w:val="en-PH"/>
        </w:rPr>
        <w:t xml:space="preserve">Moody’s, Moody's Seasoned </w:t>
      </w:r>
      <w:proofErr w:type="spellStart"/>
      <w:r w:rsidR="00263EBD" w:rsidRPr="00263EBD">
        <w:rPr>
          <w:sz w:val="16"/>
          <w:szCs w:val="16"/>
          <w:lang w:val="en-PH"/>
        </w:rPr>
        <w:t>Aaa</w:t>
      </w:r>
      <w:proofErr w:type="spellEnd"/>
      <w:r w:rsidR="00263EBD" w:rsidRPr="00263EBD">
        <w:rPr>
          <w:sz w:val="16"/>
          <w:szCs w:val="16"/>
          <w:lang w:val="en-PH"/>
        </w:rPr>
        <w:t xml:space="preserve"> Corporate Bond Yield [DAAA], </w:t>
      </w:r>
      <w:r w:rsidR="00263EBD" w:rsidRPr="00263EBD">
        <w:rPr>
          <w:i/>
          <w:iCs/>
          <w:sz w:val="16"/>
          <w:szCs w:val="16"/>
          <w:lang w:val="en-PH"/>
        </w:rPr>
        <w:t xml:space="preserve">retrieved from FRED, Federal Reserve Bank of St. Louis; </w:t>
      </w:r>
      <w:hyperlink r:id="rId16" w:history="1">
        <w:r w:rsidR="00263EBD" w:rsidRPr="00263EBD">
          <w:rPr>
            <w:rStyle w:val="Hyperlink"/>
            <w:i/>
            <w:iCs/>
            <w:sz w:val="16"/>
            <w:szCs w:val="16"/>
            <w:lang w:val="en-PH"/>
          </w:rPr>
          <w:t>https://fred.stlouisfed.org/series/DAAA</w:t>
        </w:r>
      </w:hyperlink>
      <w:r w:rsidR="00263EBD" w:rsidRPr="00263EBD">
        <w:rPr>
          <w:i/>
          <w:iCs/>
          <w:sz w:val="16"/>
          <w:szCs w:val="16"/>
          <w:lang w:val="en-PH"/>
        </w:rPr>
        <w:t xml:space="preserve">, </w:t>
      </w:r>
      <w:r w:rsidR="009F4853">
        <w:rPr>
          <w:i/>
          <w:iCs/>
          <w:sz w:val="16"/>
          <w:szCs w:val="16"/>
          <w:lang w:val="en-PH"/>
        </w:rPr>
        <w:t>Oct 27</w:t>
      </w:r>
      <w:r w:rsidR="00E75EC5">
        <w:rPr>
          <w:i/>
          <w:iCs/>
          <w:sz w:val="16"/>
          <w:szCs w:val="16"/>
          <w:lang w:val="en-PH"/>
        </w:rPr>
        <w:t>, 2023</w:t>
      </w:r>
      <w:r w:rsidR="00263EBD" w:rsidRPr="00263EBD">
        <w:rPr>
          <w:i/>
          <w:iCs/>
          <w:sz w:val="16"/>
          <w:szCs w:val="16"/>
          <w:lang w:val="en-PH"/>
        </w:rPr>
        <w:t>.</w:t>
      </w:r>
    </w:p>
  </w:footnote>
  <w:footnote w:id="17">
    <w:p w14:paraId="66B25A11" w14:textId="67B0ABA4" w:rsidR="00B36811" w:rsidRDefault="00B368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F5CE2">
        <w:rPr>
          <w:sz w:val="16"/>
          <w:szCs w:val="16"/>
          <w:lang w:val="en-PH"/>
        </w:rPr>
        <w:t>U.S. Bureau of Labor Statistics, Civilian Unemployment Rate [UNRATE],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17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https://fred.stlouisfed.org/series/UNRATE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703FBD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Oct 27</w:t>
      </w:r>
      <w:r w:rsidR="001B4D2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18">
    <w:p w14:paraId="72ADA4A0" w14:textId="5B8ABE51" w:rsidR="007B4191" w:rsidRPr="007B4191" w:rsidRDefault="007B4191">
      <w:pPr>
        <w:pStyle w:val="FootnoteText"/>
        <w:rPr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0D2357">
        <w:rPr>
          <w:sz w:val="16"/>
          <w:szCs w:val="16"/>
        </w:rPr>
        <w:t xml:space="preserve">U.S. Bureau of Labor Statistics, Civilian Labor Force Level [CLF16OV], </w:t>
      </w:r>
      <w:r w:rsidRPr="000D2357">
        <w:rPr>
          <w:i/>
          <w:iCs/>
          <w:sz w:val="16"/>
          <w:szCs w:val="16"/>
        </w:rPr>
        <w:t xml:space="preserve">retrieved from FRED, Federal Reserve Bank of St. Louis; </w:t>
      </w:r>
      <w:hyperlink r:id="rId18" w:history="1">
        <w:r w:rsidRPr="000D2357">
          <w:rPr>
            <w:rStyle w:val="Hyperlink"/>
            <w:i/>
            <w:iCs/>
            <w:sz w:val="16"/>
            <w:szCs w:val="16"/>
          </w:rPr>
          <w:t>https://fred.stlouisfed.org/series/CLF16OV</w:t>
        </w:r>
      </w:hyperlink>
      <w:r w:rsidRPr="000D2357">
        <w:rPr>
          <w:i/>
          <w:iCs/>
          <w:sz w:val="16"/>
          <w:szCs w:val="16"/>
        </w:rPr>
        <w:t xml:space="preserve">, </w:t>
      </w:r>
      <w:r w:rsidR="00703FBD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Oct 27</w:t>
      </w:r>
      <w:r w:rsidR="001B4D24" w:rsidRPr="000D235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Pr="000D2357">
        <w:rPr>
          <w:i/>
          <w:iCs/>
          <w:sz w:val="16"/>
          <w:szCs w:val="16"/>
        </w:rPr>
        <w:t>.</w:t>
      </w:r>
    </w:p>
  </w:footnote>
  <w:footnote w:id="19">
    <w:p w14:paraId="0E3463A9" w14:textId="08D73262" w:rsidR="006859BA" w:rsidRPr="006859BA" w:rsidRDefault="006859BA" w:rsidP="000D2357">
      <w:pPr>
        <w:pStyle w:val="FootnoteText"/>
        <w:rPr>
          <w:i/>
          <w:iCs/>
        </w:rPr>
      </w:pPr>
      <w:r>
        <w:rPr>
          <w:rStyle w:val="FootnoteReference"/>
        </w:rPr>
        <w:footnoteRef/>
      </w:r>
      <w:r>
        <w:t xml:space="preserve"> </w:t>
      </w:r>
      <w:r w:rsidRPr="006859BA">
        <w:rPr>
          <w:sz w:val="16"/>
          <w:szCs w:val="16"/>
        </w:rPr>
        <w:t xml:space="preserve">U.S. Bureau of Labor Statistics, Labor Force Participation Rate [CIVPART], </w:t>
      </w:r>
      <w:r w:rsidRPr="006859BA">
        <w:rPr>
          <w:i/>
          <w:iCs/>
          <w:sz w:val="16"/>
          <w:szCs w:val="16"/>
        </w:rPr>
        <w:t xml:space="preserve">retrieved from FRED, Federal Reserve Bank of St. Louis; </w:t>
      </w:r>
      <w:hyperlink r:id="rId19" w:history="1">
        <w:r w:rsidRPr="006859BA">
          <w:rPr>
            <w:rStyle w:val="Hyperlink"/>
            <w:i/>
            <w:iCs/>
            <w:sz w:val="16"/>
            <w:szCs w:val="16"/>
          </w:rPr>
          <w:t>https://fred.stlouisfed.org/series/CIVPART</w:t>
        </w:r>
      </w:hyperlink>
      <w:r w:rsidRPr="006859BA">
        <w:rPr>
          <w:i/>
          <w:iCs/>
          <w:sz w:val="16"/>
          <w:szCs w:val="16"/>
        </w:rPr>
        <w:t xml:space="preserve">, </w:t>
      </w:r>
      <w:r w:rsidR="00703FBD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Oct 27</w:t>
      </w:r>
      <w:r w:rsidR="001B4D2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Pr="006859BA">
        <w:rPr>
          <w:i/>
          <w:iCs/>
          <w:sz w:val="16"/>
          <w:szCs w:val="16"/>
        </w:rPr>
        <w:t>.</w:t>
      </w:r>
    </w:p>
  </w:footnote>
  <w:footnote w:id="20">
    <w:p w14:paraId="6C60FCE5" w14:textId="1E21072B" w:rsidR="00D029B3" w:rsidRPr="00D029B3" w:rsidRDefault="00D029B3">
      <w:pPr>
        <w:pStyle w:val="FootnoteText"/>
        <w:rPr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D029B3">
        <w:rPr>
          <w:sz w:val="16"/>
          <w:szCs w:val="16"/>
        </w:rPr>
        <w:t xml:space="preserve">U.S. Bureau of Labor Statistics, </w:t>
      </w:r>
      <w:proofErr w:type="gramStart"/>
      <w:r w:rsidRPr="00D029B3">
        <w:rPr>
          <w:sz w:val="16"/>
          <w:szCs w:val="16"/>
        </w:rPr>
        <w:t>Quits</w:t>
      </w:r>
      <w:proofErr w:type="gramEnd"/>
      <w:r w:rsidRPr="00D029B3">
        <w:rPr>
          <w:sz w:val="16"/>
          <w:szCs w:val="16"/>
        </w:rPr>
        <w:t xml:space="preserve">: Total Nonfarm [JTSQUL], </w:t>
      </w:r>
      <w:r w:rsidRPr="00D029B3">
        <w:rPr>
          <w:i/>
          <w:iCs/>
          <w:sz w:val="16"/>
          <w:szCs w:val="16"/>
        </w:rPr>
        <w:t xml:space="preserve">retrieved from FRED, Federal Reserve Bank of St. Louis; </w:t>
      </w:r>
      <w:hyperlink r:id="rId20" w:history="1">
        <w:r w:rsidRPr="00D029B3">
          <w:rPr>
            <w:rStyle w:val="Hyperlink"/>
            <w:i/>
            <w:iCs/>
            <w:sz w:val="16"/>
            <w:szCs w:val="16"/>
          </w:rPr>
          <w:t>https://fred.stlouisfed.org/series/JTSQUL</w:t>
        </w:r>
      </w:hyperlink>
      <w:r w:rsidRPr="00D029B3">
        <w:rPr>
          <w:i/>
          <w:iCs/>
          <w:sz w:val="16"/>
          <w:szCs w:val="16"/>
        </w:rPr>
        <w:t xml:space="preserve">, </w:t>
      </w:r>
      <w:r w:rsidR="00703FBD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Oct 27</w:t>
      </w:r>
      <w:r w:rsidR="00A74430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="00A74430" w:rsidRPr="006859BA">
        <w:rPr>
          <w:i/>
          <w:iCs/>
          <w:sz w:val="16"/>
          <w:szCs w:val="16"/>
        </w:rPr>
        <w:t>.</w:t>
      </w:r>
    </w:p>
  </w:footnote>
  <w:footnote w:id="21">
    <w:p w14:paraId="646109C7" w14:textId="26E90676" w:rsidR="007A4A4B" w:rsidRDefault="007A4A4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A4A4B">
        <w:rPr>
          <w:sz w:val="16"/>
          <w:szCs w:val="16"/>
        </w:rPr>
        <w:t xml:space="preserve">U.S. Bureau of Labor Statistics, Job Openings: Total Nonfarm [JTSJOL], </w:t>
      </w:r>
      <w:r w:rsidRPr="007A4A4B">
        <w:rPr>
          <w:i/>
          <w:iCs/>
          <w:sz w:val="16"/>
          <w:szCs w:val="16"/>
        </w:rPr>
        <w:t xml:space="preserve">retrieved from FRED, Federal Reserve Bank of St. Louis; </w:t>
      </w:r>
      <w:hyperlink r:id="rId21" w:history="1">
        <w:r w:rsidRPr="00CD6686">
          <w:rPr>
            <w:rStyle w:val="Hyperlink"/>
            <w:i/>
            <w:iCs/>
            <w:sz w:val="16"/>
            <w:szCs w:val="16"/>
          </w:rPr>
          <w:t>https://fred.stlouisfed.org/series/JTSJOL</w:t>
        </w:r>
      </w:hyperlink>
      <w:r w:rsidRPr="007A4A4B">
        <w:rPr>
          <w:i/>
          <w:iCs/>
          <w:sz w:val="16"/>
          <w:szCs w:val="16"/>
        </w:rPr>
        <w:t xml:space="preserve">, </w:t>
      </w:r>
      <w:r w:rsidR="00703FBD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Oct 27</w:t>
      </w:r>
      <w:r w:rsidR="001C2553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>
        <w:rPr>
          <w:i/>
          <w:iCs/>
          <w:sz w:val="16"/>
          <w:szCs w:val="16"/>
        </w:rPr>
        <w:t>.</w:t>
      </w:r>
    </w:p>
  </w:footnote>
  <w:footnote w:id="22">
    <w:p w14:paraId="181B2D4A" w14:textId="50F062BB" w:rsidR="00B36811" w:rsidRDefault="00B368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F5CE2">
        <w:rPr>
          <w:sz w:val="16"/>
          <w:szCs w:val="16"/>
          <w:lang w:val="en-PH"/>
        </w:rPr>
        <w:t>U.S. Bureau of Labor Statistics</w:t>
      </w:r>
      <w:r w:rsidRPr="009D7CB0">
        <w:t xml:space="preserve"> </w:t>
      </w:r>
      <w:r w:rsidRPr="009D7CB0">
        <w:rPr>
          <w:sz w:val="16"/>
          <w:szCs w:val="16"/>
          <w:lang w:val="en-PH"/>
        </w:rPr>
        <w:t xml:space="preserve">Total Unemployed, Plus All Persons Marginally Attached to the Labor Force, Plus Total Employed Part Time for Economic Reasons, as a Percent of the Civilian Labor Force Plus All Persons Marginally Attached to the Labor Force (U-6) </w:t>
      </w:r>
      <w:r>
        <w:rPr>
          <w:sz w:val="16"/>
          <w:szCs w:val="16"/>
          <w:lang w:val="en-PH"/>
        </w:rPr>
        <w:t>[</w:t>
      </w:r>
      <w:r w:rsidRPr="009D7CB0">
        <w:rPr>
          <w:sz w:val="16"/>
          <w:szCs w:val="16"/>
          <w:lang w:val="en-PH"/>
        </w:rPr>
        <w:t>U6RATE</w:t>
      </w:r>
      <w:r>
        <w:rPr>
          <w:sz w:val="16"/>
          <w:szCs w:val="16"/>
          <w:lang w:val="en-PH"/>
        </w:rPr>
        <w:t>]</w:t>
      </w:r>
      <w:r w:rsidRPr="00BF5CE2">
        <w:rPr>
          <w:sz w:val="16"/>
          <w:szCs w:val="16"/>
          <w:lang w:val="en-PH"/>
        </w:rPr>
        <w:t>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22" w:history="1">
        <w:r w:rsidRPr="00D541A5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https://fred.stlouisfed.org/series/U6RATE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0C2DE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Oct 27</w:t>
      </w:r>
      <w:r w:rsidR="001C2553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23">
    <w:p w14:paraId="041DBB1A" w14:textId="4C82A573" w:rsidR="00B36811" w:rsidRDefault="00B368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F5CE2">
        <w:rPr>
          <w:sz w:val="16"/>
          <w:szCs w:val="16"/>
          <w:lang w:val="en-PH"/>
        </w:rPr>
        <w:t>U.S. Bureau of Labor Statistics, All Employees: Total Nonfarm Payrolls [PAYEMS],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2024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retrieved from FRED, Federal Reserve Bank of St. Louis; </w:t>
      </w:r>
      <w:hyperlink r:id="rId23" w:history="1">
        <w:r w:rsidRPr="002024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https://fred.stlouisfed.org/series/PAYEMS</w:t>
        </w:r>
      </w:hyperlink>
      <w:r w:rsidRPr="002024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0C2DE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Oct 27</w:t>
      </w:r>
      <w:r w:rsidR="00FF3D1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Pr="002024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24">
    <w:p w14:paraId="7DB2BDE1" w14:textId="01B6591B" w:rsidR="00B36811" w:rsidRDefault="00B368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F5CE2">
        <w:rPr>
          <w:sz w:val="16"/>
          <w:szCs w:val="16"/>
          <w:lang w:val="en-PH"/>
        </w:rPr>
        <w:t>U.S. Bureau of Labor Statistics, Consumer Price Index for All Urban Consumers: All Items [CPIAUCSL],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24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https://fred.stlouisfed.org/series/CPIAUCSL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9124CB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Oct 27</w:t>
      </w:r>
      <w:r w:rsidR="00FF3D1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25">
    <w:p w14:paraId="739A6C3B" w14:textId="380B3F86" w:rsidR="00EF1F20" w:rsidRPr="00EF1F20" w:rsidRDefault="00EF1F20">
      <w:pPr>
        <w:pStyle w:val="FootnoteText"/>
        <w:rPr>
          <w:sz w:val="16"/>
          <w:szCs w:val="16"/>
          <w:lang w:val="en-PH"/>
        </w:rPr>
      </w:pPr>
      <w:r>
        <w:rPr>
          <w:rStyle w:val="FootnoteReference"/>
        </w:rPr>
        <w:footnoteRef/>
      </w:r>
      <w:r>
        <w:t xml:space="preserve"> </w:t>
      </w:r>
      <w:r w:rsidRPr="00EF1F20">
        <w:rPr>
          <w:sz w:val="16"/>
          <w:szCs w:val="16"/>
          <w:lang w:val="en-PH"/>
        </w:rPr>
        <w:t xml:space="preserve">U.S. Bureau of Labor Statistics, Consumer Price Index for All Urban Consumers: All Items Less Energy in U.S. City Average [CPILEGSL], </w:t>
      </w:r>
      <w:r w:rsidRPr="00EF1F20">
        <w:rPr>
          <w:i/>
          <w:iCs/>
          <w:sz w:val="16"/>
          <w:szCs w:val="16"/>
          <w:lang w:val="en-PH"/>
        </w:rPr>
        <w:t xml:space="preserve">retrieved from FRED, Federal Reserve Bank of St. Louis; </w:t>
      </w:r>
      <w:hyperlink r:id="rId25" w:history="1">
        <w:r w:rsidRPr="00EF1F20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https://fred.stlouisfed.org/series/CPILEGSL</w:t>
        </w:r>
      </w:hyperlink>
      <w:r w:rsidRPr="00EF1F20">
        <w:rPr>
          <w:i/>
          <w:iCs/>
          <w:sz w:val="16"/>
          <w:szCs w:val="16"/>
          <w:lang w:val="en-PH"/>
        </w:rPr>
        <w:t>,</w:t>
      </w:r>
      <w:r w:rsidR="009124CB">
        <w:rPr>
          <w:i/>
          <w:iCs/>
          <w:sz w:val="16"/>
          <w:szCs w:val="16"/>
          <w:lang w:val="en-PH"/>
        </w:rPr>
        <w:t xml:space="preserve"> Oct 27</w:t>
      </w:r>
      <w:r w:rsidR="00FF3D19">
        <w:rPr>
          <w:i/>
          <w:iCs/>
          <w:sz w:val="16"/>
          <w:szCs w:val="16"/>
          <w:lang w:val="en-PH"/>
        </w:rPr>
        <w:t>, 2023</w:t>
      </w:r>
      <w:r w:rsidRPr="00EF1F20">
        <w:rPr>
          <w:sz w:val="16"/>
          <w:szCs w:val="16"/>
          <w:lang w:val="en-PH"/>
        </w:rPr>
        <w:t>.</w:t>
      </w:r>
    </w:p>
  </w:footnote>
  <w:footnote w:id="26">
    <w:p w14:paraId="46D1616A" w14:textId="23F6283A" w:rsidR="00B36811" w:rsidRPr="003A2900" w:rsidRDefault="00B36811" w:rsidP="003A2900">
      <w:pPr>
        <w:pStyle w:val="FootnoteText"/>
        <w:rPr>
          <w:rFonts w:ascii="Times New Roman" w:eastAsia="Times New Roman" w:hAnsi="Times New Roman" w:cs="Times New Roman"/>
          <w:szCs w:val="24"/>
        </w:rPr>
      </w:pPr>
      <w:r w:rsidRPr="003A2900">
        <w:rPr>
          <w:vertAlign w:val="superscript"/>
          <w:lang w:val="en-PH"/>
        </w:rPr>
        <w:footnoteRef/>
      </w:r>
      <w:r w:rsidRPr="003A2900">
        <w:rPr>
          <w:vertAlign w:val="superscript"/>
          <w:lang w:val="en-PH"/>
        </w:rPr>
        <w:t xml:space="preserve"> </w:t>
      </w:r>
      <w:r w:rsidRPr="003A2900">
        <w:rPr>
          <w:sz w:val="16"/>
          <w:szCs w:val="16"/>
          <w:lang w:val="en-PH"/>
        </w:rPr>
        <w:t xml:space="preserve">U.S. Bureau of Labor Statistics, Average Price: Gasoline, Unleaded Regular (Cost per Gallon/3.785 Liters) in U.S. City Average [APU000074714], </w:t>
      </w:r>
      <w:r w:rsidRPr="003A2900">
        <w:rPr>
          <w:i/>
          <w:iCs/>
          <w:sz w:val="16"/>
          <w:szCs w:val="16"/>
          <w:lang w:val="en-PH"/>
        </w:rPr>
        <w:t xml:space="preserve">retrieved from FRED, Federal Reserve Bank of St. Louis; </w:t>
      </w:r>
      <w:hyperlink r:id="rId26" w:history="1">
        <w:r w:rsidRPr="006859BA">
          <w:rPr>
            <w:rStyle w:val="Hyperlink"/>
            <w:i/>
            <w:iCs/>
            <w:sz w:val="16"/>
            <w:szCs w:val="16"/>
            <w:lang w:val="en-PH"/>
          </w:rPr>
          <w:t>https://fred.stlouisfed.org/series/APU000074714</w:t>
        </w:r>
      </w:hyperlink>
      <w:r w:rsidRPr="006859BA">
        <w:rPr>
          <w:i/>
          <w:iCs/>
          <w:sz w:val="16"/>
          <w:szCs w:val="16"/>
          <w:lang w:val="en-PH"/>
        </w:rPr>
        <w:t xml:space="preserve">, </w:t>
      </w:r>
      <w:r w:rsidR="009124CB">
        <w:rPr>
          <w:i/>
          <w:iCs/>
          <w:sz w:val="16"/>
          <w:szCs w:val="16"/>
          <w:lang w:val="en-PH"/>
        </w:rPr>
        <w:t>Oct 27</w:t>
      </w:r>
      <w:r w:rsidR="00FF3D19">
        <w:rPr>
          <w:i/>
          <w:iCs/>
          <w:sz w:val="16"/>
          <w:szCs w:val="16"/>
          <w:lang w:val="en-PH"/>
        </w:rPr>
        <w:t>, 2023</w:t>
      </w:r>
      <w:r w:rsidRPr="006859BA">
        <w:rPr>
          <w:i/>
          <w:iCs/>
          <w:sz w:val="16"/>
          <w:szCs w:val="16"/>
          <w:lang w:val="en-PH"/>
        </w:rPr>
        <w:t>.</w:t>
      </w:r>
    </w:p>
  </w:footnote>
  <w:footnote w:id="27">
    <w:p w14:paraId="0C7EB8BC" w14:textId="7D05E232" w:rsidR="00B36811" w:rsidRDefault="00B368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F5CE2">
        <w:rPr>
          <w:sz w:val="16"/>
          <w:szCs w:val="16"/>
          <w:lang w:val="en-PH"/>
        </w:rPr>
        <w:t>U.S. Bureau of Labor Statistics, Producer Price Index for All Commodities [PPIACO],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27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https://fred.stlouisfed.org/series/PPIACO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92458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Oct 27</w:t>
      </w:r>
      <w:r w:rsidR="004531BD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28">
    <w:p w14:paraId="1E8CCC61" w14:textId="694E3264" w:rsidR="00B36811" w:rsidRDefault="00B36811" w:rsidP="00661AA7">
      <w:pPr>
        <w:pStyle w:val="FootnoteText"/>
      </w:pPr>
      <w:r>
        <w:rPr>
          <w:rStyle w:val="FootnoteReference"/>
        </w:rPr>
        <w:footnoteRef/>
      </w:r>
      <w:r w:rsidRPr="009B52A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Federal Reserve Bank of St. Louis</w:t>
      </w:r>
      <w:r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Pr="009B52A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5-Year Breakeven Inflation Rate</w:t>
      </w:r>
      <w:r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[T5YIE</w:t>
      </w:r>
      <w:r w:rsidRPr="000322F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], retrieved from FRED, Federal Reserve Bank of St. Louis; </w:t>
      </w:r>
      <w:hyperlink r:id="rId28" w:history="1">
        <w:r w:rsidRPr="001B4FCC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https://fred.stlouisfed.org/series/T5YIE</w:t>
        </w:r>
      </w:hyperlink>
      <w:r w:rsidRPr="000322F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92458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Oct 27</w:t>
      </w:r>
      <w:r w:rsidR="004531BD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Pr="000322F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29">
    <w:p w14:paraId="1C900108" w14:textId="5368E067" w:rsidR="00B36811" w:rsidRPr="000322F4" w:rsidRDefault="00B36811" w:rsidP="0074137C">
      <w:pPr>
        <w:pStyle w:val="FootnoteText"/>
        <w:rPr>
          <w:rFonts w:cstheme="minorHAnsi"/>
          <w:sz w:val="16"/>
          <w:szCs w:val="16"/>
          <w:lang w:val="en-PH"/>
        </w:rPr>
      </w:pPr>
      <w:r w:rsidRPr="000322F4">
        <w:rPr>
          <w:rStyle w:val="FootnoteReference"/>
          <w:rFonts w:cstheme="minorHAnsi"/>
          <w:sz w:val="16"/>
          <w:szCs w:val="16"/>
        </w:rPr>
        <w:footnoteRef/>
      </w:r>
      <w:r w:rsidRPr="000322F4">
        <w:rPr>
          <w:rFonts w:cstheme="minorHAnsi"/>
          <w:sz w:val="16"/>
          <w:szCs w:val="16"/>
        </w:rPr>
        <w:t xml:space="preserve"> </w:t>
      </w:r>
      <w:r w:rsidR="00F72263" w:rsidRPr="00F72263">
        <w:rPr>
          <w:rFonts w:cstheme="minorHAnsi"/>
          <w:color w:val="222222"/>
          <w:sz w:val="16"/>
          <w:szCs w:val="16"/>
          <w:shd w:val="clear" w:color="auto" w:fill="FFFFFF"/>
        </w:rPr>
        <w:t>U.S. Energy Information Administration, Crude Oil Prices: West Texas Intermediate (WTI) - Cushing, Oklahoma [DCOILWTICO],</w:t>
      </w:r>
      <w:r w:rsidR="00F72263" w:rsidRPr="00F72263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 </w:t>
      </w:r>
      <w:hyperlink r:id="rId29" w:history="1">
        <w:r w:rsidR="00EC2B2F" w:rsidRPr="00E05DB5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https://fred.stlouisfed.org/series/DCOILWTICO</w:t>
        </w:r>
      </w:hyperlink>
      <w:r w:rsidR="00F72263" w:rsidRPr="00F72263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AE418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Oct 27</w:t>
      </w:r>
      <w:r w:rsidR="00A7744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Pr="000322F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30">
    <w:p w14:paraId="11221A52" w14:textId="6A214262" w:rsidR="00B36811" w:rsidRPr="00BF5CE2" w:rsidRDefault="00B36811">
      <w:pPr>
        <w:pStyle w:val="FootnoteText"/>
        <w:rPr>
          <w:sz w:val="16"/>
          <w:szCs w:val="16"/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Pr="00BF5CE2">
        <w:rPr>
          <w:sz w:val="16"/>
          <w:szCs w:val="16"/>
          <w:lang w:val="en-PH"/>
        </w:rPr>
        <w:t>U.S. Bureau of the Census, Housing Starts: Total: New Privately Owned Housing Units Started [HOUST],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30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https://fred.stlouisfed.org/series/HOUST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845B35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Oct 27</w:t>
      </w:r>
      <w:r w:rsidR="0066073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31">
    <w:p w14:paraId="6A794CBD" w14:textId="6C55C40D" w:rsidR="00B36811" w:rsidRPr="00250313" w:rsidRDefault="00B36811">
      <w:pPr>
        <w:pStyle w:val="FootnoteText"/>
        <w:rPr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Pr="00BF5CE2">
        <w:rPr>
          <w:sz w:val="16"/>
          <w:szCs w:val="16"/>
          <w:lang w:val="en-PH"/>
        </w:rPr>
        <w:t>Freddie Mac, 30-Year Fixed Rate Mortgage Average in the United States [MORTGAGE30US],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31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https://fred.stlouisfed.org/series/MORTGAGE30US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845B35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Oct 27</w:t>
      </w:r>
      <w:r w:rsidR="0066073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32">
    <w:p w14:paraId="48E5411D" w14:textId="06983AC2" w:rsidR="00B36811" w:rsidRPr="00BF5CE2" w:rsidRDefault="00B36811">
      <w:pPr>
        <w:pStyle w:val="FootnoteText"/>
        <w:rPr>
          <w:sz w:val="16"/>
          <w:szCs w:val="16"/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Pr="00BF5CE2">
        <w:rPr>
          <w:sz w:val="16"/>
          <w:szCs w:val="16"/>
          <w:lang w:val="en-PH"/>
        </w:rPr>
        <w:t>S&amp;P Dow Jones Indices LLC, S&amp;P/Case-Shiller 20-City Composite Home Price Index [SPCS20RSA],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32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https://fred.stlouisfed.org/series/SPCS20RSA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844523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Nov 2</w:t>
      </w:r>
      <w:r w:rsidR="00DD46A0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33">
    <w:p w14:paraId="3C84FE4A" w14:textId="52F9AB03" w:rsidR="00B36811" w:rsidRPr="00BF5CE2" w:rsidRDefault="00B36811">
      <w:pPr>
        <w:pStyle w:val="FootnoteText"/>
        <w:rPr>
          <w:sz w:val="16"/>
          <w:szCs w:val="16"/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  <w:lang w:val="en-PH"/>
        </w:rPr>
        <w:t xml:space="preserve"> U.S. Bureau of Economic Analysis, Personal Consumption Expenditures [PCE],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33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https://fred.stlouisfed.org/series/PCE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56478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Oct 27</w:t>
      </w:r>
      <w:r w:rsidR="00E82D66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34">
    <w:p w14:paraId="08E11874" w14:textId="39BD3892" w:rsidR="00B36811" w:rsidRPr="00933E80" w:rsidRDefault="00B36811">
      <w:pPr>
        <w:pStyle w:val="FootnoteText"/>
        <w:rPr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Pr="00BF5CE2">
        <w:rPr>
          <w:sz w:val="16"/>
          <w:szCs w:val="16"/>
          <w:lang w:val="en-PH"/>
        </w:rPr>
        <w:t>U.S. Bureau of Economic Analysis, Light Weight Vehicle Sales: Autos and Light Trucks [ALTSALES</w:t>
      </w:r>
      <w:bookmarkStart w:id="0" w:name="_Hlk79177981"/>
      <w:r w:rsidRPr="00BF5CE2">
        <w:rPr>
          <w:sz w:val="16"/>
          <w:szCs w:val="16"/>
          <w:lang w:val="en-PH"/>
        </w:rPr>
        <w:t>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bookmarkEnd w:id="0"/>
      <w:r>
        <w:fldChar w:fldCharType="begin"/>
      </w:r>
      <w:r>
        <w:instrText xml:space="preserve"> HYPERLINK "https://fred.stlouisfed.org/series/ALTSALES" </w:instrText>
      </w:r>
      <w:r>
        <w:fldChar w:fldCharType="separate"/>
      </w:r>
      <w:r w:rsidRPr="00BF5CE2">
        <w:rPr>
          <w:rStyle w:val="Hyperlink"/>
          <w:rFonts w:cstheme="minorHAnsi"/>
          <w:i/>
          <w:iCs/>
          <w:sz w:val="16"/>
          <w:szCs w:val="16"/>
          <w:shd w:val="clear" w:color="auto" w:fill="FFFFFF"/>
        </w:rPr>
        <w:t>https://fred.stlouisfed.org/series/ALTSALES</w:t>
      </w:r>
      <w:r>
        <w:rPr>
          <w:rStyle w:val="Hyperlink"/>
          <w:rFonts w:cstheme="minorHAnsi"/>
          <w:i/>
          <w:iCs/>
          <w:sz w:val="16"/>
          <w:szCs w:val="16"/>
          <w:shd w:val="clear" w:color="auto" w:fill="FFFFFF"/>
        </w:rPr>
        <w:fldChar w:fldCharType="end"/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56478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Oct 27, </w:t>
      </w:r>
      <w:r w:rsidR="00B745AA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2023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35">
    <w:p w14:paraId="1FBBD940" w14:textId="44C06FF3" w:rsidR="00B36811" w:rsidRPr="00D822BB" w:rsidRDefault="00B36811" w:rsidP="00B92952">
      <w:pPr>
        <w:pStyle w:val="FootnoteText"/>
        <w:rPr>
          <w:sz w:val="16"/>
          <w:szCs w:val="16"/>
          <w:lang w:val="en-PH"/>
        </w:rPr>
      </w:pPr>
      <w:r w:rsidRPr="00D822BB">
        <w:rPr>
          <w:rStyle w:val="FootnoteReference"/>
          <w:sz w:val="16"/>
          <w:szCs w:val="16"/>
        </w:rPr>
        <w:footnoteRef/>
      </w:r>
      <w:r w:rsidRPr="00D822BB">
        <w:rPr>
          <w:rStyle w:val="FootnoteReference"/>
          <w:sz w:val="16"/>
          <w:szCs w:val="16"/>
        </w:rPr>
        <w:t xml:space="preserve"> </w:t>
      </w:r>
      <w:r>
        <w:rPr>
          <w:rFonts w:ascii="Lucida Sans" w:eastAsia="Times New Roman" w:hAnsi="Lucida Sans" w:cs="Times New Roman"/>
          <w:color w:val="333333"/>
          <w:sz w:val="18"/>
          <w:szCs w:val="18"/>
          <w:shd w:val="clear" w:color="auto" w:fill="FFFFFF"/>
        </w:rPr>
        <w:t>U</w:t>
      </w:r>
      <w:r w:rsidRPr="00D822BB">
        <w:rPr>
          <w:sz w:val="16"/>
          <w:szCs w:val="16"/>
          <w:lang w:val="en-PH"/>
        </w:rPr>
        <w:t xml:space="preserve">.S. Bureau of Labor Statistics, Consumer Price Index for All Urban Consumers: New Vehicles in U.S. City Average [CUUR0000SETA01], </w:t>
      </w:r>
      <w:r w:rsidRPr="00D822BB">
        <w:rPr>
          <w:i/>
          <w:iCs/>
          <w:sz w:val="16"/>
          <w:szCs w:val="16"/>
          <w:lang w:val="en-PH"/>
        </w:rPr>
        <w:t xml:space="preserve">retrieved from FRED, </w:t>
      </w:r>
      <w:r w:rsidRPr="00B9295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Federal</w:t>
      </w:r>
      <w:r w:rsidRPr="00D822BB">
        <w:rPr>
          <w:i/>
          <w:iCs/>
          <w:sz w:val="16"/>
          <w:szCs w:val="16"/>
          <w:lang w:val="en-PH"/>
        </w:rPr>
        <w:t xml:space="preserve"> Reserve Bank of St. Louis; </w:t>
      </w:r>
      <w:hyperlink r:id="rId34" w:history="1">
        <w:r w:rsidRPr="00D822BB">
          <w:rPr>
            <w:rStyle w:val="Hyperlink"/>
            <w:i/>
            <w:iCs/>
            <w:sz w:val="16"/>
            <w:szCs w:val="16"/>
            <w:lang w:val="en-PH"/>
          </w:rPr>
          <w:t>https://fred.stlouisfed.org/series/CUUR0000SETA01</w:t>
        </w:r>
      </w:hyperlink>
      <w:r w:rsidRPr="00D822BB">
        <w:rPr>
          <w:i/>
          <w:iCs/>
          <w:sz w:val="16"/>
          <w:szCs w:val="16"/>
          <w:lang w:val="en-PH"/>
        </w:rPr>
        <w:t xml:space="preserve">, </w:t>
      </w:r>
      <w:r w:rsidR="0056478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Oct 27</w:t>
      </w:r>
      <w:r w:rsidR="00B745AA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Pr="00D822BB">
        <w:rPr>
          <w:i/>
          <w:iCs/>
          <w:sz w:val="16"/>
          <w:szCs w:val="16"/>
          <w:lang w:val="en-PH"/>
        </w:rPr>
        <w:t>.</w:t>
      </w:r>
    </w:p>
  </w:footnote>
  <w:footnote w:id="36">
    <w:p w14:paraId="1D43F300" w14:textId="09D9DF36" w:rsidR="00B36811" w:rsidRDefault="00B368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11626">
        <w:rPr>
          <w:sz w:val="16"/>
          <w:szCs w:val="16"/>
        </w:rPr>
        <w:t>U.S. Bureau of Labor Statistics</w:t>
      </w:r>
      <w:r>
        <w:rPr>
          <w:sz w:val="16"/>
          <w:szCs w:val="16"/>
        </w:rPr>
        <w:t xml:space="preserve">, </w:t>
      </w:r>
      <w:r w:rsidRPr="00611626">
        <w:rPr>
          <w:sz w:val="16"/>
          <w:szCs w:val="16"/>
        </w:rPr>
        <w:t>Consumer Price Index for All Urban Consumers: Used Cars and Trucks in U.S. City Average</w:t>
      </w:r>
      <w:r>
        <w:rPr>
          <w:sz w:val="16"/>
          <w:szCs w:val="16"/>
        </w:rPr>
        <w:t xml:space="preserve"> [</w:t>
      </w:r>
      <w:r w:rsidRPr="00611626">
        <w:rPr>
          <w:sz w:val="16"/>
          <w:szCs w:val="16"/>
        </w:rPr>
        <w:t>CUSR0000SETA02</w:t>
      </w:r>
      <w:r>
        <w:rPr>
          <w:sz w:val="16"/>
          <w:szCs w:val="16"/>
        </w:rPr>
        <w:t>],</w:t>
      </w:r>
      <w:r w:rsidRPr="00611626">
        <w:rPr>
          <w:sz w:val="16"/>
          <w:szCs w:val="16"/>
        </w:rPr>
        <w:t xml:space="preserve"> </w:t>
      </w:r>
      <w:r w:rsidRPr="00D822BB">
        <w:rPr>
          <w:i/>
          <w:iCs/>
          <w:sz w:val="16"/>
          <w:szCs w:val="16"/>
        </w:rPr>
        <w:t xml:space="preserve">retrieved from FRED, Federal Reserve Bank of St. Louis; </w:t>
      </w:r>
      <w:hyperlink r:id="rId35" w:history="1">
        <w:r w:rsidRPr="00D822BB">
          <w:rPr>
            <w:rStyle w:val="Hyperlink"/>
            <w:i/>
            <w:iCs/>
            <w:sz w:val="16"/>
            <w:szCs w:val="16"/>
          </w:rPr>
          <w:t>https://fred.stlouisfed.org/series/CUSR0000SETA02</w:t>
        </w:r>
      </w:hyperlink>
      <w:r>
        <w:t xml:space="preserve">, </w:t>
      </w:r>
      <w:r w:rsidR="0056478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Oct 27</w:t>
      </w:r>
      <w:r w:rsidR="00B745AA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37">
    <w:p w14:paraId="01357EF0" w14:textId="35249F8B" w:rsidR="00B36811" w:rsidRPr="00364347" w:rsidRDefault="00B36811" w:rsidP="00291FFB">
      <w:pPr>
        <w:pStyle w:val="FootnoteText"/>
        <w:rPr>
          <w:i/>
          <w:iCs/>
          <w:sz w:val="16"/>
          <w:szCs w:val="16"/>
          <w:lang w:val="en-PH"/>
        </w:rPr>
      </w:pPr>
      <w:r w:rsidRPr="00364347">
        <w:rPr>
          <w:rStyle w:val="FootnoteReference"/>
        </w:rPr>
        <w:footnoteRef/>
      </w:r>
      <w:r w:rsidRPr="00364347">
        <w:rPr>
          <w:rStyle w:val="FootnoteReference"/>
        </w:rPr>
        <w:t xml:space="preserve"> </w:t>
      </w:r>
      <w:r w:rsidRPr="00364347">
        <w:rPr>
          <w:i/>
          <w:iCs/>
          <w:sz w:val="16"/>
          <w:szCs w:val="16"/>
          <w:lang w:val="en-PH"/>
        </w:rPr>
        <w:t xml:space="preserve">University of Michigan, University of Michigan: Consumer Sentiment [UMCSENT], retrieved from FRED, Federal Reserve Bank of St. Louis; </w:t>
      </w:r>
      <w:hyperlink r:id="rId36" w:history="1">
        <w:r w:rsidRPr="00364347">
          <w:rPr>
            <w:rStyle w:val="Hyperlink"/>
            <w:i/>
            <w:iCs/>
            <w:sz w:val="16"/>
            <w:szCs w:val="16"/>
            <w:lang w:val="en-PH"/>
          </w:rPr>
          <w:t>https://fred.stlouisfed.org/series/UMCSENT</w:t>
        </w:r>
      </w:hyperlink>
      <w:r w:rsidRPr="00364347">
        <w:rPr>
          <w:i/>
          <w:iCs/>
          <w:sz w:val="16"/>
          <w:szCs w:val="16"/>
          <w:lang w:val="en-PH"/>
        </w:rPr>
        <w:t xml:space="preserve">, </w:t>
      </w:r>
      <w:r w:rsidR="000D75A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Oct 27</w:t>
      </w:r>
      <w:r w:rsidR="00B745AA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Pr="00364347">
        <w:rPr>
          <w:i/>
          <w:iCs/>
          <w:sz w:val="16"/>
          <w:szCs w:val="16"/>
          <w:lang w:val="en-PH"/>
        </w:rPr>
        <w:t>.</w:t>
      </w:r>
    </w:p>
    <w:p w14:paraId="10C86738" w14:textId="29101548" w:rsidR="00B36811" w:rsidRDefault="00B36811">
      <w:pPr>
        <w:pStyle w:val="FootnoteText"/>
      </w:pPr>
    </w:p>
  </w:footnote>
  <w:footnote w:id="38">
    <w:p w14:paraId="3E58D959" w14:textId="2CA8ED1F" w:rsidR="00B36811" w:rsidRPr="00364347" w:rsidRDefault="00B36811">
      <w:pPr>
        <w:pStyle w:val="FootnoteText"/>
        <w:rPr>
          <w:i/>
          <w:iCs/>
          <w:sz w:val="16"/>
          <w:szCs w:val="16"/>
        </w:rPr>
      </w:pPr>
      <w:r w:rsidRPr="00364347">
        <w:rPr>
          <w:rStyle w:val="FootnoteReference"/>
        </w:rPr>
        <w:footnoteRef/>
      </w:r>
      <w:r w:rsidRPr="00364347">
        <w:rPr>
          <w:rStyle w:val="FootnoteReference"/>
        </w:rPr>
        <w:t xml:space="preserve"> </w:t>
      </w:r>
      <w:r w:rsidRPr="00364347">
        <w:rPr>
          <w:i/>
          <w:iCs/>
          <w:sz w:val="16"/>
          <w:szCs w:val="16"/>
        </w:rPr>
        <w:t xml:space="preserve">Chicago Board Options Exchange, CBOE Volatility Index: VIX [VIXCLS], retrieved from FRED, Federal Reserve Bank of St. Louis; </w:t>
      </w:r>
      <w:hyperlink r:id="rId37" w:history="1">
        <w:r w:rsidRPr="00364347">
          <w:rPr>
            <w:rStyle w:val="Hyperlink"/>
            <w:i/>
            <w:iCs/>
            <w:sz w:val="16"/>
            <w:szCs w:val="16"/>
          </w:rPr>
          <w:t>https://fred.stlouisfed.org/series/VIXCLS</w:t>
        </w:r>
      </w:hyperlink>
      <w:r w:rsidRPr="00364347">
        <w:rPr>
          <w:i/>
          <w:iCs/>
          <w:sz w:val="16"/>
          <w:szCs w:val="16"/>
        </w:rPr>
        <w:t xml:space="preserve">, </w:t>
      </w:r>
      <w:r w:rsidR="001C1454">
        <w:rPr>
          <w:i/>
          <w:iCs/>
          <w:sz w:val="16"/>
          <w:szCs w:val="16"/>
        </w:rPr>
        <w:t>Oct 27</w:t>
      </w:r>
      <w:r w:rsidR="00D467A8">
        <w:rPr>
          <w:i/>
          <w:iCs/>
          <w:sz w:val="16"/>
          <w:szCs w:val="16"/>
        </w:rPr>
        <w:t>, 2023</w:t>
      </w:r>
      <w:r w:rsidRPr="00364347">
        <w:rPr>
          <w:i/>
          <w:iCs/>
          <w:sz w:val="16"/>
          <w:szCs w:val="16"/>
        </w:rPr>
        <w:t>.</w:t>
      </w:r>
    </w:p>
  </w:footnote>
  <w:footnote w:id="39">
    <w:p w14:paraId="1CF53D3A" w14:textId="5C25CF27" w:rsidR="00B36811" w:rsidRPr="00BF5CE2" w:rsidRDefault="00B36811">
      <w:pPr>
        <w:pStyle w:val="FootnoteText"/>
        <w:rPr>
          <w:lang w:val="en-PH"/>
        </w:rPr>
      </w:pPr>
      <w:r w:rsidRPr="002B29C7">
        <w:rPr>
          <w:rStyle w:val="FootnoteReference"/>
          <w:sz w:val="16"/>
          <w:szCs w:val="16"/>
        </w:rPr>
        <w:footnoteRef/>
      </w:r>
      <w:r w:rsidRPr="002B29C7">
        <w:rPr>
          <w:sz w:val="16"/>
          <w:szCs w:val="16"/>
        </w:rPr>
        <w:t xml:space="preserve"> </w:t>
      </w:r>
      <w:r w:rsidRPr="00364347">
        <w:rPr>
          <w:i/>
          <w:iCs/>
          <w:sz w:val="16"/>
          <w:szCs w:val="16"/>
        </w:rPr>
        <w:t>Federal Reserve Bank of St. Louis</w:t>
      </w:r>
      <w:r w:rsidRPr="00364347">
        <w:rPr>
          <w:i/>
          <w:iCs/>
          <w:sz w:val="16"/>
          <w:szCs w:val="16"/>
          <w:lang w:val="en-PH"/>
        </w:rPr>
        <w:t>, FOMC Summary of Economic Projections for the Growth Rate of Real Gross Domestic Product [GDPC1CTM],</w:t>
      </w:r>
      <w:r w:rsidRPr="0036434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</w:t>
      </w:r>
      <w:r w:rsidRPr="002B29C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ieved from FRED, Federal Reserve Bank of St. Louis; </w:t>
      </w:r>
      <w:hyperlink r:id="rId38" w:history="1">
        <w:r w:rsidRPr="00DF1D66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https://fred.stlouisfed.org/series/GDPC1CTM</w:t>
        </w:r>
      </w:hyperlink>
      <w:r w:rsidRPr="002B29C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</w:t>
      </w:r>
      <w:r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="001C145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Oct 27</w:t>
      </w:r>
      <w:r w:rsidR="006A3F6C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Pr="002B29C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40">
    <w:p w14:paraId="054982F6" w14:textId="53013D41" w:rsidR="00B36811" w:rsidRPr="005D3CEF" w:rsidRDefault="00B36811">
      <w:pPr>
        <w:pStyle w:val="FootnoteText"/>
        <w:rPr>
          <w:sz w:val="16"/>
          <w:szCs w:val="16"/>
          <w:lang w:val="en-PH"/>
        </w:rPr>
      </w:pPr>
      <w:r w:rsidRPr="005D3CEF">
        <w:rPr>
          <w:rStyle w:val="FootnoteReference"/>
          <w:sz w:val="16"/>
          <w:szCs w:val="16"/>
        </w:rPr>
        <w:footnoteRef/>
      </w:r>
      <w:r w:rsidRPr="005D3CEF">
        <w:rPr>
          <w:sz w:val="16"/>
          <w:szCs w:val="16"/>
        </w:rPr>
        <w:t xml:space="preserve"> </w:t>
      </w:r>
      <w:r w:rsidRPr="00364347">
        <w:rPr>
          <w:i/>
          <w:iCs/>
          <w:sz w:val="16"/>
          <w:szCs w:val="16"/>
        </w:rPr>
        <w:t>Federal Reserve Bank of St. Louis</w:t>
      </w:r>
      <w:r w:rsidRPr="00364347">
        <w:rPr>
          <w:i/>
          <w:iCs/>
          <w:sz w:val="16"/>
          <w:szCs w:val="16"/>
          <w:lang w:val="en-PH"/>
        </w:rPr>
        <w:t>, FOMC Summary of Economic Projections for the Personal Consumption Expenditures Inflation Rate, Central Tendency, Midpoint [PCECTPICTM],</w:t>
      </w:r>
      <w:r w:rsidRPr="0036434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39" w:history="1">
        <w:r w:rsidRPr="00364347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https://fred.stlouisfed.org/series/PCECTPICTM</w:t>
        </w:r>
      </w:hyperlink>
      <w:r w:rsidRPr="0036434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1C145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Oct 27</w:t>
      </w:r>
      <w:r w:rsidR="00D467A8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Pr="0036434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41">
    <w:p w14:paraId="4A7DBD07" w14:textId="3150D124" w:rsidR="00B36811" w:rsidRPr="00E72196" w:rsidRDefault="00B36811" w:rsidP="0049182B">
      <w:pPr>
        <w:pStyle w:val="FootnoteText"/>
        <w:jc w:val="both"/>
        <w:rPr>
          <w:lang w:val="en-PH"/>
        </w:rPr>
      </w:pPr>
      <w:r>
        <w:rPr>
          <w:rStyle w:val="FootnoteReference"/>
        </w:rPr>
        <w:footnoteRef/>
      </w:r>
      <w:r>
        <w:t xml:space="preserve"> </w:t>
      </w:r>
      <w:r w:rsidRPr="00364347">
        <w:rPr>
          <w:i/>
          <w:iCs/>
          <w:sz w:val="16"/>
          <w:szCs w:val="16"/>
        </w:rPr>
        <w:t>Federal Reserve Bank of St. Louis</w:t>
      </w:r>
      <w:r w:rsidRPr="00364347">
        <w:rPr>
          <w:i/>
          <w:iCs/>
          <w:sz w:val="16"/>
          <w:szCs w:val="16"/>
          <w:lang w:val="en-PH"/>
        </w:rPr>
        <w:t>, FOMC Summary of Economic Projections for the Civilian Unemployment Rate, Central Tendency, Midpoint</w:t>
      </w:r>
      <w:r>
        <w:rPr>
          <w:i/>
          <w:iCs/>
          <w:sz w:val="16"/>
          <w:szCs w:val="16"/>
          <w:lang w:val="en-PH"/>
        </w:rPr>
        <w:t xml:space="preserve"> </w:t>
      </w:r>
      <w:r w:rsidRPr="00364347">
        <w:rPr>
          <w:i/>
          <w:iCs/>
          <w:sz w:val="16"/>
          <w:szCs w:val="16"/>
          <w:lang w:val="en-PH"/>
        </w:rPr>
        <w:t>[UNRATECTM],</w:t>
      </w:r>
      <w:r w:rsidRPr="0036434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</w:t>
      </w:r>
      <w:r w:rsidRPr="005D3CE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eved from FRED, Federal Reserve Bank of St. Louis; </w:t>
      </w:r>
      <w:hyperlink r:id="rId40" w:history="1">
        <w:r w:rsidRPr="00DF1D66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https://fred.stlouisfed.org/series/UNRATECTM</w:t>
        </w:r>
      </w:hyperlink>
      <w:r w:rsidRPr="005D3CE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1C145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Oct 27</w:t>
      </w:r>
      <w:r w:rsidR="00D467A8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Pr="005D3CE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D5FE7" w14:textId="77777777" w:rsidR="00B36811" w:rsidRPr="00460436" w:rsidRDefault="00B36811" w:rsidP="00460436">
    <w:pPr>
      <w:pStyle w:val="Header"/>
      <w:jc w:val="right"/>
      <w:rPr>
        <w:rStyle w:val="IntenseEmphasis"/>
      </w:rPr>
    </w:pPr>
    <w:r w:rsidRPr="00460436">
      <w:rPr>
        <w:rStyle w:val="IntenseEmphasis"/>
      </w:rPr>
      <w:t>Quarterly Economic Update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5F2D28"/>
    <w:multiLevelType w:val="hybridMultilevel"/>
    <w:tmpl w:val="3CC48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254B19"/>
    <w:multiLevelType w:val="hybridMultilevel"/>
    <w:tmpl w:val="82C2C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B907BB"/>
    <w:multiLevelType w:val="hybridMultilevel"/>
    <w:tmpl w:val="A0F67C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1E6018"/>
    <w:multiLevelType w:val="hybridMultilevel"/>
    <w:tmpl w:val="62A6E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3085586">
    <w:abstractNumId w:val="1"/>
  </w:num>
  <w:num w:numId="2" w16cid:durableId="398282987">
    <w:abstractNumId w:val="2"/>
  </w:num>
  <w:num w:numId="3" w16cid:durableId="1758331900">
    <w:abstractNumId w:val="0"/>
  </w:num>
  <w:num w:numId="4" w16cid:durableId="2444154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111"/>
    <w:rsid w:val="0000055B"/>
    <w:rsid w:val="000017CB"/>
    <w:rsid w:val="00001B20"/>
    <w:rsid w:val="000022F6"/>
    <w:rsid w:val="000048BB"/>
    <w:rsid w:val="00005111"/>
    <w:rsid w:val="00014CBA"/>
    <w:rsid w:val="00015329"/>
    <w:rsid w:val="00021EA4"/>
    <w:rsid w:val="00022BB4"/>
    <w:rsid w:val="00023FB9"/>
    <w:rsid w:val="000240BE"/>
    <w:rsid w:val="000248D0"/>
    <w:rsid w:val="00024E64"/>
    <w:rsid w:val="00025568"/>
    <w:rsid w:val="0002602B"/>
    <w:rsid w:val="0002760A"/>
    <w:rsid w:val="00027E1E"/>
    <w:rsid w:val="00030ECA"/>
    <w:rsid w:val="0003136B"/>
    <w:rsid w:val="00031DA4"/>
    <w:rsid w:val="00032178"/>
    <w:rsid w:val="000322F4"/>
    <w:rsid w:val="00033B75"/>
    <w:rsid w:val="000345F7"/>
    <w:rsid w:val="000346C8"/>
    <w:rsid w:val="00035810"/>
    <w:rsid w:val="00035F0C"/>
    <w:rsid w:val="00035F9F"/>
    <w:rsid w:val="000360A6"/>
    <w:rsid w:val="0003611B"/>
    <w:rsid w:val="0004025D"/>
    <w:rsid w:val="0004306B"/>
    <w:rsid w:val="0004341A"/>
    <w:rsid w:val="00043F5D"/>
    <w:rsid w:val="00046A04"/>
    <w:rsid w:val="00047034"/>
    <w:rsid w:val="00047E74"/>
    <w:rsid w:val="00050BF6"/>
    <w:rsid w:val="0005198D"/>
    <w:rsid w:val="00052F94"/>
    <w:rsid w:val="0005394D"/>
    <w:rsid w:val="00053E46"/>
    <w:rsid w:val="00056A46"/>
    <w:rsid w:val="00056DC1"/>
    <w:rsid w:val="0005726F"/>
    <w:rsid w:val="00057711"/>
    <w:rsid w:val="00060AA5"/>
    <w:rsid w:val="00061DAA"/>
    <w:rsid w:val="000644DB"/>
    <w:rsid w:val="000650B3"/>
    <w:rsid w:val="00065E14"/>
    <w:rsid w:val="0007056A"/>
    <w:rsid w:val="00071875"/>
    <w:rsid w:val="00071A81"/>
    <w:rsid w:val="0007242E"/>
    <w:rsid w:val="00072C36"/>
    <w:rsid w:val="000738AD"/>
    <w:rsid w:val="00074123"/>
    <w:rsid w:val="000742F7"/>
    <w:rsid w:val="0007515A"/>
    <w:rsid w:val="000755E2"/>
    <w:rsid w:val="00075FA5"/>
    <w:rsid w:val="000763E1"/>
    <w:rsid w:val="00076744"/>
    <w:rsid w:val="00076850"/>
    <w:rsid w:val="000773EC"/>
    <w:rsid w:val="000807FF"/>
    <w:rsid w:val="000841DA"/>
    <w:rsid w:val="00084604"/>
    <w:rsid w:val="00084608"/>
    <w:rsid w:val="00084C45"/>
    <w:rsid w:val="00086DBA"/>
    <w:rsid w:val="000874E3"/>
    <w:rsid w:val="00090A7B"/>
    <w:rsid w:val="00090DA6"/>
    <w:rsid w:val="00091209"/>
    <w:rsid w:val="00091282"/>
    <w:rsid w:val="0009284F"/>
    <w:rsid w:val="00093D9A"/>
    <w:rsid w:val="00093EF4"/>
    <w:rsid w:val="0009699C"/>
    <w:rsid w:val="000A0001"/>
    <w:rsid w:val="000A06BD"/>
    <w:rsid w:val="000A0FCA"/>
    <w:rsid w:val="000A1224"/>
    <w:rsid w:val="000A239B"/>
    <w:rsid w:val="000A2C4B"/>
    <w:rsid w:val="000A3240"/>
    <w:rsid w:val="000A4F8E"/>
    <w:rsid w:val="000A6B19"/>
    <w:rsid w:val="000A79DC"/>
    <w:rsid w:val="000B0583"/>
    <w:rsid w:val="000B0B86"/>
    <w:rsid w:val="000B42F9"/>
    <w:rsid w:val="000B43C0"/>
    <w:rsid w:val="000B487C"/>
    <w:rsid w:val="000B4F85"/>
    <w:rsid w:val="000B5DA2"/>
    <w:rsid w:val="000B6EBB"/>
    <w:rsid w:val="000C09E2"/>
    <w:rsid w:val="000C117B"/>
    <w:rsid w:val="000C1495"/>
    <w:rsid w:val="000C19DD"/>
    <w:rsid w:val="000C2DE9"/>
    <w:rsid w:val="000C2E7D"/>
    <w:rsid w:val="000C371B"/>
    <w:rsid w:val="000C62E8"/>
    <w:rsid w:val="000C6EEB"/>
    <w:rsid w:val="000C71C7"/>
    <w:rsid w:val="000C722D"/>
    <w:rsid w:val="000D1815"/>
    <w:rsid w:val="000D2357"/>
    <w:rsid w:val="000D3995"/>
    <w:rsid w:val="000D47AB"/>
    <w:rsid w:val="000D4973"/>
    <w:rsid w:val="000D4AF1"/>
    <w:rsid w:val="000D503C"/>
    <w:rsid w:val="000D5719"/>
    <w:rsid w:val="000D646D"/>
    <w:rsid w:val="000D66EE"/>
    <w:rsid w:val="000D75AF"/>
    <w:rsid w:val="000D76D6"/>
    <w:rsid w:val="000D7BDC"/>
    <w:rsid w:val="000E0FA4"/>
    <w:rsid w:val="000E1968"/>
    <w:rsid w:val="000E1BAA"/>
    <w:rsid w:val="000E3192"/>
    <w:rsid w:val="000E5860"/>
    <w:rsid w:val="000E6060"/>
    <w:rsid w:val="000E6A61"/>
    <w:rsid w:val="000F02FB"/>
    <w:rsid w:val="000F1648"/>
    <w:rsid w:val="000F3008"/>
    <w:rsid w:val="000F4AC6"/>
    <w:rsid w:val="000F59FF"/>
    <w:rsid w:val="000F7F33"/>
    <w:rsid w:val="00100023"/>
    <w:rsid w:val="001009B9"/>
    <w:rsid w:val="00100DF8"/>
    <w:rsid w:val="00100F15"/>
    <w:rsid w:val="00102080"/>
    <w:rsid w:val="0010260B"/>
    <w:rsid w:val="00102CFC"/>
    <w:rsid w:val="0010377C"/>
    <w:rsid w:val="00105413"/>
    <w:rsid w:val="001057AF"/>
    <w:rsid w:val="001058D4"/>
    <w:rsid w:val="00105A55"/>
    <w:rsid w:val="00107AB4"/>
    <w:rsid w:val="001116CA"/>
    <w:rsid w:val="00111911"/>
    <w:rsid w:val="00111974"/>
    <w:rsid w:val="00112619"/>
    <w:rsid w:val="00113C90"/>
    <w:rsid w:val="001149CD"/>
    <w:rsid w:val="00114EE2"/>
    <w:rsid w:val="00115717"/>
    <w:rsid w:val="00116B91"/>
    <w:rsid w:val="00117BB0"/>
    <w:rsid w:val="00121A39"/>
    <w:rsid w:val="00121E2F"/>
    <w:rsid w:val="00122842"/>
    <w:rsid w:val="001235D8"/>
    <w:rsid w:val="001277B9"/>
    <w:rsid w:val="00130055"/>
    <w:rsid w:val="00131885"/>
    <w:rsid w:val="00131A14"/>
    <w:rsid w:val="00132201"/>
    <w:rsid w:val="00134A21"/>
    <w:rsid w:val="00134DA5"/>
    <w:rsid w:val="00137248"/>
    <w:rsid w:val="00140712"/>
    <w:rsid w:val="00140763"/>
    <w:rsid w:val="00140B44"/>
    <w:rsid w:val="00140FEE"/>
    <w:rsid w:val="00142197"/>
    <w:rsid w:val="00142F71"/>
    <w:rsid w:val="001451F8"/>
    <w:rsid w:val="001460CC"/>
    <w:rsid w:val="001475FF"/>
    <w:rsid w:val="0015037B"/>
    <w:rsid w:val="00150655"/>
    <w:rsid w:val="001511FF"/>
    <w:rsid w:val="00152215"/>
    <w:rsid w:val="00153FBB"/>
    <w:rsid w:val="00154420"/>
    <w:rsid w:val="001545F2"/>
    <w:rsid w:val="00155E5F"/>
    <w:rsid w:val="00155E88"/>
    <w:rsid w:val="00156E24"/>
    <w:rsid w:val="00156FE4"/>
    <w:rsid w:val="0015736C"/>
    <w:rsid w:val="001575D2"/>
    <w:rsid w:val="0016088B"/>
    <w:rsid w:val="00160C1F"/>
    <w:rsid w:val="00162E77"/>
    <w:rsid w:val="00163F37"/>
    <w:rsid w:val="001642E0"/>
    <w:rsid w:val="00164566"/>
    <w:rsid w:val="00166778"/>
    <w:rsid w:val="0016688A"/>
    <w:rsid w:val="00166C08"/>
    <w:rsid w:val="00166F90"/>
    <w:rsid w:val="00171C8E"/>
    <w:rsid w:val="00172307"/>
    <w:rsid w:val="001726E0"/>
    <w:rsid w:val="001737B6"/>
    <w:rsid w:val="00173FBF"/>
    <w:rsid w:val="001744C6"/>
    <w:rsid w:val="0017465F"/>
    <w:rsid w:val="00174B44"/>
    <w:rsid w:val="00174BCD"/>
    <w:rsid w:val="00174CC3"/>
    <w:rsid w:val="001750D1"/>
    <w:rsid w:val="001756EC"/>
    <w:rsid w:val="0017576B"/>
    <w:rsid w:val="00175A46"/>
    <w:rsid w:val="00176C00"/>
    <w:rsid w:val="00176C0F"/>
    <w:rsid w:val="00176F91"/>
    <w:rsid w:val="001773AA"/>
    <w:rsid w:val="0018096F"/>
    <w:rsid w:val="00180CA9"/>
    <w:rsid w:val="001819E6"/>
    <w:rsid w:val="00182738"/>
    <w:rsid w:val="001829D2"/>
    <w:rsid w:val="00183B61"/>
    <w:rsid w:val="00186318"/>
    <w:rsid w:val="00186873"/>
    <w:rsid w:val="001868CB"/>
    <w:rsid w:val="00187669"/>
    <w:rsid w:val="00193436"/>
    <w:rsid w:val="001945EC"/>
    <w:rsid w:val="0019513E"/>
    <w:rsid w:val="00195B12"/>
    <w:rsid w:val="001A21D2"/>
    <w:rsid w:val="001A3FBA"/>
    <w:rsid w:val="001A4F9E"/>
    <w:rsid w:val="001A5EDF"/>
    <w:rsid w:val="001A6B4E"/>
    <w:rsid w:val="001A6C20"/>
    <w:rsid w:val="001A6C86"/>
    <w:rsid w:val="001B1490"/>
    <w:rsid w:val="001B1D5E"/>
    <w:rsid w:val="001B4B76"/>
    <w:rsid w:val="001B4D24"/>
    <w:rsid w:val="001C0418"/>
    <w:rsid w:val="001C0F2A"/>
    <w:rsid w:val="001C1070"/>
    <w:rsid w:val="001C1077"/>
    <w:rsid w:val="001C1454"/>
    <w:rsid w:val="001C14A1"/>
    <w:rsid w:val="001C2541"/>
    <w:rsid w:val="001C2553"/>
    <w:rsid w:val="001C38B9"/>
    <w:rsid w:val="001C5F4E"/>
    <w:rsid w:val="001C7617"/>
    <w:rsid w:val="001D097E"/>
    <w:rsid w:val="001D7D8D"/>
    <w:rsid w:val="001E04F8"/>
    <w:rsid w:val="001E1516"/>
    <w:rsid w:val="001E15B0"/>
    <w:rsid w:val="001E203A"/>
    <w:rsid w:val="001E26E8"/>
    <w:rsid w:val="001E42A6"/>
    <w:rsid w:val="001E483E"/>
    <w:rsid w:val="001E6FCC"/>
    <w:rsid w:val="001E7445"/>
    <w:rsid w:val="001E7D9C"/>
    <w:rsid w:val="001F297B"/>
    <w:rsid w:val="001F4E3D"/>
    <w:rsid w:val="001F7970"/>
    <w:rsid w:val="0020145F"/>
    <w:rsid w:val="002024E2"/>
    <w:rsid w:val="0020274B"/>
    <w:rsid w:val="00203609"/>
    <w:rsid w:val="00204969"/>
    <w:rsid w:val="00204D9D"/>
    <w:rsid w:val="00207E89"/>
    <w:rsid w:val="002106AF"/>
    <w:rsid w:val="002108BA"/>
    <w:rsid w:val="00210DB1"/>
    <w:rsid w:val="0021341A"/>
    <w:rsid w:val="0021377C"/>
    <w:rsid w:val="00217AD5"/>
    <w:rsid w:val="00217D2A"/>
    <w:rsid w:val="00220B63"/>
    <w:rsid w:val="002216F6"/>
    <w:rsid w:val="002218BC"/>
    <w:rsid w:val="002219B5"/>
    <w:rsid w:val="0022226D"/>
    <w:rsid w:val="0022416D"/>
    <w:rsid w:val="00224BBF"/>
    <w:rsid w:val="0022724A"/>
    <w:rsid w:val="002301AB"/>
    <w:rsid w:val="002308A9"/>
    <w:rsid w:val="00230D29"/>
    <w:rsid w:val="00231BB2"/>
    <w:rsid w:val="00231FA3"/>
    <w:rsid w:val="00232336"/>
    <w:rsid w:val="00234C71"/>
    <w:rsid w:val="00234E76"/>
    <w:rsid w:val="00234F94"/>
    <w:rsid w:val="00235B28"/>
    <w:rsid w:val="002361FB"/>
    <w:rsid w:val="002366E1"/>
    <w:rsid w:val="00236B68"/>
    <w:rsid w:val="00237901"/>
    <w:rsid w:val="00237E71"/>
    <w:rsid w:val="002406D9"/>
    <w:rsid w:val="0024113D"/>
    <w:rsid w:val="002435D7"/>
    <w:rsid w:val="00244369"/>
    <w:rsid w:val="00244C4D"/>
    <w:rsid w:val="00245903"/>
    <w:rsid w:val="00245B33"/>
    <w:rsid w:val="002502D5"/>
    <w:rsid w:val="00250313"/>
    <w:rsid w:val="00251456"/>
    <w:rsid w:val="002516C6"/>
    <w:rsid w:val="002521FF"/>
    <w:rsid w:val="0025222E"/>
    <w:rsid w:val="00252A9B"/>
    <w:rsid w:val="002530D7"/>
    <w:rsid w:val="00254176"/>
    <w:rsid w:val="0025469C"/>
    <w:rsid w:val="00254F79"/>
    <w:rsid w:val="00255530"/>
    <w:rsid w:val="00255C11"/>
    <w:rsid w:val="00255C32"/>
    <w:rsid w:val="0025666D"/>
    <w:rsid w:val="00257944"/>
    <w:rsid w:val="002608F3"/>
    <w:rsid w:val="00260D17"/>
    <w:rsid w:val="00261A6E"/>
    <w:rsid w:val="0026329B"/>
    <w:rsid w:val="00263EBD"/>
    <w:rsid w:val="00265131"/>
    <w:rsid w:val="0026599C"/>
    <w:rsid w:val="00270E9D"/>
    <w:rsid w:val="002731EF"/>
    <w:rsid w:val="00273406"/>
    <w:rsid w:val="00273DCA"/>
    <w:rsid w:val="002743DC"/>
    <w:rsid w:val="0027585A"/>
    <w:rsid w:val="002759A7"/>
    <w:rsid w:val="002775DB"/>
    <w:rsid w:val="002803D6"/>
    <w:rsid w:val="002817E1"/>
    <w:rsid w:val="00281B1D"/>
    <w:rsid w:val="00281E64"/>
    <w:rsid w:val="0028237E"/>
    <w:rsid w:val="0028240F"/>
    <w:rsid w:val="00282C6E"/>
    <w:rsid w:val="00283D6F"/>
    <w:rsid w:val="002857FD"/>
    <w:rsid w:val="00285D03"/>
    <w:rsid w:val="00285F67"/>
    <w:rsid w:val="00291763"/>
    <w:rsid w:val="00291E5B"/>
    <w:rsid w:val="00291FFB"/>
    <w:rsid w:val="0029246D"/>
    <w:rsid w:val="00292B24"/>
    <w:rsid w:val="002930DF"/>
    <w:rsid w:val="00294A8D"/>
    <w:rsid w:val="00296BEB"/>
    <w:rsid w:val="002972D2"/>
    <w:rsid w:val="00297653"/>
    <w:rsid w:val="002978F9"/>
    <w:rsid w:val="002A0B80"/>
    <w:rsid w:val="002A14C5"/>
    <w:rsid w:val="002A375D"/>
    <w:rsid w:val="002A3CB2"/>
    <w:rsid w:val="002A45E8"/>
    <w:rsid w:val="002A496C"/>
    <w:rsid w:val="002A72F6"/>
    <w:rsid w:val="002A764F"/>
    <w:rsid w:val="002B0DF1"/>
    <w:rsid w:val="002B16D0"/>
    <w:rsid w:val="002B29C7"/>
    <w:rsid w:val="002B2BBA"/>
    <w:rsid w:val="002B2F86"/>
    <w:rsid w:val="002B4308"/>
    <w:rsid w:val="002B5EF5"/>
    <w:rsid w:val="002B5FDA"/>
    <w:rsid w:val="002B6581"/>
    <w:rsid w:val="002C0E92"/>
    <w:rsid w:val="002C0EC8"/>
    <w:rsid w:val="002C1F64"/>
    <w:rsid w:val="002C240B"/>
    <w:rsid w:val="002C261D"/>
    <w:rsid w:val="002C3C67"/>
    <w:rsid w:val="002C429F"/>
    <w:rsid w:val="002C5E52"/>
    <w:rsid w:val="002C601A"/>
    <w:rsid w:val="002C69A4"/>
    <w:rsid w:val="002D17D6"/>
    <w:rsid w:val="002D4C10"/>
    <w:rsid w:val="002D5CC3"/>
    <w:rsid w:val="002D660A"/>
    <w:rsid w:val="002D7154"/>
    <w:rsid w:val="002D78A5"/>
    <w:rsid w:val="002E0DC9"/>
    <w:rsid w:val="002E0F29"/>
    <w:rsid w:val="002E2644"/>
    <w:rsid w:val="002E3213"/>
    <w:rsid w:val="002E3647"/>
    <w:rsid w:val="002E3E26"/>
    <w:rsid w:val="002E4494"/>
    <w:rsid w:val="002E58CF"/>
    <w:rsid w:val="002E6FDE"/>
    <w:rsid w:val="002E782B"/>
    <w:rsid w:val="002E7ACF"/>
    <w:rsid w:val="002F0CDA"/>
    <w:rsid w:val="002F1660"/>
    <w:rsid w:val="002F1B2A"/>
    <w:rsid w:val="002F1B4B"/>
    <w:rsid w:val="002F1C7B"/>
    <w:rsid w:val="002F3682"/>
    <w:rsid w:val="002F3ADD"/>
    <w:rsid w:val="002F3CE6"/>
    <w:rsid w:val="002F4629"/>
    <w:rsid w:val="002F57B6"/>
    <w:rsid w:val="002F6282"/>
    <w:rsid w:val="002F63F8"/>
    <w:rsid w:val="002F6613"/>
    <w:rsid w:val="002F7404"/>
    <w:rsid w:val="002F7417"/>
    <w:rsid w:val="003028B3"/>
    <w:rsid w:val="00303DA5"/>
    <w:rsid w:val="00304B4E"/>
    <w:rsid w:val="003058BA"/>
    <w:rsid w:val="00306B1D"/>
    <w:rsid w:val="00306EFA"/>
    <w:rsid w:val="003071CD"/>
    <w:rsid w:val="00307A87"/>
    <w:rsid w:val="0031179D"/>
    <w:rsid w:val="00311E77"/>
    <w:rsid w:val="00313A4E"/>
    <w:rsid w:val="00314985"/>
    <w:rsid w:val="003167AC"/>
    <w:rsid w:val="00316CBD"/>
    <w:rsid w:val="00316E8F"/>
    <w:rsid w:val="00317448"/>
    <w:rsid w:val="003175DC"/>
    <w:rsid w:val="003218DD"/>
    <w:rsid w:val="00321912"/>
    <w:rsid w:val="00321AA2"/>
    <w:rsid w:val="00322C58"/>
    <w:rsid w:val="00323C75"/>
    <w:rsid w:val="003240BB"/>
    <w:rsid w:val="00326225"/>
    <w:rsid w:val="00327700"/>
    <w:rsid w:val="0033052C"/>
    <w:rsid w:val="0033144B"/>
    <w:rsid w:val="003316E9"/>
    <w:rsid w:val="00331CF3"/>
    <w:rsid w:val="00332197"/>
    <w:rsid w:val="00332C5D"/>
    <w:rsid w:val="00334DE4"/>
    <w:rsid w:val="0033537B"/>
    <w:rsid w:val="00336F2C"/>
    <w:rsid w:val="003376CD"/>
    <w:rsid w:val="00337BD8"/>
    <w:rsid w:val="00340262"/>
    <w:rsid w:val="00340B8A"/>
    <w:rsid w:val="003411C1"/>
    <w:rsid w:val="00341282"/>
    <w:rsid w:val="003412DA"/>
    <w:rsid w:val="003414E7"/>
    <w:rsid w:val="00346350"/>
    <w:rsid w:val="00346E54"/>
    <w:rsid w:val="0034740B"/>
    <w:rsid w:val="003477B7"/>
    <w:rsid w:val="003479C3"/>
    <w:rsid w:val="00350673"/>
    <w:rsid w:val="003509E7"/>
    <w:rsid w:val="003531E6"/>
    <w:rsid w:val="00353F0A"/>
    <w:rsid w:val="00354195"/>
    <w:rsid w:val="00354414"/>
    <w:rsid w:val="00354FA1"/>
    <w:rsid w:val="0035542E"/>
    <w:rsid w:val="00360100"/>
    <w:rsid w:val="00361E70"/>
    <w:rsid w:val="00362202"/>
    <w:rsid w:val="00363E78"/>
    <w:rsid w:val="00364347"/>
    <w:rsid w:val="003643F8"/>
    <w:rsid w:val="00365998"/>
    <w:rsid w:val="0036641E"/>
    <w:rsid w:val="00370D64"/>
    <w:rsid w:val="003711BF"/>
    <w:rsid w:val="00371414"/>
    <w:rsid w:val="00372F3C"/>
    <w:rsid w:val="00373A3D"/>
    <w:rsid w:val="00374F21"/>
    <w:rsid w:val="00376778"/>
    <w:rsid w:val="003802E7"/>
    <w:rsid w:val="003812D0"/>
    <w:rsid w:val="0038144F"/>
    <w:rsid w:val="00381A81"/>
    <w:rsid w:val="00382C86"/>
    <w:rsid w:val="003836A8"/>
    <w:rsid w:val="00384A65"/>
    <w:rsid w:val="00385105"/>
    <w:rsid w:val="00386023"/>
    <w:rsid w:val="00387C82"/>
    <w:rsid w:val="0039196F"/>
    <w:rsid w:val="00391D3A"/>
    <w:rsid w:val="003926DD"/>
    <w:rsid w:val="00392D01"/>
    <w:rsid w:val="00393B78"/>
    <w:rsid w:val="0039421C"/>
    <w:rsid w:val="00394236"/>
    <w:rsid w:val="00395B3E"/>
    <w:rsid w:val="00396933"/>
    <w:rsid w:val="00396E51"/>
    <w:rsid w:val="0039711B"/>
    <w:rsid w:val="0039736B"/>
    <w:rsid w:val="00397F57"/>
    <w:rsid w:val="003A0447"/>
    <w:rsid w:val="003A0B8A"/>
    <w:rsid w:val="003A2900"/>
    <w:rsid w:val="003A390C"/>
    <w:rsid w:val="003A3D8A"/>
    <w:rsid w:val="003A4B97"/>
    <w:rsid w:val="003A4BCC"/>
    <w:rsid w:val="003A4C56"/>
    <w:rsid w:val="003A679B"/>
    <w:rsid w:val="003B0615"/>
    <w:rsid w:val="003B0B22"/>
    <w:rsid w:val="003B2A9D"/>
    <w:rsid w:val="003B2BFB"/>
    <w:rsid w:val="003B3369"/>
    <w:rsid w:val="003B4D22"/>
    <w:rsid w:val="003B62E2"/>
    <w:rsid w:val="003C1A72"/>
    <w:rsid w:val="003C1F24"/>
    <w:rsid w:val="003C2173"/>
    <w:rsid w:val="003C3E65"/>
    <w:rsid w:val="003C4023"/>
    <w:rsid w:val="003C4CAF"/>
    <w:rsid w:val="003D112A"/>
    <w:rsid w:val="003D1D39"/>
    <w:rsid w:val="003D3C51"/>
    <w:rsid w:val="003D4159"/>
    <w:rsid w:val="003D52B8"/>
    <w:rsid w:val="003D5D19"/>
    <w:rsid w:val="003E18DF"/>
    <w:rsid w:val="003E282E"/>
    <w:rsid w:val="003E2CCE"/>
    <w:rsid w:val="003E3039"/>
    <w:rsid w:val="003E3E2D"/>
    <w:rsid w:val="003E4ACB"/>
    <w:rsid w:val="003E5CFB"/>
    <w:rsid w:val="003E62D6"/>
    <w:rsid w:val="003F007D"/>
    <w:rsid w:val="003F0456"/>
    <w:rsid w:val="003F0EE9"/>
    <w:rsid w:val="003F14BE"/>
    <w:rsid w:val="003F24A9"/>
    <w:rsid w:val="003F2FE7"/>
    <w:rsid w:val="003F469F"/>
    <w:rsid w:val="003F4CDB"/>
    <w:rsid w:val="003F5061"/>
    <w:rsid w:val="004005A4"/>
    <w:rsid w:val="00401A65"/>
    <w:rsid w:val="0040211C"/>
    <w:rsid w:val="00403355"/>
    <w:rsid w:val="00404E89"/>
    <w:rsid w:val="0040653A"/>
    <w:rsid w:val="00407A82"/>
    <w:rsid w:val="0041138E"/>
    <w:rsid w:val="00411404"/>
    <w:rsid w:val="00411A4C"/>
    <w:rsid w:val="00412532"/>
    <w:rsid w:val="00412C1A"/>
    <w:rsid w:val="004134F4"/>
    <w:rsid w:val="00413EE3"/>
    <w:rsid w:val="00413F0F"/>
    <w:rsid w:val="00421F60"/>
    <w:rsid w:val="00422961"/>
    <w:rsid w:val="0042476E"/>
    <w:rsid w:val="00424E74"/>
    <w:rsid w:val="00426A6A"/>
    <w:rsid w:val="00427110"/>
    <w:rsid w:val="0042719D"/>
    <w:rsid w:val="0042797E"/>
    <w:rsid w:val="0043016A"/>
    <w:rsid w:val="004306FA"/>
    <w:rsid w:val="004330C8"/>
    <w:rsid w:val="004335C3"/>
    <w:rsid w:val="004406C3"/>
    <w:rsid w:val="00440FEB"/>
    <w:rsid w:val="00442163"/>
    <w:rsid w:val="00442565"/>
    <w:rsid w:val="00442A7A"/>
    <w:rsid w:val="00442BF6"/>
    <w:rsid w:val="00442D2A"/>
    <w:rsid w:val="00443A15"/>
    <w:rsid w:val="00445A11"/>
    <w:rsid w:val="00446C08"/>
    <w:rsid w:val="004476DE"/>
    <w:rsid w:val="00447A7B"/>
    <w:rsid w:val="00447E7F"/>
    <w:rsid w:val="00447F8B"/>
    <w:rsid w:val="00450276"/>
    <w:rsid w:val="004506CC"/>
    <w:rsid w:val="0045095D"/>
    <w:rsid w:val="0045097E"/>
    <w:rsid w:val="00450F1A"/>
    <w:rsid w:val="004513EB"/>
    <w:rsid w:val="00451755"/>
    <w:rsid w:val="00451F5B"/>
    <w:rsid w:val="00452720"/>
    <w:rsid w:val="004531BD"/>
    <w:rsid w:val="004534D1"/>
    <w:rsid w:val="00453708"/>
    <w:rsid w:val="00453738"/>
    <w:rsid w:val="00454F4B"/>
    <w:rsid w:val="00455043"/>
    <w:rsid w:val="0045550A"/>
    <w:rsid w:val="00455D78"/>
    <w:rsid w:val="0045641F"/>
    <w:rsid w:val="004564C6"/>
    <w:rsid w:val="00456741"/>
    <w:rsid w:val="004567EF"/>
    <w:rsid w:val="00457E1D"/>
    <w:rsid w:val="00460436"/>
    <w:rsid w:val="00460DE2"/>
    <w:rsid w:val="00460E43"/>
    <w:rsid w:val="00463560"/>
    <w:rsid w:val="00466612"/>
    <w:rsid w:val="00466861"/>
    <w:rsid w:val="00467365"/>
    <w:rsid w:val="00467AB1"/>
    <w:rsid w:val="004709B0"/>
    <w:rsid w:val="004759DB"/>
    <w:rsid w:val="004778D8"/>
    <w:rsid w:val="0048128D"/>
    <w:rsid w:val="0048403A"/>
    <w:rsid w:val="004846E4"/>
    <w:rsid w:val="00484D87"/>
    <w:rsid w:val="00485093"/>
    <w:rsid w:val="004903C9"/>
    <w:rsid w:val="004907DA"/>
    <w:rsid w:val="00490AFD"/>
    <w:rsid w:val="0049134B"/>
    <w:rsid w:val="0049180E"/>
    <w:rsid w:val="0049182B"/>
    <w:rsid w:val="00491B4B"/>
    <w:rsid w:val="00491F40"/>
    <w:rsid w:val="00493CF1"/>
    <w:rsid w:val="004940F1"/>
    <w:rsid w:val="00494933"/>
    <w:rsid w:val="00495F77"/>
    <w:rsid w:val="004965CE"/>
    <w:rsid w:val="00496E13"/>
    <w:rsid w:val="004A0649"/>
    <w:rsid w:val="004A0947"/>
    <w:rsid w:val="004A0ABB"/>
    <w:rsid w:val="004A4BD1"/>
    <w:rsid w:val="004A66D6"/>
    <w:rsid w:val="004A707E"/>
    <w:rsid w:val="004B047B"/>
    <w:rsid w:val="004B2BFB"/>
    <w:rsid w:val="004B2DF4"/>
    <w:rsid w:val="004B3923"/>
    <w:rsid w:val="004B3B5E"/>
    <w:rsid w:val="004B3D9F"/>
    <w:rsid w:val="004B5284"/>
    <w:rsid w:val="004B5394"/>
    <w:rsid w:val="004B6D7A"/>
    <w:rsid w:val="004B76BB"/>
    <w:rsid w:val="004B782C"/>
    <w:rsid w:val="004B7D92"/>
    <w:rsid w:val="004C1749"/>
    <w:rsid w:val="004C17A1"/>
    <w:rsid w:val="004C20AB"/>
    <w:rsid w:val="004C3365"/>
    <w:rsid w:val="004C587A"/>
    <w:rsid w:val="004C6B76"/>
    <w:rsid w:val="004C7928"/>
    <w:rsid w:val="004D0515"/>
    <w:rsid w:val="004D099A"/>
    <w:rsid w:val="004D1BCA"/>
    <w:rsid w:val="004D1C9D"/>
    <w:rsid w:val="004D1DA4"/>
    <w:rsid w:val="004D3A04"/>
    <w:rsid w:val="004E1574"/>
    <w:rsid w:val="004E2AB3"/>
    <w:rsid w:val="004E2C09"/>
    <w:rsid w:val="004E3393"/>
    <w:rsid w:val="004E3F0B"/>
    <w:rsid w:val="004E4723"/>
    <w:rsid w:val="004E4A45"/>
    <w:rsid w:val="004E4B6F"/>
    <w:rsid w:val="004E5EC0"/>
    <w:rsid w:val="004E7265"/>
    <w:rsid w:val="004F1136"/>
    <w:rsid w:val="004F1527"/>
    <w:rsid w:val="004F2735"/>
    <w:rsid w:val="004F307A"/>
    <w:rsid w:val="004F330B"/>
    <w:rsid w:val="004F3ADA"/>
    <w:rsid w:val="004F4F4F"/>
    <w:rsid w:val="004F55C9"/>
    <w:rsid w:val="004F67A9"/>
    <w:rsid w:val="004F73C7"/>
    <w:rsid w:val="00502627"/>
    <w:rsid w:val="00502B32"/>
    <w:rsid w:val="00504F45"/>
    <w:rsid w:val="00507645"/>
    <w:rsid w:val="00507B5A"/>
    <w:rsid w:val="005117CA"/>
    <w:rsid w:val="005125AE"/>
    <w:rsid w:val="005127D3"/>
    <w:rsid w:val="00515DB3"/>
    <w:rsid w:val="00515E9D"/>
    <w:rsid w:val="00516EDD"/>
    <w:rsid w:val="005200CA"/>
    <w:rsid w:val="0052077C"/>
    <w:rsid w:val="00521F1D"/>
    <w:rsid w:val="005232D6"/>
    <w:rsid w:val="005233AB"/>
    <w:rsid w:val="0052479C"/>
    <w:rsid w:val="00525C1B"/>
    <w:rsid w:val="005261C1"/>
    <w:rsid w:val="00530B69"/>
    <w:rsid w:val="00530EFD"/>
    <w:rsid w:val="00532A06"/>
    <w:rsid w:val="005356B5"/>
    <w:rsid w:val="00536317"/>
    <w:rsid w:val="00536754"/>
    <w:rsid w:val="00536AD4"/>
    <w:rsid w:val="00536B00"/>
    <w:rsid w:val="00536ED9"/>
    <w:rsid w:val="005378C5"/>
    <w:rsid w:val="00537FF8"/>
    <w:rsid w:val="00540D2B"/>
    <w:rsid w:val="00541D29"/>
    <w:rsid w:val="005425D7"/>
    <w:rsid w:val="00542F5A"/>
    <w:rsid w:val="00544623"/>
    <w:rsid w:val="0054689C"/>
    <w:rsid w:val="005469DE"/>
    <w:rsid w:val="005475F2"/>
    <w:rsid w:val="0055033B"/>
    <w:rsid w:val="005505E0"/>
    <w:rsid w:val="005505E5"/>
    <w:rsid w:val="005508D0"/>
    <w:rsid w:val="00550C7C"/>
    <w:rsid w:val="00551864"/>
    <w:rsid w:val="00551B4D"/>
    <w:rsid w:val="00551CFE"/>
    <w:rsid w:val="00554121"/>
    <w:rsid w:val="005554F5"/>
    <w:rsid w:val="0055555A"/>
    <w:rsid w:val="005563D4"/>
    <w:rsid w:val="00556560"/>
    <w:rsid w:val="0055673A"/>
    <w:rsid w:val="00556EAD"/>
    <w:rsid w:val="00557239"/>
    <w:rsid w:val="005573A8"/>
    <w:rsid w:val="00562791"/>
    <w:rsid w:val="00562B39"/>
    <w:rsid w:val="0056320C"/>
    <w:rsid w:val="00564781"/>
    <w:rsid w:val="005650CD"/>
    <w:rsid w:val="005662B5"/>
    <w:rsid w:val="00567138"/>
    <w:rsid w:val="00570005"/>
    <w:rsid w:val="00570346"/>
    <w:rsid w:val="00571BD4"/>
    <w:rsid w:val="00572F03"/>
    <w:rsid w:val="005734C4"/>
    <w:rsid w:val="0057468C"/>
    <w:rsid w:val="00575923"/>
    <w:rsid w:val="00576484"/>
    <w:rsid w:val="00576E9B"/>
    <w:rsid w:val="0057783F"/>
    <w:rsid w:val="005779B7"/>
    <w:rsid w:val="00577C8E"/>
    <w:rsid w:val="005807C6"/>
    <w:rsid w:val="00580F92"/>
    <w:rsid w:val="005828F0"/>
    <w:rsid w:val="0058330E"/>
    <w:rsid w:val="00583BEE"/>
    <w:rsid w:val="00584B8E"/>
    <w:rsid w:val="00587C5A"/>
    <w:rsid w:val="00587D0C"/>
    <w:rsid w:val="00590141"/>
    <w:rsid w:val="00590322"/>
    <w:rsid w:val="005917C1"/>
    <w:rsid w:val="00591A62"/>
    <w:rsid w:val="005933D9"/>
    <w:rsid w:val="00594B4A"/>
    <w:rsid w:val="005954B1"/>
    <w:rsid w:val="00595D8A"/>
    <w:rsid w:val="005979DD"/>
    <w:rsid w:val="005A0EC4"/>
    <w:rsid w:val="005A5095"/>
    <w:rsid w:val="005A5F06"/>
    <w:rsid w:val="005A693F"/>
    <w:rsid w:val="005A6F5B"/>
    <w:rsid w:val="005B08A9"/>
    <w:rsid w:val="005B1168"/>
    <w:rsid w:val="005B1ACA"/>
    <w:rsid w:val="005B2ED9"/>
    <w:rsid w:val="005B40E5"/>
    <w:rsid w:val="005B67F4"/>
    <w:rsid w:val="005B7A7E"/>
    <w:rsid w:val="005C021F"/>
    <w:rsid w:val="005C0423"/>
    <w:rsid w:val="005C0A6E"/>
    <w:rsid w:val="005C0D2D"/>
    <w:rsid w:val="005C2215"/>
    <w:rsid w:val="005C22CA"/>
    <w:rsid w:val="005C2F47"/>
    <w:rsid w:val="005C31E9"/>
    <w:rsid w:val="005C493F"/>
    <w:rsid w:val="005C532B"/>
    <w:rsid w:val="005C6411"/>
    <w:rsid w:val="005C6CD5"/>
    <w:rsid w:val="005C6F0D"/>
    <w:rsid w:val="005C70FC"/>
    <w:rsid w:val="005C771E"/>
    <w:rsid w:val="005D022C"/>
    <w:rsid w:val="005D06C9"/>
    <w:rsid w:val="005D1E0A"/>
    <w:rsid w:val="005D1E7F"/>
    <w:rsid w:val="005D3CEF"/>
    <w:rsid w:val="005D3F1A"/>
    <w:rsid w:val="005D3FB8"/>
    <w:rsid w:val="005D43B8"/>
    <w:rsid w:val="005D5553"/>
    <w:rsid w:val="005D6316"/>
    <w:rsid w:val="005D6F41"/>
    <w:rsid w:val="005E19C2"/>
    <w:rsid w:val="005E1BD2"/>
    <w:rsid w:val="005E306A"/>
    <w:rsid w:val="005E3622"/>
    <w:rsid w:val="005E56AE"/>
    <w:rsid w:val="005E67EF"/>
    <w:rsid w:val="005E747C"/>
    <w:rsid w:val="005E797B"/>
    <w:rsid w:val="005E7A94"/>
    <w:rsid w:val="005F07E9"/>
    <w:rsid w:val="005F1D7F"/>
    <w:rsid w:val="005F344C"/>
    <w:rsid w:val="005F5744"/>
    <w:rsid w:val="005F5E70"/>
    <w:rsid w:val="00600AF9"/>
    <w:rsid w:val="00600E5F"/>
    <w:rsid w:val="00600E90"/>
    <w:rsid w:val="00602441"/>
    <w:rsid w:val="00603BFF"/>
    <w:rsid w:val="006055F4"/>
    <w:rsid w:val="00605F4E"/>
    <w:rsid w:val="006068F7"/>
    <w:rsid w:val="00610140"/>
    <w:rsid w:val="0061080D"/>
    <w:rsid w:val="00610894"/>
    <w:rsid w:val="00611626"/>
    <w:rsid w:val="00611F45"/>
    <w:rsid w:val="0061200D"/>
    <w:rsid w:val="00612E76"/>
    <w:rsid w:val="006130EE"/>
    <w:rsid w:val="00613599"/>
    <w:rsid w:val="006148A4"/>
    <w:rsid w:val="00615B70"/>
    <w:rsid w:val="006167DB"/>
    <w:rsid w:val="00617DFF"/>
    <w:rsid w:val="00617E5C"/>
    <w:rsid w:val="00620094"/>
    <w:rsid w:val="00620252"/>
    <w:rsid w:val="00621173"/>
    <w:rsid w:val="0062162D"/>
    <w:rsid w:val="00622313"/>
    <w:rsid w:val="00622D23"/>
    <w:rsid w:val="00623672"/>
    <w:rsid w:val="0062444A"/>
    <w:rsid w:val="00624AEF"/>
    <w:rsid w:val="0062659E"/>
    <w:rsid w:val="00626DAC"/>
    <w:rsid w:val="0062704B"/>
    <w:rsid w:val="00627C19"/>
    <w:rsid w:val="00627DE7"/>
    <w:rsid w:val="006314B9"/>
    <w:rsid w:val="00631555"/>
    <w:rsid w:val="00632532"/>
    <w:rsid w:val="00632A78"/>
    <w:rsid w:val="00632E2D"/>
    <w:rsid w:val="00632F4E"/>
    <w:rsid w:val="006331A2"/>
    <w:rsid w:val="006342D9"/>
    <w:rsid w:val="00634658"/>
    <w:rsid w:val="00634787"/>
    <w:rsid w:val="00635C43"/>
    <w:rsid w:val="00635EAA"/>
    <w:rsid w:val="006364F6"/>
    <w:rsid w:val="00640C9C"/>
    <w:rsid w:val="00640DD5"/>
    <w:rsid w:val="00641A51"/>
    <w:rsid w:val="00643797"/>
    <w:rsid w:val="006439EA"/>
    <w:rsid w:val="00643FBF"/>
    <w:rsid w:val="006449AC"/>
    <w:rsid w:val="006451FA"/>
    <w:rsid w:val="0064538F"/>
    <w:rsid w:val="00650430"/>
    <w:rsid w:val="00650582"/>
    <w:rsid w:val="00651AC2"/>
    <w:rsid w:val="006528B7"/>
    <w:rsid w:val="00654A68"/>
    <w:rsid w:val="00654B02"/>
    <w:rsid w:val="006553D1"/>
    <w:rsid w:val="006575D2"/>
    <w:rsid w:val="00657642"/>
    <w:rsid w:val="00660739"/>
    <w:rsid w:val="00660A13"/>
    <w:rsid w:val="00660C7A"/>
    <w:rsid w:val="00660C8A"/>
    <w:rsid w:val="006619DC"/>
    <w:rsid w:val="00661AA7"/>
    <w:rsid w:val="00662828"/>
    <w:rsid w:val="00662F16"/>
    <w:rsid w:val="006630E1"/>
    <w:rsid w:val="006635EE"/>
    <w:rsid w:val="006646E8"/>
    <w:rsid w:val="006663D0"/>
    <w:rsid w:val="00670FB1"/>
    <w:rsid w:val="0067215A"/>
    <w:rsid w:val="00673A89"/>
    <w:rsid w:val="00674475"/>
    <w:rsid w:val="0067456E"/>
    <w:rsid w:val="006748EE"/>
    <w:rsid w:val="00675122"/>
    <w:rsid w:val="00675F26"/>
    <w:rsid w:val="006816F7"/>
    <w:rsid w:val="00682ADE"/>
    <w:rsid w:val="00682B7E"/>
    <w:rsid w:val="00685277"/>
    <w:rsid w:val="006859BA"/>
    <w:rsid w:val="006908FA"/>
    <w:rsid w:val="00690C93"/>
    <w:rsid w:val="0069122E"/>
    <w:rsid w:val="0069186C"/>
    <w:rsid w:val="00691D14"/>
    <w:rsid w:val="00691FBD"/>
    <w:rsid w:val="00694585"/>
    <w:rsid w:val="00694624"/>
    <w:rsid w:val="00695441"/>
    <w:rsid w:val="00695980"/>
    <w:rsid w:val="00696388"/>
    <w:rsid w:val="006970E9"/>
    <w:rsid w:val="00697A66"/>
    <w:rsid w:val="006A01A0"/>
    <w:rsid w:val="006A05B4"/>
    <w:rsid w:val="006A0819"/>
    <w:rsid w:val="006A114D"/>
    <w:rsid w:val="006A3F6C"/>
    <w:rsid w:val="006A5321"/>
    <w:rsid w:val="006A62EE"/>
    <w:rsid w:val="006A656A"/>
    <w:rsid w:val="006A687C"/>
    <w:rsid w:val="006A6BFF"/>
    <w:rsid w:val="006B166E"/>
    <w:rsid w:val="006B19C3"/>
    <w:rsid w:val="006B1EB1"/>
    <w:rsid w:val="006B25BB"/>
    <w:rsid w:val="006B361C"/>
    <w:rsid w:val="006B394A"/>
    <w:rsid w:val="006B3D25"/>
    <w:rsid w:val="006B44DA"/>
    <w:rsid w:val="006B48FA"/>
    <w:rsid w:val="006B792C"/>
    <w:rsid w:val="006C08FA"/>
    <w:rsid w:val="006C1321"/>
    <w:rsid w:val="006C28D8"/>
    <w:rsid w:val="006C2AC0"/>
    <w:rsid w:val="006C2DAB"/>
    <w:rsid w:val="006C534C"/>
    <w:rsid w:val="006C5DCC"/>
    <w:rsid w:val="006C6752"/>
    <w:rsid w:val="006C7116"/>
    <w:rsid w:val="006C7B04"/>
    <w:rsid w:val="006C7BEF"/>
    <w:rsid w:val="006D2660"/>
    <w:rsid w:val="006D2D96"/>
    <w:rsid w:val="006D3877"/>
    <w:rsid w:val="006D3964"/>
    <w:rsid w:val="006D451B"/>
    <w:rsid w:val="006D4E8F"/>
    <w:rsid w:val="006D518C"/>
    <w:rsid w:val="006D579F"/>
    <w:rsid w:val="006D705D"/>
    <w:rsid w:val="006E0830"/>
    <w:rsid w:val="006E4B4F"/>
    <w:rsid w:val="006E5760"/>
    <w:rsid w:val="006E608A"/>
    <w:rsid w:val="006E621A"/>
    <w:rsid w:val="006E69A7"/>
    <w:rsid w:val="006E6EAA"/>
    <w:rsid w:val="006F060A"/>
    <w:rsid w:val="006F0678"/>
    <w:rsid w:val="006F154C"/>
    <w:rsid w:val="006F1876"/>
    <w:rsid w:val="006F1B14"/>
    <w:rsid w:val="006F370F"/>
    <w:rsid w:val="006F3E36"/>
    <w:rsid w:val="006F49C7"/>
    <w:rsid w:val="006F4DB7"/>
    <w:rsid w:val="006F58B0"/>
    <w:rsid w:val="006F6733"/>
    <w:rsid w:val="006F67DF"/>
    <w:rsid w:val="006F7760"/>
    <w:rsid w:val="006F7E2D"/>
    <w:rsid w:val="006F7FB2"/>
    <w:rsid w:val="00700166"/>
    <w:rsid w:val="0070151C"/>
    <w:rsid w:val="00701D95"/>
    <w:rsid w:val="007030F0"/>
    <w:rsid w:val="00703D80"/>
    <w:rsid w:val="00703FBD"/>
    <w:rsid w:val="007062B8"/>
    <w:rsid w:val="0070780D"/>
    <w:rsid w:val="00707B5E"/>
    <w:rsid w:val="007102D3"/>
    <w:rsid w:val="007110AF"/>
    <w:rsid w:val="00714B74"/>
    <w:rsid w:val="00720495"/>
    <w:rsid w:val="00720E64"/>
    <w:rsid w:val="00720F25"/>
    <w:rsid w:val="00722380"/>
    <w:rsid w:val="00723B51"/>
    <w:rsid w:val="00724C08"/>
    <w:rsid w:val="0072697B"/>
    <w:rsid w:val="00730BC7"/>
    <w:rsid w:val="00730C3D"/>
    <w:rsid w:val="007329E1"/>
    <w:rsid w:val="0073598E"/>
    <w:rsid w:val="00735CBB"/>
    <w:rsid w:val="007361CC"/>
    <w:rsid w:val="00737D58"/>
    <w:rsid w:val="00740863"/>
    <w:rsid w:val="007410C6"/>
    <w:rsid w:val="0074137C"/>
    <w:rsid w:val="00741DA8"/>
    <w:rsid w:val="00742ADB"/>
    <w:rsid w:val="00742E84"/>
    <w:rsid w:val="00743651"/>
    <w:rsid w:val="00743683"/>
    <w:rsid w:val="00743A12"/>
    <w:rsid w:val="00746558"/>
    <w:rsid w:val="007477D7"/>
    <w:rsid w:val="00753854"/>
    <w:rsid w:val="0075479C"/>
    <w:rsid w:val="00754C29"/>
    <w:rsid w:val="007550F3"/>
    <w:rsid w:val="00755B70"/>
    <w:rsid w:val="00756248"/>
    <w:rsid w:val="00756A49"/>
    <w:rsid w:val="00757148"/>
    <w:rsid w:val="007602B9"/>
    <w:rsid w:val="007618D6"/>
    <w:rsid w:val="00761D36"/>
    <w:rsid w:val="0076272C"/>
    <w:rsid w:val="00762921"/>
    <w:rsid w:val="007635CE"/>
    <w:rsid w:val="00764284"/>
    <w:rsid w:val="00764632"/>
    <w:rsid w:val="0076678E"/>
    <w:rsid w:val="0076714B"/>
    <w:rsid w:val="0076717F"/>
    <w:rsid w:val="007679B8"/>
    <w:rsid w:val="0077027E"/>
    <w:rsid w:val="00770759"/>
    <w:rsid w:val="00771CA2"/>
    <w:rsid w:val="00772342"/>
    <w:rsid w:val="00772987"/>
    <w:rsid w:val="007736DF"/>
    <w:rsid w:val="00773AC4"/>
    <w:rsid w:val="00773B5B"/>
    <w:rsid w:val="00773E0E"/>
    <w:rsid w:val="007740D3"/>
    <w:rsid w:val="0077416E"/>
    <w:rsid w:val="00774E67"/>
    <w:rsid w:val="007765F6"/>
    <w:rsid w:val="007768C7"/>
    <w:rsid w:val="00776A56"/>
    <w:rsid w:val="00777D25"/>
    <w:rsid w:val="007807DE"/>
    <w:rsid w:val="00781FE2"/>
    <w:rsid w:val="00782F5F"/>
    <w:rsid w:val="00783BA9"/>
    <w:rsid w:val="0078488C"/>
    <w:rsid w:val="007870C8"/>
    <w:rsid w:val="007875DE"/>
    <w:rsid w:val="0079151F"/>
    <w:rsid w:val="00791F5C"/>
    <w:rsid w:val="007929C4"/>
    <w:rsid w:val="007929DB"/>
    <w:rsid w:val="00792E5D"/>
    <w:rsid w:val="007939CA"/>
    <w:rsid w:val="00795053"/>
    <w:rsid w:val="00795569"/>
    <w:rsid w:val="00795ECE"/>
    <w:rsid w:val="0079609A"/>
    <w:rsid w:val="007962F0"/>
    <w:rsid w:val="00796EC8"/>
    <w:rsid w:val="007A0574"/>
    <w:rsid w:val="007A05AD"/>
    <w:rsid w:val="007A0E93"/>
    <w:rsid w:val="007A46C7"/>
    <w:rsid w:val="007A4896"/>
    <w:rsid w:val="007A4A4B"/>
    <w:rsid w:val="007A5255"/>
    <w:rsid w:val="007A6F60"/>
    <w:rsid w:val="007A770A"/>
    <w:rsid w:val="007A7FCF"/>
    <w:rsid w:val="007B08DC"/>
    <w:rsid w:val="007B0B25"/>
    <w:rsid w:val="007B0C0E"/>
    <w:rsid w:val="007B0FB5"/>
    <w:rsid w:val="007B132C"/>
    <w:rsid w:val="007B143F"/>
    <w:rsid w:val="007B178B"/>
    <w:rsid w:val="007B3A9E"/>
    <w:rsid w:val="007B4191"/>
    <w:rsid w:val="007B5780"/>
    <w:rsid w:val="007B5CA1"/>
    <w:rsid w:val="007B69AE"/>
    <w:rsid w:val="007B70CF"/>
    <w:rsid w:val="007B7D73"/>
    <w:rsid w:val="007C1E79"/>
    <w:rsid w:val="007C25F4"/>
    <w:rsid w:val="007C29E7"/>
    <w:rsid w:val="007C4944"/>
    <w:rsid w:val="007C54CB"/>
    <w:rsid w:val="007C5517"/>
    <w:rsid w:val="007C659E"/>
    <w:rsid w:val="007D3E70"/>
    <w:rsid w:val="007D42CD"/>
    <w:rsid w:val="007D4FF9"/>
    <w:rsid w:val="007E1BB9"/>
    <w:rsid w:val="007E21C0"/>
    <w:rsid w:val="007E321E"/>
    <w:rsid w:val="007E3ED3"/>
    <w:rsid w:val="007E45F6"/>
    <w:rsid w:val="007E4E9D"/>
    <w:rsid w:val="007E4EA0"/>
    <w:rsid w:val="007E5B14"/>
    <w:rsid w:val="007E7320"/>
    <w:rsid w:val="007E76B7"/>
    <w:rsid w:val="007F0376"/>
    <w:rsid w:val="007F04AE"/>
    <w:rsid w:val="007F1968"/>
    <w:rsid w:val="007F34A5"/>
    <w:rsid w:val="007F3F41"/>
    <w:rsid w:val="007F58C3"/>
    <w:rsid w:val="007F590E"/>
    <w:rsid w:val="007F5A38"/>
    <w:rsid w:val="007F5D12"/>
    <w:rsid w:val="007F67C3"/>
    <w:rsid w:val="0080028D"/>
    <w:rsid w:val="0080052B"/>
    <w:rsid w:val="00802507"/>
    <w:rsid w:val="008048AD"/>
    <w:rsid w:val="00805C12"/>
    <w:rsid w:val="0080666E"/>
    <w:rsid w:val="00811606"/>
    <w:rsid w:val="00811FA7"/>
    <w:rsid w:val="008129B2"/>
    <w:rsid w:val="00813396"/>
    <w:rsid w:val="008143E8"/>
    <w:rsid w:val="00814BB2"/>
    <w:rsid w:val="00814E45"/>
    <w:rsid w:val="008155BA"/>
    <w:rsid w:val="008162B7"/>
    <w:rsid w:val="00816313"/>
    <w:rsid w:val="00816C0F"/>
    <w:rsid w:val="0081792D"/>
    <w:rsid w:val="00817CD9"/>
    <w:rsid w:val="00821578"/>
    <w:rsid w:val="00822038"/>
    <w:rsid w:val="00822897"/>
    <w:rsid w:val="00822A02"/>
    <w:rsid w:val="00823A4E"/>
    <w:rsid w:val="00823E2B"/>
    <w:rsid w:val="00826AE7"/>
    <w:rsid w:val="00826F0B"/>
    <w:rsid w:val="00830D32"/>
    <w:rsid w:val="00831041"/>
    <w:rsid w:val="0083191F"/>
    <w:rsid w:val="00831E7B"/>
    <w:rsid w:val="008339F4"/>
    <w:rsid w:val="00833A07"/>
    <w:rsid w:val="00835434"/>
    <w:rsid w:val="00835D2E"/>
    <w:rsid w:val="00835D9E"/>
    <w:rsid w:val="00836176"/>
    <w:rsid w:val="00836E7F"/>
    <w:rsid w:val="00837DF2"/>
    <w:rsid w:val="00842094"/>
    <w:rsid w:val="00842A68"/>
    <w:rsid w:val="00844523"/>
    <w:rsid w:val="0084463F"/>
    <w:rsid w:val="00844A75"/>
    <w:rsid w:val="0084528D"/>
    <w:rsid w:val="00845B35"/>
    <w:rsid w:val="00850A64"/>
    <w:rsid w:val="00855A46"/>
    <w:rsid w:val="00855C4E"/>
    <w:rsid w:val="008564EA"/>
    <w:rsid w:val="00857079"/>
    <w:rsid w:val="00860631"/>
    <w:rsid w:val="00860777"/>
    <w:rsid w:val="00860D54"/>
    <w:rsid w:val="00860EAF"/>
    <w:rsid w:val="008636F9"/>
    <w:rsid w:val="0086476C"/>
    <w:rsid w:val="00865CE8"/>
    <w:rsid w:val="008664EB"/>
    <w:rsid w:val="00867D68"/>
    <w:rsid w:val="00870469"/>
    <w:rsid w:val="008723E8"/>
    <w:rsid w:val="00873466"/>
    <w:rsid w:val="008744EA"/>
    <w:rsid w:val="00874DE9"/>
    <w:rsid w:val="00875F25"/>
    <w:rsid w:val="0087715C"/>
    <w:rsid w:val="00877689"/>
    <w:rsid w:val="008778A9"/>
    <w:rsid w:val="00877D3C"/>
    <w:rsid w:val="00877F82"/>
    <w:rsid w:val="00880496"/>
    <w:rsid w:val="00882483"/>
    <w:rsid w:val="00882E60"/>
    <w:rsid w:val="00882F96"/>
    <w:rsid w:val="008844A2"/>
    <w:rsid w:val="008845A9"/>
    <w:rsid w:val="008860FC"/>
    <w:rsid w:val="00886D3A"/>
    <w:rsid w:val="008874C1"/>
    <w:rsid w:val="00890513"/>
    <w:rsid w:val="0089070C"/>
    <w:rsid w:val="00890B68"/>
    <w:rsid w:val="008925BC"/>
    <w:rsid w:val="0089260E"/>
    <w:rsid w:val="00892D49"/>
    <w:rsid w:val="008932A3"/>
    <w:rsid w:val="00893CB8"/>
    <w:rsid w:val="00894434"/>
    <w:rsid w:val="00894CA7"/>
    <w:rsid w:val="00894FB2"/>
    <w:rsid w:val="00895002"/>
    <w:rsid w:val="00895BD8"/>
    <w:rsid w:val="0089655B"/>
    <w:rsid w:val="00896C0D"/>
    <w:rsid w:val="00896D03"/>
    <w:rsid w:val="00896EB1"/>
    <w:rsid w:val="008972D1"/>
    <w:rsid w:val="00897BC8"/>
    <w:rsid w:val="008A0838"/>
    <w:rsid w:val="008A13E7"/>
    <w:rsid w:val="008A252E"/>
    <w:rsid w:val="008A3D99"/>
    <w:rsid w:val="008A3F35"/>
    <w:rsid w:val="008A5738"/>
    <w:rsid w:val="008A581A"/>
    <w:rsid w:val="008A5F7F"/>
    <w:rsid w:val="008A63E2"/>
    <w:rsid w:val="008A6630"/>
    <w:rsid w:val="008A6DB9"/>
    <w:rsid w:val="008A7107"/>
    <w:rsid w:val="008A7D83"/>
    <w:rsid w:val="008B0154"/>
    <w:rsid w:val="008B088E"/>
    <w:rsid w:val="008B1963"/>
    <w:rsid w:val="008B20D0"/>
    <w:rsid w:val="008B24F2"/>
    <w:rsid w:val="008B2769"/>
    <w:rsid w:val="008B3356"/>
    <w:rsid w:val="008B3726"/>
    <w:rsid w:val="008B37F0"/>
    <w:rsid w:val="008B3E4E"/>
    <w:rsid w:val="008B41BC"/>
    <w:rsid w:val="008B4702"/>
    <w:rsid w:val="008B65B4"/>
    <w:rsid w:val="008C0F54"/>
    <w:rsid w:val="008C10DA"/>
    <w:rsid w:val="008C1C56"/>
    <w:rsid w:val="008C2435"/>
    <w:rsid w:val="008C2A57"/>
    <w:rsid w:val="008C5503"/>
    <w:rsid w:val="008C5726"/>
    <w:rsid w:val="008C798A"/>
    <w:rsid w:val="008D1615"/>
    <w:rsid w:val="008D1C86"/>
    <w:rsid w:val="008D3255"/>
    <w:rsid w:val="008D47F6"/>
    <w:rsid w:val="008D4ED4"/>
    <w:rsid w:val="008D6371"/>
    <w:rsid w:val="008D69DA"/>
    <w:rsid w:val="008E1296"/>
    <w:rsid w:val="008E270A"/>
    <w:rsid w:val="008E2DC7"/>
    <w:rsid w:val="008E672E"/>
    <w:rsid w:val="008E72E3"/>
    <w:rsid w:val="008F1FD4"/>
    <w:rsid w:val="008F3BF2"/>
    <w:rsid w:val="008F4B7D"/>
    <w:rsid w:val="008F4B82"/>
    <w:rsid w:val="008F6F3B"/>
    <w:rsid w:val="00905C9B"/>
    <w:rsid w:val="00910D28"/>
    <w:rsid w:val="00912398"/>
    <w:rsid w:val="009124CB"/>
    <w:rsid w:val="009130AF"/>
    <w:rsid w:val="00913825"/>
    <w:rsid w:val="009140B9"/>
    <w:rsid w:val="009141C1"/>
    <w:rsid w:val="009148CA"/>
    <w:rsid w:val="00914EA8"/>
    <w:rsid w:val="009157B6"/>
    <w:rsid w:val="0091664E"/>
    <w:rsid w:val="009169A4"/>
    <w:rsid w:val="009170B7"/>
    <w:rsid w:val="00920236"/>
    <w:rsid w:val="009206A6"/>
    <w:rsid w:val="00920AB5"/>
    <w:rsid w:val="009219D9"/>
    <w:rsid w:val="00922197"/>
    <w:rsid w:val="0092287E"/>
    <w:rsid w:val="00922A9D"/>
    <w:rsid w:val="0092347C"/>
    <w:rsid w:val="00923BA7"/>
    <w:rsid w:val="00924581"/>
    <w:rsid w:val="0092472D"/>
    <w:rsid w:val="00925F58"/>
    <w:rsid w:val="009262AA"/>
    <w:rsid w:val="00926438"/>
    <w:rsid w:val="009323CA"/>
    <w:rsid w:val="0093291C"/>
    <w:rsid w:val="00932DD8"/>
    <w:rsid w:val="00933213"/>
    <w:rsid w:val="00933E80"/>
    <w:rsid w:val="009343D3"/>
    <w:rsid w:val="00937D2C"/>
    <w:rsid w:val="00937FF2"/>
    <w:rsid w:val="00940DF6"/>
    <w:rsid w:val="009411C1"/>
    <w:rsid w:val="00942366"/>
    <w:rsid w:val="00943329"/>
    <w:rsid w:val="00943802"/>
    <w:rsid w:val="00943ED3"/>
    <w:rsid w:val="009443D6"/>
    <w:rsid w:val="009445E7"/>
    <w:rsid w:val="0094654A"/>
    <w:rsid w:val="0094736B"/>
    <w:rsid w:val="0095004D"/>
    <w:rsid w:val="00950B89"/>
    <w:rsid w:val="009515AA"/>
    <w:rsid w:val="00951DAA"/>
    <w:rsid w:val="009524D9"/>
    <w:rsid w:val="009526E8"/>
    <w:rsid w:val="00952AF7"/>
    <w:rsid w:val="00952E0A"/>
    <w:rsid w:val="00953DDB"/>
    <w:rsid w:val="00953DF2"/>
    <w:rsid w:val="00955094"/>
    <w:rsid w:val="009550AF"/>
    <w:rsid w:val="009577F1"/>
    <w:rsid w:val="00960B49"/>
    <w:rsid w:val="009648C3"/>
    <w:rsid w:val="00964DD4"/>
    <w:rsid w:val="009669F1"/>
    <w:rsid w:val="00966BA6"/>
    <w:rsid w:val="0096732C"/>
    <w:rsid w:val="009675A9"/>
    <w:rsid w:val="00967B10"/>
    <w:rsid w:val="009714E6"/>
    <w:rsid w:val="00971553"/>
    <w:rsid w:val="009717A1"/>
    <w:rsid w:val="00973948"/>
    <w:rsid w:val="00973D0F"/>
    <w:rsid w:val="00976765"/>
    <w:rsid w:val="00976B7D"/>
    <w:rsid w:val="009774D1"/>
    <w:rsid w:val="00977737"/>
    <w:rsid w:val="00981947"/>
    <w:rsid w:val="00981BE4"/>
    <w:rsid w:val="00981C70"/>
    <w:rsid w:val="00981FF8"/>
    <w:rsid w:val="00982654"/>
    <w:rsid w:val="00982B60"/>
    <w:rsid w:val="009839D2"/>
    <w:rsid w:val="009839F3"/>
    <w:rsid w:val="00983A76"/>
    <w:rsid w:val="00984B61"/>
    <w:rsid w:val="00985656"/>
    <w:rsid w:val="009878F0"/>
    <w:rsid w:val="0098795E"/>
    <w:rsid w:val="00987AB7"/>
    <w:rsid w:val="00987FB6"/>
    <w:rsid w:val="0099010B"/>
    <w:rsid w:val="00990761"/>
    <w:rsid w:val="0099207D"/>
    <w:rsid w:val="00992467"/>
    <w:rsid w:val="009972A2"/>
    <w:rsid w:val="0099783F"/>
    <w:rsid w:val="009A0B29"/>
    <w:rsid w:val="009A106A"/>
    <w:rsid w:val="009A13D9"/>
    <w:rsid w:val="009A15D9"/>
    <w:rsid w:val="009A160F"/>
    <w:rsid w:val="009A1711"/>
    <w:rsid w:val="009A181B"/>
    <w:rsid w:val="009A1C23"/>
    <w:rsid w:val="009A205A"/>
    <w:rsid w:val="009A36DD"/>
    <w:rsid w:val="009A3D20"/>
    <w:rsid w:val="009A3EEC"/>
    <w:rsid w:val="009A4508"/>
    <w:rsid w:val="009A6788"/>
    <w:rsid w:val="009A6A40"/>
    <w:rsid w:val="009B1B6B"/>
    <w:rsid w:val="009B2A0E"/>
    <w:rsid w:val="009B462A"/>
    <w:rsid w:val="009B52AF"/>
    <w:rsid w:val="009B5606"/>
    <w:rsid w:val="009B603A"/>
    <w:rsid w:val="009B7956"/>
    <w:rsid w:val="009C057C"/>
    <w:rsid w:val="009C0789"/>
    <w:rsid w:val="009C0945"/>
    <w:rsid w:val="009C0F33"/>
    <w:rsid w:val="009C125D"/>
    <w:rsid w:val="009C143E"/>
    <w:rsid w:val="009C1E6B"/>
    <w:rsid w:val="009C2041"/>
    <w:rsid w:val="009C4651"/>
    <w:rsid w:val="009C53E4"/>
    <w:rsid w:val="009C5CDE"/>
    <w:rsid w:val="009C6162"/>
    <w:rsid w:val="009C7466"/>
    <w:rsid w:val="009C74AB"/>
    <w:rsid w:val="009D05E3"/>
    <w:rsid w:val="009D26B5"/>
    <w:rsid w:val="009D3151"/>
    <w:rsid w:val="009D42AA"/>
    <w:rsid w:val="009D5A7B"/>
    <w:rsid w:val="009D6A5D"/>
    <w:rsid w:val="009D7CB0"/>
    <w:rsid w:val="009E013E"/>
    <w:rsid w:val="009E14E6"/>
    <w:rsid w:val="009E2682"/>
    <w:rsid w:val="009E35BC"/>
    <w:rsid w:val="009E44F2"/>
    <w:rsid w:val="009E4A2E"/>
    <w:rsid w:val="009E4D8D"/>
    <w:rsid w:val="009E56AD"/>
    <w:rsid w:val="009E6453"/>
    <w:rsid w:val="009E6751"/>
    <w:rsid w:val="009E7A0A"/>
    <w:rsid w:val="009F19E8"/>
    <w:rsid w:val="009F1C9C"/>
    <w:rsid w:val="009F272A"/>
    <w:rsid w:val="009F2830"/>
    <w:rsid w:val="009F2A15"/>
    <w:rsid w:val="009F3181"/>
    <w:rsid w:val="009F42E7"/>
    <w:rsid w:val="009F4853"/>
    <w:rsid w:val="009F6EB6"/>
    <w:rsid w:val="009F790B"/>
    <w:rsid w:val="009F7EB5"/>
    <w:rsid w:val="00A01E81"/>
    <w:rsid w:val="00A04AD3"/>
    <w:rsid w:val="00A070BE"/>
    <w:rsid w:val="00A073CB"/>
    <w:rsid w:val="00A07D5A"/>
    <w:rsid w:val="00A1037F"/>
    <w:rsid w:val="00A11CAC"/>
    <w:rsid w:val="00A13F7D"/>
    <w:rsid w:val="00A1419D"/>
    <w:rsid w:val="00A141EE"/>
    <w:rsid w:val="00A14458"/>
    <w:rsid w:val="00A14C86"/>
    <w:rsid w:val="00A14CD4"/>
    <w:rsid w:val="00A1734E"/>
    <w:rsid w:val="00A17C3A"/>
    <w:rsid w:val="00A202A9"/>
    <w:rsid w:val="00A223EC"/>
    <w:rsid w:val="00A25362"/>
    <w:rsid w:val="00A262DF"/>
    <w:rsid w:val="00A2684A"/>
    <w:rsid w:val="00A26A65"/>
    <w:rsid w:val="00A27A9D"/>
    <w:rsid w:val="00A27EB6"/>
    <w:rsid w:val="00A30440"/>
    <w:rsid w:val="00A31D37"/>
    <w:rsid w:val="00A325AB"/>
    <w:rsid w:val="00A33C38"/>
    <w:rsid w:val="00A37DC4"/>
    <w:rsid w:val="00A40BC8"/>
    <w:rsid w:val="00A41316"/>
    <w:rsid w:val="00A41749"/>
    <w:rsid w:val="00A42997"/>
    <w:rsid w:val="00A43008"/>
    <w:rsid w:val="00A45AD4"/>
    <w:rsid w:val="00A45F59"/>
    <w:rsid w:val="00A5218C"/>
    <w:rsid w:val="00A52469"/>
    <w:rsid w:val="00A52E02"/>
    <w:rsid w:val="00A537B6"/>
    <w:rsid w:val="00A54ACF"/>
    <w:rsid w:val="00A57EA4"/>
    <w:rsid w:val="00A60213"/>
    <w:rsid w:val="00A6114B"/>
    <w:rsid w:val="00A615E8"/>
    <w:rsid w:val="00A61C0E"/>
    <w:rsid w:val="00A645D8"/>
    <w:rsid w:val="00A64D96"/>
    <w:rsid w:val="00A66F9B"/>
    <w:rsid w:val="00A670FB"/>
    <w:rsid w:val="00A702F9"/>
    <w:rsid w:val="00A708EB"/>
    <w:rsid w:val="00A70971"/>
    <w:rsid w:val="00A72343"/>
    <w:rsid w:val="00A730DC"/>
    <w:rsid w:val="00A73A66"/>
    <w:rsid w:val="00A74430"/>
    <w:rsid w:val="00A75687"/>
    <w:rsid w:val="00A762AA"/>
    <w:rsid w:val="00A768DC"/>
    <w:rsid w:val="00A76F02"/>
    <w:rsid w:val="00A77399"/>
    <w:rsid w:val="00A77444"/>
    <w:rsid w:val="00A77981"/>
    <w:rsid w:val="00A77DCF"/>
    <w:rsid w:val="00A80B95"/>
    <w:rsid w:val="00A82B9E"/>
    <w:rsid w:val="00A82D0D"/>
    <w:rsid w:val="00A83597"/>
    <w:rsid w:val="00A838BD"/>
    <w:rsid w:val="00A83C79"/>
    <w:rsid w:val="00A841DE"/>
    <w:rsid w:val="00A8559D"/>
    <w:rsid w:val="00A86393"/>
    <w:rsid w:val="00A931A3"/>
    <w:rsid w:val="00A93481"/>
    <w:rsid w:val="00A9408A"/>
    <w:rsid w:val="00A94F52"/>
    <w:rsid w:val="00A96584"/>
    <w:rsid w:val="00A96795"/>
    <w:rsid w:val="00A96A6A"/>
    <w:rsid w:val="00A96E27"/>
    <w:rsid w:val="00A97343"/>
    <w:rsid w:val="00AA1DAF"/>
    <w:rsid w:val="00AA236F"/>
    <w:rsid w:val="00AA2E90"/>
    <w:rsid w:val="00AA37BC"/>
    <w:rsid w:val="00AA3A84"/>
    <w:rsid w:val="00AA4A29"/>
    <w:rsid w:val="00AA651C"/>
    <w:rsid w:val="00AA74C1"/>
    <w:rsid w:val="00AA7A1B"/>
    <w:rsid w:val="00AB236A"/>
    <w:rsid w:val="00AB3D69"/>
    <w:rsid w:val="00AB498D"/>
    <w:rsid w:val="00AB4C96"/>
    <w:rsid w:val="00AB5122"/>
    <w:rsid w:val="00AB56C9"/>
    <w:rsid w:val="00AB6E43"/>
    <w:rsid w:val="00AB6F46"/>
    <w:rsid w:val="00AB7603"/>
    <w:rsid w:val="00AC0986"/>
    <w:rsid w:val="00AC45F1"/>
    <w:rsid w:val="00AC6BB2"/>
    <w:rsid w:val="00AD0524"/>
    <w:rsid w:val="00AD19F0"/>
    <w:rsid w:val="00AD2210"/>
    <w:rsid w:val="00AD5BB8"/>
    <w:rsid w:val="00AE1BDC"/>
    <w:rsid w:val="00AE306C"/>
    <w:rsid w:val="00AE3402"/>
    <w:rsid w:val="00AE3668"/>
    <w:rsid w:val="00AE3D01"/>
    <w:rsid w:val="00AE4184"/>
    <w:rsid w:val="00AE492E"/>
    <w:rsid w:val="00AE4E03"/>
    <w:rsid w:val="00AE53C0"/>
    <w:rsid w:val="00AE64EF"/>
    <w:rsid w:val="00AE7001"/>
    <w:rsid w:val="00AE7215"/>
    <w:rsid w:val="00AF1F92"/>
    <w:rsid w:val="00AF2763"/>
    <w:rsid w:val="00AF2BA7"/>
    <w:rsid w:val="00AF306C"/>
    <w:rsid w:val="00AF4095"/>
    <w:rsid w:val="00AF420E"/>
    <w:rsid w:val="00AF4229"/>
    <w:rsid w:val="00AF6040"/>
    <w:rsid w:val="00AF60A5"/>
    <w:rsid w:val="00AF653C"/>
    <w:rsid w:val="00AF7938"/>
    <w:rsid w:val="00B0030B"/>
    <w:rsid w:val="00B00681"/>
    <w:rsid w:val="00B008FE"/>
    <w:rsid w:val="00B00A5E"/>
    <w:rsid w:val="00B00E83"/>
    <w:rsid w:val="00B0120F"/>
    <w:rsid w:val="00B0395F"/>
    <w:rsid w:val="00B0457A"/>
    <w:rsid w:val="00B064A0"/>
    <w:rsid w:val="00B06916"/>
    <w:rsid w:val="00B071DB"/>
    <w:rsid w:val="00B12942"/>
    <w:rsid w:val="00B135D7"/>
    <w:rsid w:val="00B1388C"/>
    <w:rsid w:val="00B1397B"/>
    <w:rsid w:val="00B13CE7"/>
    <w:rsid w:val="00B13FE9"/>
    <w:rsid w:val="00B14691"/>
    <w:rsid w:val="00B162CD"/>
    <w:rsid w:val="00B17CFF"/>
    <w:rsid w:val="00B23279"/>
    <w:rsid w:val="00B23443"/>
    <w:rsid w:val="00B2531F"/>
    <w:rsid w:val="00B2585A"/>
    <w:rsid w:val="00B25898"/>
    <w:rsid w:val="00B25B77"/>
    <w:rsid w:val="00B2629D"/>
    <w:rsid w:val="00B3045C"/>
    <w:rsid w:val="00B31011"/>
    <w:rsid w:val="00B316F7"/>
    <w:rsid w:val="00B335AB"/>
    <w:rsid w:val="00B34926"/>
    <w:rsid w:val="00B36811"/>
    <w:rsid w:val="00B370B2"/>
    <w:rsid w:val="00B371D4"/>
    <w:rsid w:val="00B377D4"/>
    <w:rsid w:val="00B401C1"/>
    <w:rsid w:val="00B403A1"/>
    <w:rsid w:val="00B40456"/>
    <w:rsid w:val="00B40AF8"/>
    <w:rsid w:val="00B426A5"/>
    <w:rsid w:val="00B426C6"/>
    <w:rsid w:val="00B432FD"/>
    <w:rsid w:val="00B44219"/>
    <w:rsid w:val="00B445C8"/>
    <w:rsid w:val="00B45117"/>
    <w:rsid w:val="00B45F40"/>
    <w:rsid w:val="00B46091"/>
    <w:rsid w:val="00B524BD"/>
    <w:rsid w:val="00B53037"/>
    <w:rsid w:val="00B5315D"/>
    <w:rsid w:val="00B542EC"/>
    <w:rsid w:val="00B55FC5"/>
    <w:rsid w:val="00B5639B"/>
    <w:rsid w:val="00B60178"/>
    <w:rsid w:val="00B60EC4"/>
    <w:rsid w:val="00B61DE8"/>
    <w:rsid w:val="00B634D4"/>
    <w:rsid w:val="00B64313"/>
    <w:rsid w:val="00B64829"/>
    <w:rsid w:val="00B650A2"/>
    <w:rsid w:val="00B6548E"/>
    <w:rsid w:val="00B65667"/>
    <w:rsid w:val="00B6639B"/>
    <w:rsid w:val="00B66C70"/>
    <w:rsid w:val="00B66CB7"/>
    <w:rsid w:val="00B66CC0"/>
    <w:rsid w:val="00B7053E"/>
    <w:rsid w:val="00B71FC4"/>
    <w:rsid w:val="00B73CC4"/>
    <w:rsid w:val="00B745AA"/>
    <w:rsid w:val="00B748E1"/>
    <w:rsid w:val="00B7512F"/>
    <w:rsid w:val="00B767AE"/>
    <w:rsid w:val="00B76A73"/>
    <w:rsid w:val="00B76BDF"/>
    <w:rsid w:val="00B76D6D"/>
    <w:rsid w:val="00B77A7E"/>
    <w:rsid w:val="00B80D2B"/>
    <w:rsid w:val="00B82663"/>
    <w:rsid w:val="00B82B8B"/>
    <w:rsid w:val="00B82E0D"/>
    <w:rsid w:val="00B84330"/>
    <w:rsid w:val="00B84DED"/>
    <w:rsid w:val="00B85E37"/>
    <w:rsid w:val="00B860AC"/>
    <w:rsid w:val="00B875CA"/>
    <w:rsid w:val="00B87F2A"/>
    <w:rsid w:val="00B90547"/>
    <w:rsid w:val="00B91356"/>
    <w:rsid w:val="00B91BFC"/>
    <w:rsid w:val="00B922C3"/>
    <w:rsid w:val="00B92952"/>
    <w:rsid w:val="00B92E54"/>
    <w:rsid w:val="00B931F9"/>
    <w:rsid w:val="00B9425C"/>
    <w:rsid w:val="00B94E68"/>
    <w:rsid w:val="00B973A1"/>
    <w:rsid w:val="00B97C78"/>
    <w:rsid w:val="00BA05F4"/>
    <w:rsid w:val="00BA13A5"/>
    <w:rsid w:val="00BA1931"/>
    <w:rsid w:val="00BA1CC0"/>
    <w:rsid w:val="00BA47E9"/>
    <w:rsid w:val="00BA5F96"/>
    <w:rsid w:val="00BA7A2C"/>
    <w:rsid w:val="00BB06C1"/>
    <w:rsid w:val="00BB096A"/>
    <w:rsid w:val="00BB142E"/>
    <w:rsid w:val="00BB226D"/>
    <w:rsid w:val="00BB24FD"/>
    <w:rsid w:val="00BB286D"/>
    <w:rsid w:val="00BB34CA"/>
    <w:rsid w:val="00BB3B00"/>
    <w:rsid w:val="00BB3B04"/>
    <w:rsid w:val="00BB4123"/>
    <w:rsid w:val="00BB5A8E"/>
    <w:rsid w:val="00BB5FF4"/>
    <w:rsid w:val="00BC00A7"/>
    <w:rsid w:val="00BC04D5"/>
    <w:rsid w:val="00BC13CC"/>
    <w:rsid w:val="00BC2F02"/>
    <w:rsid w:val="00BC32F2"/>
    <w:rsid w:val="00BC3ABE"/>
    <w:rsid w:val="00BC4BE2"/>
    <w:rsid w:val="00BC5C1E"/>
    <w:rsid w:val="00BC6211"/>
    <w:rsid w:val="00BC7261"/>
    <w:rsid w:val="00BC7E45"/>
    <w:rsid w:val="00BD0BA8"/>
    <w:rsid w:val="00BD1AF4"/>
    <w:rsid w:val="00BD32FB"/>
    <w:rsid w:val="00BD3693"/>
    <w:rsid w:val="00BD3FA1"/>
    <w:rsid w:val="00BD4FA3"/>
    <w:rsid w:val="00BD7409"/>
    <w:rsid w:val="00BD7CA7"/>
    <w:rsid w:val="00BE1260"/>
    <w:rsid w:val="00BE3AB7"/>
    <w:rsid w:val="00BE41AA"/>
    <w:rsid w:val="00BE4D4B"/>
    <w:rsid w:val="00BE4FA9"/>
    <w:rsid w:val="00BE5D50"/>
    <w:rsid w:val="00BE7F85"/>
    <w:rsid w:val="00BF0A1F"/>
    <w:rsid w:val="00BF0B27"/>
    <w:rsid w:val="00BF33EF"/>
    <w:rsid w:val="00BF363C"/>
    <w:rsid w:val="00BF5CE2"/>
    <w:rsid w:val="00BF6BF5"/>
    <w:rsid w:val="00BF6CA6"/>
    <w:rsid w:val="00BF72BA"/>
    <w:rsid w:val="00C01B26"/>
    <w:rsid w:val="00C01B39"/>
    <w:rsid w:val="00C01ECD"/>
    <w:rsid w:val="00C02783"/>
    <w:rsid w:val="00C042DD"/>
    <w:rsid w:val="00C04D0B"/>
    <w:rsid w:val="00C05052"/>
    <w:rsid w:val="00C051CD"/>
    <w:rsid w:val="00C05B0C"/>
    <w:rsid w:val="00C060D2"/>
    <w:rsid w:val="00C07579"/>
    <w:rsid w:val="00C10F0A"/>
    <w:rsid w:val="00C12EFE"/>
    <w:rsid w:val="00C14310"/>
    <w:rsid w:val="00C1528C"/>
    <w:rsid w:val="00C16A86"/>
    <w:rsid w:val="00C17572"/>
    <w:rsid w:val="00C17C3A"/>
    <w:rsid w:val="00C21192"/>
    <w:rsid w:val="00C21AE0"/>
    <w:rsid w:val="00C228CA"/>
    <w:rsid w:val="00C22EE7"/>
    <w:rsid w:val="00C22FCD"/>
    <w:rsid w:val="00C24FE2"/>
    <w:rsid w:val="00C253A1"/>
    <w:rsid w:val="00C27776"/>
    <w:rsid w:val="00C27961"/>
    <w:rsid w:val="00C27E06"/>
    <w:rsid w:val="00C27E68"/>
    <w:rsid w:val="00C328EF"/>
    <w:rsid w:val="00C35489"/>
    <w:rsid w:val="00C35B2B"/>
    <w:rsid w:val="00C367E1"/>
    <w:rsid w:val="00C36857"/>
    <w:rsid w:val="00C36C62"/>
    <w:rsid w:val="00C40E95"/>
    <w:rsid w:val="00C41006"/>
    <w:rsid w:val="00C42568"/>
    <w:rsid w:val="00C427E3"/>
    <w:rsid w:val="00C42A2D"/>
    <w:rsid w:val="00C43EF8"/>
    <w:rsid w:val="00C44C76"/>
    <w:rsid w:val="00C45B53"/>
    <w:rsid w:val="00C4790A"/>
    <w:rsid w:val="00C479D5"/>
    <w:rsid w:val="00C47DFF"/>
    <w:rsid w:val="00C50377"/>
    <w:rsid w:val="00C50538"/>
    <w:rsid w:val="00C50E71"/>
    <w:rsid w:val="00C54129"/>
    <w:rsid w:val="00C5430F"/>
    <w:rsid w:val="00C56AE3"/>
    <w:rsid w:val="00C610B0"/>
    <w:rsid w:val="00C6227C"/>
    <w:rsid w:val="00C62610"/>
    <w:rsid w:val="00C64C77"/>
    <w:rsid w:val="00C65DCF"/>
    <w:rsid w:val="00C66CC9"/>
    <w:rsid w:val="00C675E2"/>
    <w:rsid w:val="00C70B5F"/>
    <w:rsid w:val="00C70D00"/>
    <w:rsid w:val="00C70EAC"/>
    <w:rsid w:val="00C70F5B"/>
    <w:rsid w:val="00C71C02"/>
    <w:rsid w:val="00C737DC"/>
    <w:rsid w:val="00C742C8"/>
    <w:rsid w:val="00C7535D"/>
    <w:rsid w:val="00C77196"/>
    <w:rsid w:val="00C82545"/>
    <w:rsid w:val="00C825EE"/>
    <w:rsid w:val="00C828B0"/>
    <w:rsid w:val="00C832EE"/>
    <w:rsid w:val="00C83561"/>
    <w:rsid w:val="00C8448F"/>
    <w:rsid w:val="00C84709"/>
    <w:rsid w:val="00C86473"/>
    <w:rsid w:val="00C867ED"/>
    <w:rsid w:val="00C879D3"/>
    <w:rsid w:val="00C90043"/>
    <w:rsid w:val="00C906E1"/>
    <w:rsid w:val="00C90C6F"/>
    <w:rsid w:val="00C91D90"/>
    <w:rsid w:val="00C91F35"/>
    <w:rsid w:val="00C92B4A"/>
    <w:rsid w:val="00C9379B"/>
    <w:rsid w:val="00C937ED"/>
    <w:rsid w:val="00C93FDB"/>
    <w:rsid w:val="00C94A31"/>
    <w:rsid w:val="00C94CE9"/>
    <w:rsid w:val="00C9694F"/>
    <w:rsid w:val="00C978AB"/>
    <w:rsid w:val="00CA015A"/>
    <w:rsid w:val="00CA07E7"/>
    <w:rsid w:val="00CA112C"/>
    <w:rsid w:val="00CA1E58"/>
    <w:rsid w:val="00CA260F"/>
    <w:rsid w:val="00CA2DA3"/>
    <w:rsid w:val="00CA2F0C"/>
    <w:rsid w:val="00CA4851"/>
    <w:rsid w:val="00CA74AC"/>
    <w:rsid w:val="00CB0612"/>
    <w:rsid w:val="00CB0C8A"/>
    <w:rsid w:val="00CB10F1"/>
    <w:rsid w:val="00CB1375"/>
    <w:rsid w:val="00CB2772"/>
    <w:rsid w:val="00CB3DAF"/>
    <w:rsid w:val="00CB5D37"/>
    <w:rsid w:val="00CB60B6"/>
    <w:rsid w:val="00CB629F"/>
    <w:rsid w:val="00CB6A6E"/>
    <w:rsid w:val="00CB6EF4"/>
    <w:rsid w:val="00CB7F52"/>
    <w:rsid w:val="00CC118C"/>
    <w:rsid w:val="00CC1275"/>
    <w:rsid w:val="00CC1966"/>
    <w:rsid w:val="00CC1A11"/>
    <w:rsid w:val="00CC1BC1"/>
    <w:rsid w:val="00CC6B03"/>
    <w:rsid w:val="00CD0AEC"/>
    <w:rsid w:val="00CD10EB"/>
    <w:rsid w:val="00CD1E76"/>
    <w:rsid w:val="00CD2441"/>
    <w:rsid w:val="00CD3C44"/>
    <w:rsid w:val="00CD3F6E"/>
    <w:rsid w:val="00CD40BC"/>
    <w:rsid w:val="00CD4B81"/>
    <w:rsid w:val="00CD643D"/>
    <w:rsid w:val="00CE2A21"/>
    <w:rsid w:val="00CE3F54"/>
    <w:rsid w:val="00CE3F8F"/>
    <w:rsid w:val="00CE4A3E"/>
    <w:rsid w:val="00CE5A3E"/>
    <w:rsid w:val="00CE6CB2"/>
    <w:rsid w:val="00CF06AE"/>
    <w:rsid w:val="00CF10AF"/>
    <w:rsid w:val="00CF2402"/>
    <w:rsid w:val="00CF3496"/>
    <w:rsid w:val="00CF3C9B"/>
    <w:rsid w:val="00CF4274"/>
    <w:rsid w:val="00CF5A27"/>
    <w:rsid w:val="00CF5CE8"/>
    <w:rsid w:val="00CF63FE"/>
    <w:rsid w:val="00CF666C"/>
    <w:rsid w:val="00CF6B8A"/>
    <w:rsid w:val="00CF7BA6"/>
    <w:rsid w:val="00D01E9D"/>
    <w:rsid w:val="00D02679"/>
    <w:rsid w:val="00D0278F"/>
    <w:rsid w:val="00D029B3"/>
    <w:rsid w:val="00D03164"/>
    <w:rsid w:val="00D038EC"/>
    <w:rsid w:val="00D03C98"/>
    <w:rsid w:val="00D03F0F"/>
    <w:rsid w:val="00D04964"/>
    <w:rsid w:val="00D04F3A"/>
    <w:rsid w:val="00D072A9"/>
    <w:rsid w:val="00D078B9"/>
    <w:rsid w:val="00D12309"/>
    <w:rsid w:val="00D1484A"/>
    <w:rsid w:val="00D148FE"/>
    <w:rsid w:val="00D20BA9"/>
    <w:rsid w:val="00D213F9"/>
    <w:rsid w:val="00D22722"/>
    <w:rsid w:val="00D22BFC"/>
    <w:rsid w:val="00D22D6A"/>
    <w:rsid w:val="00D24C85"/>
    <w:rsid w:val="00D25461"/>
    <w:rsid w:val="00D30343"/>
    <w:rsid w:val="00D31166"/>
    <w:rsid w:val="00D31480"/>
    <w:rsid w:val="00D325EC"/>
    <w:rsid w:val="00D34B81"/>
    <w:rsid w:val="00D36137"/>
    <w:rsid w:val="00D3650D"/>
    <w:rsid w:val="00D3695A"/>
    <w:rsid w:val="00D36CBD"/>
    <w:rsid w:val="00D3714D"/>
    <w:rsid w:val="00D377A4"/>
    <w:rsid w:val="00D37EF8"/>
    <w:rsid w:val="00D40A47"/>
    <w:rsid w:val="00D40E84"/>
    <w:rsid w:val="00D413C2"/>
    <w:rsid w:val="00D413F8"/>
    <w:rsid w:val="00D42A9D"/>
    <w:rsid w:val="00D44649"/>
    <w:rsid w:val="00D447AF"/>
    <w:rsid w:val="00D44971"/>
    <w:rsid w:val="00D44E28"/>
    <w:rsid w:val="00D459BE"/>
    <w:rsid w:val="00D464E1"/>
    <w:rsid w:val="00D465D5"/>
    <w:rsid w:val="00D467A8"/>
    <w:rsid w:val="00D477E7"/>
    <w:rsid w:val="00D501BC"/>
    <w:rsid w:val="00D5040E"/>
    <w:rsid w:val="00D50A07"/>
    <w:rsid w:val="00D5240C"/>
    <w:rsid w:val="00D54945"/>
    <w:rsid w:val="00D55969"/>
    <w:rsid w:val="00D55A04"/>
    <w:rsid w:val="00D567AB"/>
    <w:rsid w:val="00D571C6"/>
    <w:rsid w:val="00D5786C"/>
    <w:rsid w:val="00D57C94"/>
    <w:rsid w:val="00D57F60"/>
    <w:rsid w:val="00D6175A"/>
    <w:rsid w:val="00D61DD3"/>
    <w:rsid w:val="00D6213A"/>
    <w:rsid w:val="00D62169"/>
    <w:rsid w:val="00D62DD0"/>
    <w:rsid w:val="00D63AB3"/>
    <w:rsid w:val="00D644B7"/>
    <w:rsid w:val="00D647F2"/>
    <w:rsid w:val="00D64918"/>
    <w:rsid w:val="00D651FB"/>
    <w:rsid w:val="00D66022"/>
    <w:rsid w:val="00D6636B"/>
    <w:rsid w:val="00D67161"/>
    <w:rsid w:val="00D67485"/>
    <w:rsid w:val="00D7058E"/>
    <w:rsid w:val="00D708F8"/>
    <w:rsid w:val="00D70994"/>
    <w:rsid w:val="00D70A1E"/>
    <w:rsid w:val="00D70F48"/>
    <w:rsid w:val="00D7189D"/>
    <w:rsid w:val="00D71FDD"/>
    <w:rsid w:val="00D74F6D"/>
    <w:rsid w:val="00D750B7"/>
    <w:rsid w:val="00D75AA6"/>
    <w:rsid w:val="00D76538"/>
    <w:rsid w:val="00D76D32"/>
    <w:rsid w:val="00D770CE"/>
    <w:rsid w:val="00D8006A"/>
    <w:rsid w:val="00D80300"/>
    <w:rsid w:val="00D822BB"/>
    <w:rsid w:val="00D8327E"/>
    <w:rsid w:val="00D839AA"/>
    <w:rsid w:val="00D848EE"/>
    <w:rsid w:val="00D851AB"/>
    <w:rsid w:val="00D8538D"/>
    <w:rsid w:val="00D86638"/>
    <w:rsid w:val="00D92313"/>
    <w:rsid w:val="00D928C8"/>
    <w:rsid w:val="00D93550"/>
    <w:rsid w:val="00D93A8B"/>
    <w:rsid w:val="00D9587F"/>
    <w:rsid w:val="00D961EB"/>
    <w:rsid w:val="00D96764"/>
    <w:rsid w:val="00D976F9"/>
    <w:rsid w:val="00DA23B0"/>
    <w:rsid w:val="00DA394E"/>
    <w:rsid w:val="00DA3959"/>
    <w:rsid w:val="00DA5A96"/>
    <w:rsid w:val="00DA6A84"/>
    <w:rsid w:val="00DA7AE9"/>
    <w:rsid w:val="00DB0F3A"/>
    <w:rsid w:val="00DB12EF"/>
    <w:rsid w:val="00DB45D8"/>
    <w:rsid w:val="00DB5054"/>
    <w:rsid w:val="00DB663A"/>
    <w:rsid w:val="00DB7F4B"/>
    <w:rsid w:val="00DC072B"/>
    <w:rsid w:val="00DC1920"/>
    <w:rsid w:val="00DC79F9"/>
    <w:rsid w:val="00DD00AF"/>
    <w:rsid w:val="00DD107B"/>
    <w:rsid w:val="00DD1434"/>
    <w:rsid w:val="00DD1D52"/>
    <w:rsid w:val="00DD257B"/>
    <w:rsid w:val="00DD2ED8"/>
    <w:rsid w:val="00DD46A0"/>
    <w:rsid w:val="00DD577F"/>
    <w:rsid w:val="00DE2554"/>
    <w:rsid w:val="00DE4A5F"/>
    <w:rsid w:val="00DE61F3"/>
    <w:rsid w:val="00DE7623"/>
    <w:rsid w:val="00DF14A6"/>
    <w:rsid w:val="00DF482B"/>
    <w:rsid w:val="00DF543F"/>
    <w:rsid w:val="00DF57C7"/>
    <w:rsid w:val="00DF5EBC"/>
    <w:rsid w:val="00DF67C7"/>
    <w:rsid w:val="00DF6838"/>
    <w:rsid w:val="00DF7314"/>
    <w:rsid w:val="00E040D5"/>
    <w:rsid w:val="00E04D6B"/>
    <w:rsid w:val="00E13679"/>
    <w:rsid w:val="00E14E12"/>
    <w:rsid w:val="00E16DF8"/>
    <w:rsid w:val="00E171BC"/>
    <w:rsid w:val="00E2212C"/>
    <w:rsid w:val="00E2217E"/>
    <w:rsid w:val="00E2264B"/>
    <w:rsid w:val="00E2306A"/>
    <w:rsid w:val="00E23394"/>
    <w:rsid w:val="00E23CA2"/>
    <w:rsid w:val="00E2431F"/>
    <w:rsid w:val="00E24CD9"/>
    <w:rsid w:val="00E24F81"/>
    <w:rsid w:val="00E2557A"/>
    <w:rsid w:val="00E2559D"/>
    <w:rsid w:val="00E260D7"/>
    <w:rsid w:val="00E261F7"/>
    <w:rsid w:val="00E26E3C"/>
    <w:rsid w:val="00E27261"/>
    <w:rsid w:val="00E274D8"/>
    <w:rsid w:val="00E342CC"/>
    <w:rsid w:val="00E36C66"/>
    <w:rsid w:val="00E36DC4"/>
    <w:rsid w:val="00E37950"/>
    <w:rsid w:val="00E37A8F"/>
    <w:rsid w:val="00E37D74"/>
    <w:rsid w:val="00E4039F"/>
    <w:rsid w:val="00E40C93"/>
    <w:rsid w:val="00E4247E"/>
    <w:rsid w:val="00E42B68"/>
    <w:rsid w:val="00E42E00"/>
    <w:rsid w:val="00E43703"/>
    <w:rsid w:val="00E43C26"/>
    <w:rsid w:val="00E43FA8"/>
    <w:rsid w:val="00E44639"/>
    <w:rsid w:val="00E45DC1"/>
    <w:rsid w:val="00E46AEC"/>
    <w:rsid w:val="00E46B99"/>
    <w:rsid w:val="00E46CEA"/>
    <w:rsid w:val="00E4702E"/>
    <w:rsid w:val="00E474F0"/>
    <w:rsid w:val="00E47A9A"/>
    <w:rsid w:val="00E50993"/>
    <w:rsid w:val="00E50A6B"/>
    <w:rsid w:val="00E516F3"/>
    <w:rsid w:val="00E52311"/>
    <w:rsid w:val="00E528F7"/>
    <w:rsid w:val="00E528F9"/>
    <w:rsid w:val="00E536DC"/>
    <w:rsid w:val="00E55684"/>
    <w:rsid w:val="00E602D0"/>
    <w:rsid w:val="00E603C8"/>
    <w:rsid w:val="00E61348"/>
    <w:rsid w:val="00E64295"/>
    <w:rsid w:val="00E64DB8"/>
    <w:rsid w:val="00E64EB9"/>
    <w:rsid w:val="00E64F4D"/>
    <w:rsid w:val="00E6613F"/>
    <w:rsid w:val="00E66555"/>
    <w:rsid w:val="00E6698E"/>
    <w:rsid w:val="00E66C0B"/>
    <w:rsid w:val="00E6770F"/>
    <w:rsid w:val="00E70CF0"/>
    <w:rsid w:val="00E71440"/>
    <w:rsid w:val="00E72196"/>
    <w:rsid w:val="00E72615"/>
    <w:rsid w:val="00E731AF"/>
    <w:rsid w:val="00E73654"/>
    <w:rsid w:val="00E736EF"/>
    <w:rsid w:val="00E742A9"/>
    <w:rsid w:val="00E742C0"/>
    <w:rsid w:val="00E753C8"/>
    <w:rsid w:val="00E75858"/>
    <w:rsid w:val="00E75EC5"/>
    <w:rsid w:val="00E75ECD"/>
    <w:rsid w:val="00E76F05"/>
    <w:rsid w:val="00E82192"/>
    <w:rsid w:val="00E82D66"/>
    <w:rsid w:val="00E848E3"/>
    <w:rsid w:val="00E86A90"/>
    <w:rsid w:val="00E87E60"/>
    <w:rsid w:val="00E9112A"/>
    <w:rsid w:val="00E933EB"/>
    <w:rsid w:val="00E93558"/>
    <w:rsid w:val="00E94C91"/>
    <w:rsid w:val="00E94F8C"/>
    <w:rsid w:val="00E95F9A"/>
    <w:rsid w:val="00E97314"/>
    <w:rsid w:val="00E976A2"/>
    <w:rsid w:val="00E97CBF"/>
    <w:rsid w:val="00EA0EFF"/>
    <w:rsid w:val="00EA2DEB"/>
    <w:rsid w:val="00EA4ED3"/>
    <w:rsid w:val="00EA58FE"/>
    <w:rsid w:val="00EA63F2"/>
    <w:rsid w:val="00EA6897"/>
    <w:rsid w:val="00EA6A36"/>
    <w:rsid w:val="00EA6EF0"/>
    <w:rsid w:val="00EA79E3"/>
    <w:rsid w:val="00EB0855"/>
    <w:rsid w:val="00EB0FF8"/>
    <w:rsid w:val="00EB1C37"/>
    <w:rsid w:val="00EB3490"/>
    <w:rsid w:val="00EB4F0F"/>
    <w:rsid w:val="00EB550A"/>
    <w:rsid w:val="00EC08F5"/>
    <w:rsid w:val="00EC1B0C"/>
    <w:rsid w:val="00EC2B2F"/>
    <w:rsid w:val="00EC41C3"/>
    <w:rsid w:val="00EC7AEA"/>
    <w:rsid w:val="00EC7CB1"/>
    <w:rsid w:val="00EC7DBC"/>
    <w:rsid w:val="00EC7F7D"/>
    <w:rsid w:val="00ED2780"/>
    <w:rsid w:val="00ED3258"/>
    <w:rsid w:val="00ED3491"/>
    <w:rsid w:val="00ED43DF"/>
    <w:rsid w:val="00ED4F2C"/>
    <w:rsid w:val="00ED61FF"/>
    <w:rsid w:val="00ED6446"/>
    <w:rsid w:val="00ED688E"/>
    <w:rsid w:val="00EE17DC"/>
    <w:rsid w:val="00EE18B8"/>
    <w:rsid w:val="00EE2870"/>
    <w:rsid w:val="00EE48CC"/>
    <w:rsid w:val="00EE617F"/>
    <w:rsid w:val="00EE7EE8"/>
    <w:rsid w:val="00EF0010"/>
    <w:rsid w:val="00EF008E"/>
    <w:rsid w:val="00EF1379"/>
    <w:rsid w:val="00EF14EE"/>
    <w:rsid w:val="00EF1834"/>
    <w:rsid w:val="00EF1A73"/>
    <w:rsid w:val="00EF1F20"/>
    <w:rsid w:val="00EF2678"/>
    <w:rsid w:val="00EF5461"/>
    <w:rsid w:val="00EF589B"/>
    <w:rsid w:val="00EF62C0"/>
    <w:rsid w:val="00EF66C8"/>
    <w:rsid w:val="00EF6BDF"/>
    <w:rsid w:val="00EF6CF6"/>
    <w:rsid w:val="00EF7D2D"/>
    <w:rsid w:val="00F02B3A"/>
    <w:rsid w:val="00F03302"/>
    <w:rsid w:val="00F03716"/>
    <w:rsid w:val="00F048C4"/>
    <w:rsid w:val="00F04A88"/>
    <w:rsid w:val="00F04BC9"/>
    <w:rsid w:val="00F051F3"/>
    <w:rsid w:val="00F0586B"/>
    <w:rsid w:val="00F10273"/>
    <w:rsid w:val="00F11B2B"/>
    <w:rsid w:val="00F13C1C"/>
    <w:rsid w:val="00F14BBD"/>
    <w:rsid w:val="00F151F3"/>
    <w:rsid w:val="00F179C0"/>
    <w:rsid w:val="00F205E9"/>
    <w:rsid w:val="00F20F1B"/>
    <w:rsid w:val="00F225BD"/>
    <w:rsid w:val="00F22E71"/>
    <w:rsid w:val="00F24605"/>
    <w:rsid w:val="00F253B2"/>
    <w:rsid w:val="00F25470"/>
    <w:rsid w:val="00F25F1D"/>
    <w:rsid w:val="00F27237"/>
    <w:rsid w:val="00F277D7"/>
    <w:rsid w:val="00F2792C"/>
    <w:rsid w:val="00F27E28"/>
    <w:rsid w:val="00F307A2"/>
    <w:rsid w:val="00F3248D"/>
    <w:rsid w:val="00F32C8E"/>
    <w:rsid w:val="00F32D41"/>
    <w:rsid w:val="00F333DD"/>
    <w:rsid w:val="00F33A6B"/>
    <w:rsid w:val="00F34226"/>
    <w:rsid w:val="00F34E7B"/>
    <w:rsid w:val="00F35D4E"/>
    <w:rsid w:val="00F361C0"/>
    <w:rsid w:val="00F3628D"/>
    <w:rsid w:val="00F363E0"/>
    <w:rsid w:val="00F36E63"/>
    <w:rsid w:val="00F36E82"/>
    <w:rsid w:val="00F376E4"/>
    <w:rsid w:val="00F404DF"/>
    <w:rsid w:val="00F417FC"/>
    <w:rsid w:val="00F42310"/>
    <w:rsid w:val="00F424B0"/>
    <w:rsid w:val="00F436D8"/>
    <w:rsid w:val="00F43F3B"/>
    <w:rsid w:val="00F44A8F"/>
    <w:rsid w:val="00F506CB"/>
    <w:rsid w:val="00F546BC"/>
    <w:rsid w:val="00F5669A"/>
    <w:rsid w:val="00F56A37"/>
    <w:rsid w:val="00F60507"/>
    <w:rsid w:val="00F60736"/>
    <w:rsid w:val="00F61C69"/>
    <w:rsid w:val="00F62F17"/>
    <w:rsid w:val="00F63839"/>
    <w:rsid w:val="00F6459B"/>
    <w:rsid w:val="00F66293"/>
    <w:rsid w:val="00F66712"/>
    <w:rsid w:val="00F66850"/>
    <w:rsid w:val="00F66FF2"/>
    <w:rsid w:val="00F67FB8"/>
    <w:rsid w:val="00F70A8F"/>
    <w:rsid w:val="00F7139A"/>
    <w:rsid w:val="00F71D53"/>
    <w:rsid w:val="00F72052"/>
    <w:rsid w:val="00F72263"/>
    <w:rsid w:val="00F74174"/>
    <w:rsid w:val="00F7477C"/>
    <w:rsid w:val="00F7497B"/>
    <w:rsid w:val="00F75079"/>
    <w:rsid w:val="00F750FA"/>
    <w:rsid w:val="00F76A99"/>
    <w:rsid w:val="00F77FAF"/>
    <w:rsid w:val="00F80395"/>
    <w:rsid w:val="00F81F49"/>
    <w:rsid w:val="00F8456D"/>
    <w:rsid w:val="00F8588F"/>
    <w:rsid w:val="00F86BB9"/>
    <w:rsid w:val="00F8763E"/>
    <w:rsid w:val="00F87D34"/>
    <w:rsid w:val="00F90D02"/>
    <w:rsid w:val="00F92FD1"/>
    <w:rsid w:val="00F93467"/>
    <w:rsid w:val="00F94484"/>
    <w:rsid w:val="00F953DC"/>
    <w:rsid w:val="00F96716"/>
    <w:rsid w:val="00F97AF0"/>
    <w:rsid w:val="00F97E01"/>
    <w:rsid w:val="00FA0EAC"/>
    <w:rsid w:val="00FA1D86"/>
    <w:rsid w:val="00FA283E"/>
    <w:rsid w:val="00FA2FDA"/>
    <w:rsid w:val="00FA3F38"/>
    <w:rsid w:val="00FA5B2B"/>
    <w:rsid w:val="00FA62A0"/>
    <w:rsid w:val="00FA71AC"/>
    <w:rsid w:val="00FB02AC"/>
    <w:rsid w:val="00FB0F9F"/>
    <w:rsid w:val="00FB2D2D"/>
    <w:rsid w:val="00FB35E9"/>
    <w:rsid w:val="00FB4C93"/>
    <w:rsid w:val="00FB5FB0"/>
    <w:rsid w:val="00FB70B1"/>
    <w:rsid w:val="00FB745B"/>
    <w:rsid w:val="00FB7EF9"/>
    <w:rsid w:val="00FC013E"/>
    <w:rsid w:val="00FC2844"/>
    <w:rsid w:val="00FC293A"/>
    <w:rsid w:val="00FC3BE2"/>
    <w:rsid w:val="00FC4EEE"/>
    <w:rsid w:val="00FC7974"/>
    <w:rsid w:val="00FD0160"/>
    <w:rsid w:val="00FD0B0D"/>
    <w:rsid w:val="00FD1259"/>
    <w:rsid w:val="00FD23DE"/>
    <w:rsid w:val="00FD2C77"/>
    <w:rsid w:val="00FD35EB"/>
    <w:rsid w:val="00FD3700"/>
    <w:rsid w:val="00FD4516"/>
    <w:rsid w:val="00FD4C3E"/>
    <w:rsid w:val="00FD6064"/>
    <w:rsid w:val="00FD62C9"/>
    <w:rsid w:val="00FD6E1A"/>
    <w:rsid w:val="00FD75F3"/>
    <w:rsid w:val="00FD7F1A"/>
    <w:rsid w:val="00FE0A5A"/>
    <w:rsid w:val="00FE184D"/>
    <w:rsid w:val="00FE3845"/>
    <w:rsid w:val="00FE3C8B"/>
    <w:rsid w:val="00FE4D42"/>
    <w:rsid w:val="00FE5113"/>
    <w:rsid w:val="00FE5B60"/>
    <w:rsid w:val="00FE67AA"/>
    <w:rsid w:val="00FE6DD6"/>
    <w:rsid w:val="00FF0317"/>
    <w:rsid w:val="00FF0934"/>
    <w:rsid w:val="00FF1401"/>
    <w:rsid w:val="00FF2A82"/>
    <w:rsid w:val="00FF3086"/>
    <w:rsid w:val="00FF3D19"/>
    <w:rsid w:val="00FF5686"/>
    <w:rsid w:val="00FF6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/>
    <o:shapelayout v:ext="edit">
      <o:idmap v:ext="edit" data="2"/>
    </o:shapelayout>
  </w:shapeDefaults>
  <w:decimalSymbol w:val="."/>
  <w:listSeparator w:val=","/>
  <w14:docId w14:val="149D5EEE"/>
  <w15:docId w15:val="{84CB119D-E443-4BDB-8B83-9CC2562C5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61C1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61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8FD5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191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0511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05111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5261C1"/>
    <w:rPr>
      <w:rFonts w:asciiTheme="majorHAnsi" w:eastAsiaTheme="majorEastAsia" w:hAnsiTheme="majorHAnsi" w:cstheme="majorBidi"/>
      <w:color w:val="008FD5"/>
      <w:sz w:val="36"/>
      <w:szCs w:val="32"/>
    </w:rPr>
  </w:style>
  <w:style w:type="paragraph" w:styleId="ListParagraph">
    <w:name w:val="List Paragraph"/>
    <w:basedOn w:val="Normal"/>
    <w:uiPriority w:val="34"/>
    <w:qFormat/>
    <w:rsid w:val="0000511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71C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C8E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171C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C8E"/>
    <w:rPr>
      <w:sz w:val="24"/>
    </w:rPr>
  </w:style>
  <w:style w:type="character" w:styleId="IntenseEmphasis">
    <w:name w:val="Intense Emphasis"/>
    <w:basedOn w:val="DefaultParagraphFont"/>
    <w:uiPriority w:val="21"/>
    <w:qFormat/>
    <w:rsid w:val="00460436"/>
    <w:rPr>
      <w:i/>
      <w:iCs/>
      <w:color w:val="008FD5"/>
    </w:rPr>
  </w:style>
  <w:style w:type="character" w:styleId="Hyperlink">
    <w:name w:val="Hyperlink"/>
    <w:basedOn w:val="DefaultParagraphFont"/>
    <w:uiPriority w:val="99"/>
    <w:unhideWhenUsed/>
    <w:rsid w:val="00230D29"/>
    <w:rPr>
      <w:color w:val="0563C1" w:themeColor="hyperlink"/>
      <w:u w:val="single"/>
    </w:rPr>
  </w:style>
  <w:style w:type="paragraph" w:styleId="FootnoteText">
    <w:name w:val="footnote text"/>
    <w:aliases w:val="Footnote_mpi"/>
    <w:basedOn w:val="Normal"/>
    <w:link w:val="FootnoteTextChar"/>
    <w:uiPriority w:val="99"/>
    <w:unhideWhenUsed/>
    <w:qFormat/>
    <w:rsid w:val="00D644B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Footnote_mpi Char1"/>
    <w:basedOn w:val="DefaultParagraphFont"/>
    <w:link w:val="FootnoteText"/>
    <w:uiPriority w:val="99"/>
    <w:semiHidden/>
    <w:rsid w:val="00D644B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D644B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14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4E7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602D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709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09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09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09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09B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73B5B"/>
    <w:pPr>
      <w:spacing w:after="0" w:line="240" w:lineRule="auto"/>
    </w:pPr>
    <w:rPr>
      <w:sz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C621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C621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C6211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CE6CB2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5D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8C0F5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-Accent1">
    <w:name w:val="Grid Table 3 Accent 1"/>
    <w:basedOn w:val="TableNormal"/>
    <w:uiPriority w:val="48"/>
    <w:rsid w:val="00617E5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11191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H2-NoTOCmpi">
    <w:name w:val="H2 - No TOC_mpi"/>
    <w:link w:val="H2-NoTOCmpiChar"/>
    <w:qFormat/>
    <w:rsid w:val="004D1BCA"/>
    <w:pPr>
      <w:pBdr>
        <w:bottom w:val="single" w:sz="4" w:space="1" w:color="auto"/>
      </w:pBdr>
    </w:pPr>
    <w:rPr>
      <w:rFonts w:ascii="Times New Roman" w:eastAsia="Times New Roman" w:hAnsi="Times New Roman" w:cs="Times New Roman"/>
      <w:snapToGrid w:val="0"/>
      <w:spacing w:val="15"/>
      <w:sz w:val="24"/>
      <w:szCs w:val="24"/>
    </w:rPr>
  </w:style>
  <w:style w:type="character" w:customStyle="1" w:styleId="H2-NoTOCmpiChar">
    <w:name w:val="H2 - No TOC_mpi Char"/>
    <w:basedOn w:val="DefaultParagraphFont"/>
    <w:link w:val="H2-NoTOCmpi"/>
    <w:rsid w:val="004D1BCA"/>
    <w:rPr>
      <w:rFonts w:ascii="Times New Roman" w:eastAsia="Times New Roman" w:hAnsi="Times New Roman" w:cs="Times New Roman"/>
      <w:snapToGrid w:val="0"/>
      <w:spacing w:val="15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11626"/>
    <w:rPr>
      <w:color w:val="605E5C"/>
      <w:shd w:val="clear" w:color="auto" w:fill="E1DFDD"/>
    </w:rPr>
  </w:style>
  <w:style w:type="character" w:customStyle="1" w:styleId="FootnoteTextChar1">
    <w:name w:val="Footnote Text Char1"/>
    <w:aliases w:val="Footnote_mpi Char"/>
    <w:uiPriority w:val="99"/>
    <w:rsid w:val="006859BA"/>
    <w:rPr>
      <w:rFonts w:ascii="Times New Roman" w:eastAsia="Times New Roman" w:hAnsi="Times New Roman" w:cs="Times New Roman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3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8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9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28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30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8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6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01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0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24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7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26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29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66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34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05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6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6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54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52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4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86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21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23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3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8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2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67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6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9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8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1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04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emf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emf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emf"/><Relationship Id="rId46" Type="http://schemas.openxmlformats.org/officeDocument/2006/relationships/footer" Target="footer2.xml"/><Relationship Id="rId20" Type="http://schemas.openxmlformats.org/officeDocument/2006/relationships/image" Target="media/image12.png"/><Relationship Id="rId41" Type="http://schemas.openxmlformats.org/officeDocument/2006/relationships/image" Target="media/image33.jpeg"/></Relationships>
</file>

<file path=word/_rels/footnotes.xml.rels><?xml version="1.0" encoding="UTF-8" standalone="yes"?>
<Relationships xmlns="http://schemas.openxmlformats.org/package/2006/relationships"><Relationship Id="rId13" Type="http://schemas.openxmlformats.org/officeDocument/2006/relationships/hyperlink" Target="https://fred.stlouisfed.org/series/DFEDTARU" TargetMode="External"/><Relationship Id="rId18" Type="http://schemas.openxmlformats.org/officeDocument/2006/relationships/hyperlink" Target="https://fred.stlouisfed.org/series/CLF16OV" TargetMode="External"/><Relationship Id="rId26" Type="http://schemas.openxmlformats.org/officeDocument/2006/relationships/hyperlink" Target="https://fred.stlouisfed.org/series/APU000074714" TargetMode="External"/><Relationship Id="rId39" Type="http://schemas.openxmlformats.org/officeDocument/2006/relationships/hyperlink" Target="https://fred.stlouisfed.org/series/PCECTPICTM" TargetMode="External"/><Relationship Id="rId21" Type="http://schemas.openxmlformats.org/officeDocument/2006/relationships/hyperlink" Target="https://fred.stlouisfed.org/series/JTSJOL" TargetMode="External"/><Relationship Id="rId34" Type="http://schemas.openxmlformats.org/officeDocument/2006/relationships/hyperlink" Target="https://fred.stlouisfed.org/series/CUUR0000SETA01" TargetMode="External"/><Relationship Id="rId7" Type="http://schemas.openxmlformats.org/officeDocument/2006/relationships/hyperlink" Target="https://fred.stlouisfed.org/series/A019RY2Q224SBEA" TargetMode="External"/><Relationship Id="rId12" Type="http://schemas.openxmlformats.org/officeDocument/2006/relationships/hyperlink" Target="https://fred.stlouisfed.org/release/tables?rid=18&amp;eid=289&amp;od=2023-06-30" TargetMode="External"/><Relationship Id="rId17" Type="http://schemas.openxmlformats.org/officeDocument/2006/relationships/hyperlink" Target="https://fred.stlouisfed.org/series/UNRATE" TargetMode="External"/><Relationship Id="rId25" Type="http://schemas.openxmlformats.org/officeDocument/2006/relationships/hyperlink" Target="https://fred.stlouisfed.org/series/CPILEGSL" TargetMode="External"/><Relationship Id="rId33" Type="http://schemas.openxmlformats.org/officeDocument/2006/relationships/hyperlink" Target="https://fred.stlouisfed.org/series/PCE" TargetMode="External"/><Relationship Id="rId38" Type="http://schemas.openxmlformats.org/officeDocument/2006/relationships/hyperlink" Target="https://fred.stlouisfed.org/series/GDPC1CTM" TargetMode="External"/><Relationship Id="rId2" Type="http://schemas.openxmlformats.org/officeDocument/2006/relationships/hyperlink" Target="https://fred.stlouisfed.org/series/DTWEXBGS" TargetMode="External"/><Relationship Id="rId16" Type="http://schemas.openxmlformats.org/officeDocument/2006/relationships/hyperlink" Target="https://fred.stlouisfed.org/series/DAAA" TargetMode="External"/><Relationship Id="rId20" Type="http://schemas.openxmlformats.org/officeDocument/2006/relationships/hyperlink" Target="https://fred.stlouisfed.org/series/JTSQUL" TargetMode="External"/><Relationship Id="rId29" Type="http://schemas.openxmlformats.org/officeDocument/2006/relationships/hyperlink" Target="https://fred.stlouisfed.org/series/DCOILWTICO" TargetMode="External"/><Relationship Id="rId1" Type="http://schemas.openxmlformats.org/officeDocument/2006/relationships/hyperlink" Target="https://fred.stlouisfed.org/series/USPHCI" TargetMode="External"/><Relationship Id="rId6" Type="http://schemas.openxmlformats.org/officeDocument/2006/relationships/hyperlink" Target="https://fred.stlouisfed.org/series/A822RY2Q224SBEA" TargetMode="External"/><Relationship Id="rId11" Type="http://schemas.openxmlformats.org/officeDocument/2006/relationships/hyperlink" Target="https://fred.stlouisfed.org/series/FEDFUNDS" TargetMode="External"/><Relationship Id="rId24" Type="http://schemas.openxmlformats.org/officeDocument/2006/relationships/hyperlink" Target="https://fred.stlouisfed.org/series/CPIAUCSL" TargetMode="External"/><Relationship Id="rId32" Type="http://schemas.openxmlformats.org/officeDocument/2006/relationships/hyperlink" Target="https://fred.stlouisfed.org/series/SPCS20RSA" TargetMode="External"/><Relationship Id="rId37" Type="http://schemas.openxmlformats.org/officeDocument/2006/relationships/hyperlink" Target="https://fred.stlouisfed.org/series/VIXCLS" TargetMode="External"/><Relationship Id="rId40" Type="http://schemas.openxmlformats.org/officeDocument/2006/relationships/hyperlink" Target="https://fred.stlouisfed.org/series/UNRATECTM" TargetMode="External"/><Relationship Id="rId5" Type="http://schemas.openxmlformats.org/officeDocument/2006/relationships/hyperlink" Target="https://fred.stlouisfed.org/series/A006RY2Q224SBEA" TargetMode="External"/><Relationship Id="rId15" Type="http://schemas.openxmlformats.org/officeDocument/2006/relationships/hyperlink" Target="https://fred.stlouisfed.org/series/DBAA" TargetMode="External"/><Relationship Id="rId23" Type="http://schemas.openxmlformats.org/officeDocument/2006/relationships/hyperlink" Target="https://fred.stlouisfed.org/series/PAYEMS" TargetMode="External"/><Relationship Id="rId28" Type="http://schemas.openxmlformats.org/officeDocument/2006/relationships/hyperlink" Target="https://fred.stlouisfed.org/series/T5YIE" TargetMode="External"/><Relationship Id="rId36" Type="http://schemas.openxmlformats.org/officeDocument/2006/relationships/hyperlink" Target="https://fred.stlouisfed.org/series/UMCSENT" TargetMode="External"/><Relationship Id="rId10" Type="http://schemas.openxmlformats.org/officeDocument/2006/relationships/hyperlink" Target="https://fred.stlouisfed.org/series/MCUMFN" TargetMode="External"/><Relationship Id="rId19" Type="http://schemas.openxmlformats.org/officeDocument/2006/relationships/hyperlink" Target="https://fred.stlouisfed.org/series/CIVPART" TargetMode="External"/><Relationship Id="rId31" Type="http://schemas.openxmlformats.org/officeDocument/2006/relationships/hyperlink" Target="https://fred.stlouisfed.org/series/MORTGAGE30US" TargetMode="External"/><Relationship Id="rId4" Type="http://schemas.openxmlformats.org/officeDocument/2006/relationships/hyperlink" Target="https://fred.stlouisfed.org/series/DPCERY2Q224SBEA" TargetMode="External"/><Relationship Id="rId9" Type="http://schemas.openxmlformats.org/officeDocument/2006/relationships/hyperlink" Target="https://fred.stlouisfed.org/series/INDPRO" TargetMode="External"/><Relationship Id="rId14" Type="http://schemas.openxmlformats.org/officeDocument/2006/relationships/hyperlink" Target="https://fred.stlouisfed.org/series/DGS10" TargetMode="External"/><Relationship Id="rId22" Type="http://schemas.openxmlformats.org/officeDocument/2006/relationships/hyperlink" Target="https://fred.stlouisfed.org/series/U6RATE" TargetMode="External"/><Relationship Id="rId27" Type="http://schemas.openxmlformats.org/officeDocument/2006/relationships/hyperlink" Target="https://fred.stlouisfed.org/series/PPIACO" TargetMode="External"/><Relationship Id="rId30" Type="http://schemas.openxmlformats.org/officeDocument/2006/relationships/hyperlink" Target="https://fred.stlouisfed.org/series/HOUST" TargetMode="External"/><Relationship Id="rId35" Type="http://schemas.openxmlformats.org/officeDocument/2006/relationships/hyperlink" Target="https://fred.stlouisfed.org/series/CUSR0000SETA02" TargetMode="External"/><Relationship Id="rId8" Type="http://schemas.openxmlformats.org/officeDocument/2006/relationships/hyperlink" Target="https://www.philadelphiafed.org/surveys-and-data/real-time-data-research/livingston-survey" TargetMode="External"/><Relationship Id="rId3" Type="http://schemas.openxmlformats.org/officeDocument/2006/relationships/hyperlink" Target="https://fred.stlouisfed.org/series/GDPC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Designed for business valuation professionals, TagniFi’s Quarterly Economic Update provides timely economic data to satisfy Revenue Ruling 59-60.  </Abstract>
  <CompanyAddress/>
  <CompanyPhone/>
  <CompanyFax/>
  <CompanyEmail>www.tagnifi.com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77EA666-4F3A-4F08-99D0-E705A40D0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23</Pages>
  <Words>3083</Words>
  <Characters>17574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Quarterly Economic Update</vt:lpstr>
    </vt:vector>
  </TitlesOfParts>
  <Company/>
  <LinksUpToDate>false</LinksUpToDate>
  <CharactersWithSpaces>20616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Quarterly Economic Update</dc:title>
  <dc:subject>For the 1st Quarter of 2020</dc:subject>
  <dc:creator>Office 365</dc:creator>
  <cp:keywords/>
  <dc:description/>
  <cp:lastModifiedBy>Chad Sandstedt</cp:lastModifiedBy>
  <cp:revision>2</cp:revision>
  <cp:lastPrinted>2023-11-04T10:39:00Z</cp:lastPrinted>
  <dcterms:created xsi:type="dcterms:W3CDTF">2023-11-06T11:10:00Z</dcterms:created>
  <dcterms:modified xsi:type="dcterms:W3CDTF">2023-11-06T11:10:00Z</dcterms:modified>
</cp:coreProperties>
</file>