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625127297"/>
        <w:docPartObj>
          <w:docPartGallery w:val="Cover Pages"/>
          <w:docPartUnique/>
        </w:docPartObj>
      </w:sdtPr>
      <w:sdtContent>
        <w:p w14:paraId="2ABEC867" w14:textId="1B3017D2" w:rsidR="000F1648" w:rsidRPr="00B76A73" w:rsidRDefault="008B2769" w:rsidP="002E6FDE">
          <w:pPr>
            <w:jc w:val="right"/>
          </w:pPr>
          <w:r w:rsidRPr="00B76A73">
            <w:rPr>
              <w:noProof/>
            </w:rPr>
            <w:drawing>
              <wp:inline distT="0" distB="0" distL="0" distR="0" wp14:anchorId="44435E8E" wp14:editId="62A37EB8">
                <wp:extent cx="1743075" cy="275242"/>
                <wp:effectExtent l="0" t="0" r="0" b="0"/>
                <wp:docPr id="11" name="Picture 1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TagniFi Large Logo BlackFlat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0997" cy="28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F0E9DD8" w14:textId="6A3F039C" w:rsidR="006663D0" w:rsidRDefault="006663D0" w:rsidP="002E6FDE">
          <w:pPr>
            <w:jc w:val="right"/>
          </w:pPr>
        </w:p>
        <w:p w14:paraId="72930859" w14:textId="77777777" w:rsidR="00FE1DBB" w:rsidRDefault="00FE1DBB" w:rsidP="002E6FDE">
          <w:pPr>
            <w:jc w:val="right"/>
          </w:pPr>
        </w:p>
        <w:p w14:paraId="0FE3EA6C" w14:textId="77777777" w:rsidR="00FE1DBB" w:rsidRDefault="00FE1DBB" w:rsidP="002E6FDE">
          <w:pPr>
            <w:jc w:val="right"/>
          </w:pPr>
        </w:p>
        <w:p w14:paraId="14C3EAD0" w14:textId="77777777" w:rsidR="00FE1DBB" w:rsidRPr="00B76A73" w:rsidRDefault="00FE1DBB" w:rsidP="002E6FDE">
          <w:pPr>
            <w:jc w:val="right"/>
          </w:pPr>
        </w:p>
        <w:p w14:paraId="61E7189B" w14:textId="7CC66809" w:rsidR="006663D0" w:rsidRDefault="00FE1DBB" w:rsidP="00696388">
          <w:pPr>
            <w:jc w:val="right"/>
          </w:pPr>
          <w:r w:rsidRPr="00FE1DBB">
            <w:drawing>
              <wp:inline distT="0" distB="0" distL="0" distR="0" wp14:anchorId="1E86EB84" wp14:editId="72352B2E">
                <wp:extent cx="4368800" cy="3054350"/>
                <wp:effectExtent l="0" t="0" r="0" b="0"/>
                <wp:docPr id="182335128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0" cy="305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87AB7" w:rsidRPr="00B76A73">
            <w:br/>
          </w:r>
        </w:p>
        <w:p w14:paraId="0819C6DD" w14:textId="77777777" w:rsidR="00FE1DBB" w:rsidRDefault="00FE1DBB" w:rsidP="00696388">
          <w:pPr>
            <w:jc w:val="right"/>
          </w:pPr>
        </w:p>
        <w:p w14:paraId="6689FEA3" w14:textId="77777777" w:rsidR="00FE1DBB" w:rsidRPr="00B76A73" w:rsidRDefault="00FE1DBB" w:rsidP="00696388">
          <w:pPr>
            <w:jc w:val="right"/>
          </w:pPr>
        </w:p>
        <w:p w14:paraId="149D5EEE" w14:textId="3BE1B0C0" w:rsidR="00005111" w:rsidRPr="00B76A73" w:rsidRDefault="006663D0" w:rsidP="002E6FDE">
          <w:pPr>
            <w:jc w:val="right"/>
            <w:rPr>
              <w:color w:val="008FD5"/>
              <w:sz w:val="64"/>
              <w:szCs w:val="64"/>
            </w:rPr>
          </w:pPr>
          <w:r w:rsidRPr="00B76A73">
            <w:rPr>
              <w:color w:val="008FD5"/>
              <w:sz w:val="64"/>
              <w:szCs w:val="64"/>
            </w:rPr>
            <w:t>QUARTERLY ECONOMIC UPDATE</w:t>
          </w:r>
        </w:p>
        <w:p w14:paraId="7ADB2944" w14:textId="0CEE0C5F" w:rsidR="006663D0" w:rsidRPr="00B76A73" w:rsidRDefault="006663D0" w:rsidP="002E6FDE">
          <w:pPr>
            <w:jc w:val="right"/>
            <w:rPr>
              <w:sz w:val="36"/>
              <w:szCs w:val="36"/>
            </w:rPr>
          </w:pPr>
          <w:r w:rsidRPr="00B76A73">
            <w:rPr>
              <w:sz w:val="36"/>
              <w:szCs w:val="36"/>
            </w:rPr>
            <w:t xml:space="preserve">For the </w:t>
          </w:r>
          <w:r w:rsidR="007E3AB8">
            <w:rPr>
              <w:sz w:val="36"/>
              <w:szCs w:val="36"/>
            </w:rPr>
            <w:t>2</w:t>
          </w:r>
          <w:r w:rsidR="007E3AB8" w:rsidRPr="007E3AB8">
            <w:rPr>
              <w:sz w:val="36"/>
              <w:szCs w:val="36"/>
              <w:vertAlign w:val="superscript"/>
            </w:rPr>
            <w:t>nd</w:t>
          </w:r>
          <w:r w:rsidR="007E3AB8">
            <w:rPr>
              <w:sz w:val="36"/>
              <w:szCs w:val="36"/>
            </w:rPr>
            <w:t xml:space="preserve"> </w:t>
          </w:r>
          <w:r w:rsidR="00795ECE" w:rsidRPr="00B76A73">
            <w:rPr>
              <w:sz w:val="36"/>
              <w:szCs w:val="36"/>
            </w:rPr>
            <w:t>Quarter of 202</w:t>
          </w:r>
          <w:r w:rsidR="00764EB1">
            <w:rPr>
              <w:sz w:val="36"/>
              <w:szCs w:val="36"/>
            </w:rPr>
            <w:t>4</w:t>
          </w:r>
        </w:p>
        <w:p w14:paraId="45CA5FB6" w14:textId="7FC6A9D9" w:rsidR="006663D0" w:rsidRPr="00B76A73" w:rsidRDefault="006663D0" w:rsidP="002E6FDE">
          <w:pPr>
            <w:jc w:val="right"/>
            <w:rPr>
              <w:sz w:val="36"/>
              <w:szCs w:val="36"/>
            </w:rPr>
          </w:pPr>
        </w:p>
        <w:p w14:paraId="036ED6C8" w14:textId="5EC9A59D" w:rsidR="006663D0" w:rsidRPr="00B76A73" w:rsidRDefault="006663D0" w:rsidP="002E6FDE">
          <w:pPr>
            <w:jc w:val="right"/>
            <w:rPr>
              <w:color w:val="008FD5"/>
              <w:sz w:val="28"/>
              <w:szCs w:val="28"/>
            </w:rPr>
          </w:pPr>
          <w:r w:rsidRPr="00B76A73">
            <w:rPr>
              <w:color w:val="008FD5"/>
              <w:sz w:val="28"/>
              <w:szCs w:val="28"/>
            </w:rPr>
            <w:t>Abstract</w:t>
          </w:r>
        </w:p>
        <w:p w14:paraId="78E365CD" w14:textId="1DCB5F6C" w:rsidR="006663D0" w:rsidRPr="00B76A73" w:rsidRDefault="006663D0" w:rsidP="006663D0">
          <w:pPr>
            <w:jc w:val="right"/>
            <w:rPr>
              <w:sz w:val="20"/>
              <w:szCs w:val="20"/>
            </w:rPr>
          </w:pPr>
          <w:r w:rsidRPr="00B76A73">
            <w:rPr>
              <w:sz w:val="20"/>
              <w:szCs w:val="20"/>
            </w:rPr>
            <w:t xml:space="preserve">Designed for business valuation professionals, </w:t>
          </w:r>
          <w:proofErr w:type="spellStart"/>
          <w:r w:rsidRPr="00B76A73">
            <w:rPr>
              <w:sz w:val="20"/>
              <w:szCs w:val="20"/>
            </w:rPr>
            <w:t>TagniFi’s</w:t>
          </w:r>
          <w:proofErr w:type="spellEnd"/>
          <w:r w:rsidRPr="00B76A73">
            <w:rPr>
              <w:sz w:val="20"/>
              <w:szCs w:val="20"/>
            </w:rPr>
            <w:t xml:space="preserve"> Quarterly Economic </w:t>
          </w:r>
          <w:r w:rsidRPr="00B76A73">
            <w:rPr>
              <w:sz w:val="20"/>
              <w:szCs w:val="20"/>
            </w:rPr>
            <w:br/>
            <w:t>Update provides timely economic data to satisfy Revenue Ruling 56-60.</w:t>
          </w:r>
        </w:p>
        <w:p w14:paraId="149D5EEF" w14:textId="0F932CBB" w:rsidR="00005111" w:rsidRPr="00B76A73" w:rsidRDefault="00005111" w:rsidP="000F1648">
          <w:pPr>
            <w:ind w:hanging="900"/>
          </w:pPr>
          <w:r w:rsidRPr="00B76A73">
            <w:br w:type="page"/>
          </w:r>
        </w:p>
      </w:sdtContent>
    </w:sdt>
    <w:p w14:paraId="149D5EF0" w14:textId="77777777" w:rsidR="00217AD5" w:rsidRPr="00B76A73" w:rsidRDefault="00005111" w:rsidP="00005111">
      <w:pPr>
        <w:pStyle w:val="Heading1"/>
      </w:pPr>
      <w:r w:rsidRPr="00B76A73">
        <w:lastRenderedPageBreak/>
        <w:t>Summary</w:t>
      </w:r>
    </w:p>
    <w:p w14:paraId="27459A94" w14:textId="5DB7F908" w:rsidR="003F604C" w:rsidRDefault="00EB538F" w:rsidP="003F604C">
      <w:pPr>
        <w:rPr>
          <w:color w:val="000000" w:themeColor="text1"/>
        </w:rPr>
      </w:pPr>
      <w:r w:rsidRPr="003F604C">
        <w:t>Domestic production exceeded expectations in the 2</w:t>
      </w:r>
      <w:r w:rsidRPr="003F604C">
        <w:rPr>
          <w:vertAlign w:val="superscript"/>
        </w:rPr>
        <w:t>nd</w:t>
      </w:r>
      <w:r w:rsidRPr="003F604C">
        <w:t xml:space="preserve"> quarter of 2024, signaling a still-strong economy despite slower-than-expected progress on </w:t>
      </w:r>
      <w:r w:rsidR="000E44F9" w:rsidRPr="003F604C">
        <w:t xml:space="preserve">inflation </w:t>
      </w:r>
      <w:r w:rsidRPr="003F604C">
        <w:t>and a slight softening in the</w:t>
      </w:r>
      <w:r w:rsidR="000E44F9" w:rsidRPr="003F604C">
        <w:t xml:space="preserve"> labor market</w:t>
      </w:r>
      <w:r w:rsidR="00E16A13" w:rsidRPr="003F604C">
        <w:t xml:space="preserve">. </w:t>
      </w:r>
      <w:r w:rsidRPr="003F604C">
        <w:rPr>
          <w:color w:val="000000" w:themeColor="text1"/>
        </w:rPr>
        <w:t xml:space="preserve">In response, the Federal Reserve </w:t>
      </w:r>
      <w:r w:rsidR="003F604C" w:rsidRPr="003F604C">
        <w:rPr>
          <w:color w:val="000000" w:themeColor="text1"/>
        </w:rPr>
        <w:t>forecasted a more moderate approach to loosening its hawkish monetary policy over time</w:t>
      </w:r>
      <w:r w:rsidR="003F604C">
        <w:rPr>
          <w:color w:val="000000" w:themeColor="text1"/>
        </w:rPr>
        <w:t>, citing ongoing economic strength in the face of high interest rates</w:t>
      </w:r>
      <w:r w:rsidR="00D26184" w:rsidRPr="003F604C">
        <w:rPr>
          <w:color w:val="000000" w:themeColor="text1"/>
        </w:rPr>
        <w:t>.</w:t>
      </w:r>
      <w:r w:rsidR="003F604C" w:rsidRPr="003F604C">
        <w:rPr>
          <w:color w:val="000000" w:themeColor="text1"/>
        </w:rPr>
        <w:t xml:space="preserve"> Broad increases in personal spending, private investment, and government </w:t>
      </w:r>
      <w:r w:rsidR="003F604C" w:rsidRPr="00562033">
        <w:rPr>
          <w:color w:val="000000" w:themeColor="text1"/>
        </w:rPr>
        <w:t>spending all contributed to robust GDP growth in the 2</w:t>
      </w:r>
      <w:r w:rsidR="003F604C" w:rsidRPr="00562033">
        <w:rPr>
          <w:color w:val="000000" w:themeColor="text1"/>
          <w:vertAlign w:val="superscript"/>
        </w:rPr>
        <w:t>nd</w:t>
      </w:r>
      <w:r w:rsidR="003F604C" w:rsidRPr="00562033">
        <w:rPr>
          <w:color w:val="000000" w:themeColor="text1"/>
        </w:rPr>
        <w:t xml:space="preserve"> quarter.</w:t>
      </w:r>
    </w:p>
    <w:p w14:paraId="75D98C4F" w14:textId="3F02D9F7" w:rsidR="00562033" w:rsidRPr="00562033" w:rsidRDefault="00562033" w:rsidP="003F604C">
      <w:pPr>
        <w:rPr>
          <w:color w:val="000000" w:themeColor="text1"/>
        </w:rPr>
      </w:pPr>
      <w:r>
        <w:rPr>
          <w:color w:val="000000" w:themeColor="text1"/>
        </w:rPr>
        <w:t>Inflation continued to moderate at a glacial pace, due in part to lower gasoline prices. Soft demand for fuels also held crude oil prices lower in the 2</w:t>
      </w:r>
      <w:r w:rsidRPr="0056203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quarter of 2024.</w:t>
      </w:r>
    </w:p>
    <w:p w14:paraId="44B31BD7" w14:textId="1C192A23" w:rsidR="003F604C" w:rsidRPr="00562033" w:rsidRDefault="003F604C" w:rsidP="003F604C">
      <w:r w:rsidRPr="00562033">
        <w:rPr>
          <w:color w:val="000000" w:themeColor="text1"/>
        </w:rPr>
        <w:t>A frequent bright spot for the economy in recent years, the job market dimmed slightly in the 2</w:t>
      </w:r>
      <w:r w:rsidRPr="00562033">
        <w:rPr>
          <w:color w:val="000000" w:themeColor="text1"/>
          <w:vertAlign w:val="superscript"/>
        </w:rPr>
        <w:t>nd</w:t>
      </w:r>
      <w:r w:rsidRPr="00562033">
        <w:rPr>
          <w:color w:val="000000" w:themeColor="text1"/>
        </w:rPr>
        <w:t xml:space="preserve"> quarter</w:t>
      </w:r>
      <w:r w:rsidR="00562033">
        <w:rPr>
          <w:color w:val="000000" w:themeColor="text1"/>
        </w:rPr>
        <w:t xml:space="preserve"> of 2024</w:t>
      </w:r>
      <w:r w:rsidRPr="00562033">
        <w:rPr>
          <w:color w:val="000000" w:themeColor="text1"/>
        </w:rPr>
        <w:t xml:space="preserve">, with unemployment rising, labor force participation inching down, and </w:t>
      </w:r>
      <w:r w:rsidR="00562033" w:rsidRPr="00562033">
        <w:rPr>
          <w:color w:val="000000" w:themeColor="text1"/>
        </w:rPr>
        <w:t>uneven</w:t>
      </w:r>
      <w:r w:rsidRPr="00562033">
        <w:rPr>
          <w:color w:val="000000" w:themeColor="text1"/>
        </w:rPr>
        <w:t xml:space="preserve"> </w:t>
      </w:r>
      <w:r w:rsidR="00562033" w:rsidRPr="00562033">
        <w:rPr>
          <w:color w:val="000000" w:themeColor="text1"/>
        </w:rPr>
        <w:t>nonfarm employment growth</w:t>
      </w:r>
      <w:r w:rsidRPr="00562033">
        <w:rPr>
          <w:color w:val="000000" w:themeColor="text1"/>
        </w:rPr>
        <w:t xml:space="preserve">. </w:t>
      </w:r>
      <w:r w:rsidR="00562033" w:rsidRPr="00562033">
        <w:rPr>
          <w:color w:val="000000" w:themeColor="text1"/>
        </w:rPr>
        <w:t xml:space="preserve">Still, the labor market remains well within the bounds of full employment. </w:t>
      </w:r>
      <w:r w:rsidRPr="00562033">
        <w:t>Capital markets posted a</w:t>
      </w:r>
      <w:r w:rsidR="00562033" w:rsidRPr="00562033">
        <w:t xml:space="preserve"> mixed 2</w:t>
      </w:r>
      <w:r w:rsidR="00562033" w:rsidRPr="00562033">
        <w:rPr>
          <w:vertAlign w:val="superscript"/>
        </w:rPr>
        <w:t>nd</w:t>
      </w:r>
      <w:r w:rsidR="00562033" w:rsidRPr="00562033">
        <w:t xml:space="preserve"> </w:t>
      </w:r>
      <w:r w:rsidRPr="00562033">
        <w:t xml:space="preserve">quarter despite the continued </w:t>
      </w:r>
      <w:r w:rsidR="00562033" w:rsidRPr="00562033">
        <w:t>tailwind in the tech sector provided by emerging AI tools</w:t>
      </w:r>
      <w:r w:rsidRPr="00562033">
        <w:t xml:space="preserve">. </w:t>
      </w:r>
    </w:p>
    <w:p w14:paraId="70E9BC00" w14:textId="514C7C41" w:rsidR="003F604C" w:rsidRPr="007E3AB8" w:rsidRDefault="003F604C" w:rsidP="003F604C">
      <w:pPr>
        <w:rPr>
          <w:highlight w:val="yellow"/>
        </w:rPr>
      </w:pPr>
      <w:r w:rsidRPr="00562033">
        <w:t xml:space="preserve">Housing market data </w:t>
      </w:r>
      <w:r w:rsidR="00710F19">
        <w:t>indicated some softening. As</w:t>
      </w:r>
      <w:r w:rsidR="00562033" w:rsidRPr="00562033">
        <w:t xml:space="preserve"> sales continu</w:t>
      </w:r>
      <w:r w:rsidR="00710F19">
        <w:t>ed to be</w:t>
      </w:r>
      <w:r w:rsidR="00562033" w:rsidRPr="00562033">
        <w:t xml:space="preserve"> </w:t>
      </w:r>
      <w:r w:rsidRPr="00562033">
        <w:t>constrained by elevated interest rates</w:t>
      </w:r>
      <w:r w:rsidR="00710F19" w:rsidRPr="007564AA">
        <w:t>, u</w:t>
      </w:r>
      <w:r w:rsidR="00562033" w:rsidRPr="007564AA">
        <w:t>nsold housing inventory rose in the 2</w:t>
      </w:r>
      <w:r w:rsidR="00562033" w:rsidRPr="007564AA">
        <w:rPr>
          <w:vertAlign w:val="superscript"/>
        </w:rPr>
        <w:t>nd</w:t>
      </w:r>
      <w:r w:rsidR="00562033" w:rsidRPr="007564AA">
        <w:t xml:space="preserve"> quarter of 2024</w:t>
      </w:r>
      <w:r w:rsidR="00710F19" w:rsidRPr="007564AA">
        <w:t>. P</w:t>
      </w:r>
      <w:r w:rsidRPr="007564AA">
        <w:t xml:space="preserve">rices in major cities </w:t>
      </w:r>
      <w:r w:rsidR="007564AA" w:rsidRPr="007564AA">
        <w:t>continued to rise</w:t>
      </w:r>
      <w:r w:rsidRPr="007564AA">
        <w:t>.</w:t>
      </w:r>
    </w:p>
    <w:p w14:paraId="1904133D" w14:textId="79890C6E" w:rsidR="00DB7F4B" w:rsidRPr="000D1815" w:rsidRDefault="0021341A" w:rsidP="00B73CC4">
      <w:r w:rsidRPr="00562033">
        <w:t>FOMC members</w:t>
      </w:r>
      <w:r w:rsidR="00D12F4C" w:rsidRPr="00562033">
        <w:t>’</w:t>
      </w:r>
      <w:r w:rsidR="008E4B08" w:rsidRPr="00562033">
        <w:t xml:space="preserve"> </w:t>
      </w:r>
      <w:r w:rsidR="00D12F4C" w:rsidRPr="00562033">
        <w:t xml:space="preserve">projections of </w:t>
      </w:r>
      <w:r w:rsidR="008E4B08" w:rsidRPr="00562033">
        <w:t xml:space="preserve">domestic production and </w:t>
      </w:r>
      <w:r w:rsidR="00562033" w:rsidRPr="00562033">
        <w:t xml:space="preserve">inflation reflected the data, </w:t>
      </w:r>
      <w:proofErr w:type="spellStart"/>
      <w:r w:rsidR="00562033" w:rsidRPr="00562033">
        <w:t>wih</w:t>
      </w:r>
      <w:proofErr w:type="spellEnd"/>
      <w:r w:rsidR="00562033" w:rsidRPr="00562033">
        <w:t xml:space="preserve"> both revised upward in the near term. U</w:t>
      </w:r>
      <w:r w:rsidR="008E4B08" w:rsidRPr="00562033">
        <w:t xml:space="preserve">nemployment </w:t>
      </w:r>
      <w:r w:rsidR="00562033" w:rsidRPr="00562033">
        <w:t>expectations changed little, as did pr</w:t>
      </w:r>
      <w:r w:rsidR="008E4B08" w:rsidRPr="00562033">
        <w:t xml:space="preserve">ojections of longer-term </w:t>
      </w:r>
      <w:r w:rsidR="00D12F4C" w:rsidRPr="00562033">
        <w:t xml:space="preserve">economic performance </w:t>
      </w:r>
      <w:r w:rsidR="00562033" w:rsidRPr="00562033">
        <w:t>across all three measures</w:t>
      </w:r>
      <w:r w:rsidR="006F7760" w:rsidRPr="00562033">
        <w:t>.</w:t>
      </w:r>
    </w:p>
    <w:p w14:paraId="380DE2B2" w14:textId="3FD42E9C" w:rsidR="00F03302" w:rsidRPr="00B76A73" w:rsidRDefault="00B36811" w:rsidP="001E26E8">
      <w:pPr>
        <w:spacing w:before="160"/>
        <w:rPr>
          <w:strike/>
        </w:rPr>
      </w:pPr>
      <w:r w:rsidRPr="00B76A73">
        <w:t>A multifactor indicator of economic strength, the</w:t>
      </w:r>
      <w:r w:rsidR="00A615E8" w:rsidRPr="00B76A73">
        <w:t xml:space="preserve"> Philadelphia Fed’s coincident index</w:t>
      </w:r>
      <w:r w:rsidR="00EC7CB1" w:rsidRPr="00B76A73">
        <w:rPr>
          <w:rStyle w:val="FootnoteReference"/>
        </w:rPr>
        <w:footnoteReference w:id="1"/>
      </w:r>
      <w:r w:rsidR="00A615E8" w:rsidRPr="00B76A73">
        <w:t xml:space="preserve"> of economic activity in the U.S. </w:t>
      </w:r>
      <w:r w:rsidR="003A390C" w:rsidRPr="00B76A73">
        <w:t xml:space="preserve">rose </w:t>
      </w:r>
      <w:r w:rsidR="00795ECE" w:rsidRPr="00B76A73">
        <w:t>0.</w:t>
      </w:r>
      <w:r w:rsidR="007E3AB8">
        <w:t>2</w:t>
      </w:r>
      <w:r w:rsidR="003A390C" w:rsidRPr="00B76A73">
        <w:t xml:space="preserve">% in </w:t>
      </w:r>
      <w:r w:rsidR="007E3AB8">
        <w:t>June</w:t>
      </w:r>
      <w:r w:rsidR="00764EB1">
        <w:t xml:space="preserve"> 2024</w:t>
      </w:r>
      <w:r w:rsidR="00795ECE" w:rsidRPr="00B76A73">
        <w:t xml:space="preserve"> </w:t>
      </w:r>
      <w:r w:rsidR="00C10F0A" w:rsidRPr="00B76A73">
        <w:t xml:space="preserve">and </w:t>
      </w:r>
      <w:r w:rsidR="003F24A9">
        <w:t>0.</w:t>
      </w:r>
      <w:r w:rsidR="007E3AB8">
        <w:t>6</w:t>
      </w:r>
      <w:r w:rsidR="00C10F0A" w:rsidRPr="00B76A73">
        <w:t xml:space="preserve">% </w:t>
      </w:r>
      <w:r w:rsidR="00EC7CB1" w:rsidRPr="00B76A73">
        <w:t>during</w:t>
      </w:r>
      <w:r w:rsidR="00A615E8" w:rsidRPr="00B76A73">
        <w:t xml:space="preserve"> the </w:t>
      </w:r>
      <w:r w:rsidR="007E3AB8">
        <w:t>2</w:t>
      </w:r>
      <w:r w:rsidR="007E3AB8" w:rsidRPr="007E3AB8">
        <w:rPr>
          <w:vertAlign w:val="superscript"/>
        </w:rPr>
        <w:t>nd</w:t>
      </w:r>
      <w:r w:rsidR="007E3AB8">
        <w:t xml:space="preserve"> </w:t>
      </w:r>
      <w:r w:rsidR="00A615E8" w:rsidRPr="00B76A73">
        <w:t>quarter</w:t>
      </w:r>
      <w:r w:rsidR="00AF420E" w:rsidRPr="00B76A73">
        <w:t xml:space="preserve">. </w:t>
      </w:r>
      <w:r w:rsidR="00EC7CB1" w:rsidRPr="00B76A73">
        <w:t>For the quarter</w:t>
      </w:r>
      <w:r w:rsidR="00A615E8" w:rsidRPr="00B76A73">
        <w:t xml:space="preserve">, coincident indexes </w:t>
      </w:r>
      <w:r w:rsidR="003F24A9" w:rsidRPr="003F24A9">
        <w:t xml:space="preserve">increased in </w:t>
      </w:r>
      <w:r w:rsidR="00DD024A">
        <w:t>39</w:t>
      </w:r>
      <w:r w:rsidR="003F24A9" w:rsidRPr="003F24A9">
        <w:t xml:space="preserve"> states</w:t>
      </w:r>
      <w:r w:rsidR="007E21C0">
        <w:t xml:space="preserve">, decreased in </w:t>
      </w:r>
      <w:r w:rsidR="007E3AB8">
        <w:t>8</w:t>
      </w:r>
      <w:r w:rsidR="007E21C0">
        <w:t xml:space="preserve"> states, and remained </w:t>
      </w:r>
      <w:r w:rsidR="00DE4A5F">
        <w:t>unchanged</w:t>
      </w:r>
      <w:r w:rsidR="003F24A9" w:rsidRPr="003F24A9">
        <w:t xml:space="preserve"> in </w:t>
      </w:r>
      <w:r w:rsidR="00DD024A">
        <w:t>3</w:t>
      </w:r>
      <w:r w:rsidR="007E3AB8">
        <w:t xml:space="preserve"> states</w:t>
      </w:r>
      <w:r w:rsidR="00A615E8" w:rsidRPr="00B76A73">
        <w:t xml:space="preserve">. Coincident indexes reflect </w:t>
      </w:r>
      <w:r w:rsidR="00714B74" w:rsidRPr="00B76A73">
        <w:t>unemployment, payroll employment, manufacturing hours, and wages and salaries</w:t>
      </w:r>
      <w:r w:rsidR="00A14CD4" w:rsidRPr="00B76A73">
        <w:t>.</w:t>
      </w:r>
    </w:p>
    <w:p w14:paraId="7739DC43" w14:textId="57A33CB2" w:rsidR="00A96A6A" w:rsidRPr="00B76A73" w:rsidRDefault="0027585A" w:rsidP="006D4E8F">
      <w:pPr>
        <w:jc w:val="center"/>
      </w:pPr>
      <w:r w:rsidRPr="00B76A73">
        <w:rPr>
          <w:noProof/>
        </w:rPr>
        <w:lastRenderedPageBreak/>
        <w:t xml:space="preserve"> </w:t>
      </w:r>
      <w:r w:rsidR="002257C5" w:rsidRPr="002257C5">
        <w:drawing>
          <wp:inline distT="0" distB="0" distL="0" distR="0" wp14:anchorId="4EB0AD63" wp14:editId="15944FFA">
            <wp:extent cx="5943600" cy="3301365"/>
            <wp:effectExtent l="0" t="0" r="0" b="0"/>
            <wp:docPr id="143993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CFF26" w14:textId="2C665F28" w:rsidR="003477B7" w:rsidRPr="00B76A73" w:rsidRDefault="00CA4851" w:rsidP="008C0F54">
      <w:pPr>
        <w:spacing w:before="160"/>
      </w:pPr>
      <w:r w:rsidRPr="00B76A73">
        <w:t>T</w:t>
      </w:r>
      <w:r w:rsidR="009E4D8D" w:rsidRPr="00B76A73">
        <w:t>he U.S. dollar index</w:t>
      </w:r>
      <w:r w:rsidR="00DA3959" w:rsidRPr="00B76A73">
        <w:t xml:space="preserve"> for goods and services</w:t>
      </w:r>
      <w:r w:rsidR="00053E46" w:rsidRPr="00B76A73">
        <w:rPr>
          <w:rStyle w:val="FootnoteReference"/>
        </w:rPr>
        <w:footnoteReference w:id="2"/>
      </w:r>
      <w:r w:rsidR="009E4D8D" w:rsidRPr="00B76A73">
        <w:t xml:space="preserve"> </w:t>
      </w:r>
      <w:r w:rsidR="00BB6A8D">
        <w:t>rose</w:t>
      </w:r>
      <w:r w:rsidR="003218DD">
        <w:t xml:space="preserve"> </w:t>
      </w:r>
      <w:r w:rsidR="00DC5224">
        <w:t>2.6</w:t>
      </w:r>
      <w:r w:rsidR="004903C9" w:rsidRPr="00B76A73">
        <w:t>%</w:t>
      </w:r>
      <w:r w:rsidR="00442565" w:rsidRPr="00B76A73">
        <w:t xml:space="preserve"> during</w:t>
      </w:r>
      <w:r w:rsidR="00DA3959" w:rsidRPr="00B76A73">
        <w:t xml:space="preserve"> the </w:t>
      </w:r>
      <w:r w:rsidR="007E3AB8">
        <w:t>2</w:t>
      </w:r>
      <w:r w:rsidR="007E3AB8" w:rsidRPr="007E3AB8">
        <w:rPr>
          <w:vertAlign w:val="superscript"/>
        </w:rPr>
        <w:t>nd</w:t>
      </w:r>
      <w:r w:rsidR="007E3AB8">
        <w:t xml:space="preserve"> </w:t>
      </w:r>
      <w:r w:rsidR="00BF6BF5" w:rsidRPr="00B76A73">
        <w:t>quarter of 202</w:t>
      </w:r>
      <w:r w:rsidR="00764EB1">
        <w:t>4</w:t>
      </w:r>
      <w:r w:rsidR="007A0A8A">
        <w:t xml:space="preserve">. The dollar </w:t>
      </w:r>
      <w:r w:rsidR="00764EB1">
        <w:t>was</w:t>
      </w:r>
      <w:r w:rsidR="007A0A8A">
        <w:t xml:space="preserve"> </w:t>
      </w:r>
      <w:r w:rsidR="00BB6A8D">
        <w:t>up</w:t>
      </w:r>
      <w:r w:rsidR="007A0A8A">
        <w:t xml:space="preserve"> </w:t>
      </w:r>
      <w:r w:rsidR="00645899">
        <w:t>4.1</w:t>
      </w:r>
      <w:r w:rsidR="00BC5394">
        <w:t xml:space="preserve">% </w:t>
      </w:r>
      <w:r w:rsidR="007A0A8A">
        <w:t>from the prior year</w:t>
      </w:r>
      <w:r w:rsidR="008A7EAB">
        <w:t>, primarily reflecting the Fed’s cautious approach to easing hawkish policy</w:t>
      </w:r>
      <w:r w:rsidR="00C71C02">
        <w:t>.</w:t>
      </w:r>
    </w:p>
    <w:p w14:paraId="5FD9C9E3" w14:textId="1469507D" w:rsidR="004D1C9D" w:rsidRPr="00B76A73" w:rsidRDefault="002257C5" w:rsidP="006D4E8F">
      <w:pPr>
        <w:jc w:val="center"/>
      </w:pPr>
      <w:r>
        <w:rPr>
          <w:noProof/>
        </w:rPr>
        <w:drawing>
          <wp:inline distT="0" distB="0" distL="0" distR="0" wp14:anchorId="0C527630" wp14:editId="103D22B6">
            <wp:extent cx="4097020" cy="2639695"/>
            <wp:effectExtent l="0" t="0" r="0" b="8255"/>
            <wp:docPr id="3742773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EF9" w14:textId="37EC9C8E" w:rsidR="002731EF" w:rsidRPr="00B76A73" w:rsidRDefault="001058D4" w:rsidP="001475FF">
      <w:pPr>
        <w:pStyle w:val="Heading1"/>
      </w:pPr>
      <w:r w:rsidRPr="00B76A73">
        <w:lastRenderedPageBreak/>
        <w:t>Q</w:t>
      </w:r>
      <w:r w:rsidR="007564AA">
        <w:t>2</w:t>
      </w:r>
      <w:r w:rsidRPr="00B76A73">
        <w:t xml:space="preserve"> </w:t>
      </w:r>
      <w:r w:rsidR="002731EF" w:rsidRPr="00B76A73">
        <w:t>Economic Highlights</w:t>
      </w:r>
    </w:p>
    <w:p w14:paraId="7FCBE057" w14:textId="027EA601" w:rsidR="00540D2B" w:rsidRPr="003F37CF" w:rsidRDefault="00540D2B" w:rsidP="00E528F7">
      <w:pPr>
        <w:pStyle w:val="ListParagraph"/>
        <w:numPr>
          <w:ilvl w:val="0"/>
          <w:numId w:val="3"/>
        </w:numPr>
      </w:pPr>
      <w:r w:rsidRPr="00B76A73">
        <w:t xml:space="preserve">The </w:t>
      </w:r>
      <w:r w:rsidRPr="00217D2A">
        <w:t xml:space="preserve">Philadelphia Fed’s coincident index of economic activity in the U.S. </w:t>
      </w:r>
      <w:r w:rsidR="00355105" w:rsidRPr="00B76A73">
        <w:t>rose 0</w:t>
      </w:r>
      <w:r w:rsidR="008A7EAB" w:rsidRPr="00B76A73">
        <w:t>.</w:t>
      </w:r>
      <w:r w:rsidR="008A7EAB">
        <w:t>2</w:t>
      </w:r>
      <w:r w:rsidR="008A7EAB" w:rsidRPr="00B76A73">
        <w:t xml:space="preserve">% in </w:t>
      </w:r>
      <w:r w:rsidR="008A7EAB">
        <w:t>June 2024</w:t>
      </w:r>
      <w:r w:rsidR="008A7EAB" w:rsidRPr="00B76A73">
        <w:t xml:space="preserve"> and </w:t>
      </w:r>
      <w:r w:rsidR="008A7EAB">
        <w:t>0.6</w:t>
      </w:r>
      <w:r w:rsidR="008A7EAB" w:rsidRPr="00B76A73">
        <w:t xml:space="preserve">% during the </w:t>
      </w:r>
      <w:r w:rsidR="008A7EAB">
        <w:t>2</w:t>
      </w:r>
      <w:r w:rsidR="008A7EAB" w:rsidRPr="007E3AB8">
        <w:rPr>
          <w:vertAlign w:val="superscript"/>
        </w:rPr>
        <w:t>nd</w:t>
      </w:r>
      <w:r w:rsidR="008A7EAB">
        <w:t xml:space="preserve"> </w:t>
      </w:r>
      <w:r w:rsidR="008A7EAB" w:rsidRPr="00B76A73">
        <w:t>quarter</w:t>
      </w:r>
      <w:r w:rsidRPr="003F37CF">
        <w:t>.</w:t>
      </w:r>
    </w:p>
    <w:p w14:paraId="1CF55C2B" w14:textId="6ABEBA3F" w:rsidR="0069186C" w:rsidRPr="003F37CF" w:rsidRDefault="0069186C" w:rsidP="0069186C">
      <w:pPr>
        <w:pStyle w:val="ListParagraph"/>
        <w:numPr>
          <w:ilvl w:val="0"/>
          <w:numId w:val="3"/>
        </w:numPr>
      </w:pPr>
      <w:r w:rsidRPr="003F37CF">
        <w:t xml:space="preserve">The U.S. dollar index </w:t>
      </w:r>
      <w:r w:rsidR="00355105">
        <w:t xml:space="preserve">rose </w:t>
      </w:r>
      <w:r w:rsidR="00DC5224">
        <w:t>2</w:t>
      </w:r>
      <w:r w:rsidR="008A7EAB">
        <w:t>.</w:t>
      </w:r>
      <w:r w:rsidR="00DC5224">
        <w:t>6</w:t>
      </w:r>
      <w:r w:rsidR="008A7EAB" w:rsidRPr="00B76A73">
        <w:t xml:space="preserve">% during the </w:t>
      </w:r>
      <w:r w:rsidR="008A7EAB">
        <w:t>2</w:t>
      </w:r>
      <w:r w:rsidR="008A7EAB" w:rsidRPr="007E3AB8">
        <w:rPr>
          <w:vertAlign w:val="superscript"/>
        </w:rPr>
        <w:t>nd</w:t>
      </w:r>
      <w:r w:rsidR="008A7EAB">
        <w:t xml:space="preserve"> </w:t>
      </w:r>
      <w:r w:rsidR="008A7EAB" w:rsidRPr="00B76A73">
        <w:t>quarter of</w:t>
      </w:r>
      <w:r w:rsidR="008A7EAB">
        <w:t xml:space="preserve"> 2024 and was up </w:t>
      </w:r>
      <w:r w:rsidR="00645899">
        <w:t>4.1</w:t>
      </w:r>
      <w:r w:rsidR="008A7EAB">
        <w:t>% from the prior year</w:t>
      </w:r>
      <w:r w:rsidRPr="003F37CF">
        <w:t>.</w:t>
      </w:r>
    </w:p>
    <w:p w14:paraId="149D5EFA" w14:textId="73E97F67" w:rsidR="002608F3" w:rsidRPr="003F37CF" w:rsidRDefault="006C2DAB" w:rsidP="00E528F7">
      <w:pPr>
        <w:pStyle w:val="ListParagraph"/>
        <w:numPr>
          <w:ilvl w:val="0"/>
          <w:numId w:val="3"/>
        </w:numPr>
      </w:pPr>
      <w:r w:rsidRPr="003F37CF">
        <w:t xml:space="preserve">Real GDP </w:t>
      </w:r>
      <w:r w:rsidR="005E475B">
        <w:t>grew</w:t>
      </w:r>
      <w:r w:rsidR="005E475B" w:rsidRPr="00B76A73">
        <w:t xml:space="preserve"> at an </w:t>
      </w:r>
      <w:r w:rsidR="006C1965" w:rsidRPr="00B76A73">
        <w:t xml:space="preserve">annualized rate of </w:t>
      </w:r>
      <w:r w:rsidR="006C1965">
        <w:t>2.8</w:t>
      </w:r>
      <w:r w:rsidR="006C1965" w:rsidRPr="00B76A73">
        <w:t>%</w:t>
      </w:r>
      <w:r w:rsidR="006C1965">
        <w:t xml:space="preserve"> during the 2</w:t>
      </w:r>
      <w:r w:rsidR="006C1965" w:rsidRPr="008A7EAB">
        <w:rPr>
          <w:vertAlign w:val="superscript"/>
        </w:rPr>
        <w:t>nd</w:t>
      </w:r>
      <w:r w:rsidR="006C1965">
        <w:t xml:space="preserve"> quarter of 2024</w:t>
      </w:r>
      <w:r w:rsidR="00D93A8B" w:rsidRPr="003F37CF">
        <w:t>.</w:t>
      </w:r>
    </w:p>
    <w:p w14:paraId="149D5EFD" w14:textId="736390A7" w:rsidR="0076717F" w:rsidRPr="003F37CF" w:rsidRDefault="00591A62" w:rsidP="00E528F7">
      <w:pPr>
        <w:pStyle w:val="ListParagraph"/>
        <w:numPr>
          <w:ilvl w:val="0"/>
          <w:numId w:val="3"/>
        </w:numPr>
      </w:pPr>
      <w:r w:rsidRPr="003F37CF">
        <w:t xml:space="preserve">The effective federal funds rate </w:t>
      </w:r>
      <w:r w:rsidR="005E475B">
        <w:t>was unchanged at</w:t>
      </w:r>
      <w:r w:rsidR="005E475B" w:rsidRPr="00B76A73">
        <w:t xml:space="preserve"> </w:t>
      </w:r>
      <w:r w:rsidR="005E475B">
        <w:t>5.33</w:t>
      </w:r>
      <w:r w:rsidR="005E475B" w:rsidRPr="00B76A73">
        <w:t xml:space="preserve">% during the </w:t>
      </w:r>
      <w:r w:rsidR="006C1965">
        <w:t>2</w:t>
      </w:r>
      <w:r w:rsidR="006C1965" w:rsidRPr="006C1965">
        <w:rPr>
          <w:vertAlign w:val="superscript"/>
        </w:rPr>
        <w:t>nd</w:t>
      </w:r>
      <w:r w:rsidR="006C1965">
        <w:t xml:space="preserve"> </w:t>
      </w:r>
      <w:r w:rsidR="005E475B" w:rsidRPr="00B76A73">
        <w:t xml:space="preserve">quarter, </w:t>
      </w:r>
      <w:r w:rsidR="005E475B">
        <w:t>holding at the 23-year high reached in the 3</w:t>
      </w:r>
      <w:r w:rsidR="005E475B" w:rsidRPr="00294C2F">
        <w:rPr>
          <w:vertAlign w:val="superscript"/>
        </w:rPr>
        <w:t>rd</w:t>
      </w:r>
      <w:r w:rsidR="005E475B">
        <w:t xml:space="preserve"> quarter of 2023</w:t>
      </w:r>
      <w:r w:rsidR="00D93A8B" w:rsidRPr="003F37CF">
        <w:t xml:space="preserve">. </w:t>
      </w:r>
    </w:p>
    <w:p w14:paraId="6AA929FC" w14:textId="43A76196" w:rsidR="00591A62" w:rsidRPr="003F37CF" w:rsidRDefault="001C1454" w:rsidP="0069122E">
      <w:pPr>
        <w:pStyle w:val="ListParagraph"/>
        <w:numPr>
          <w:ilvl w:val="0"/>
          <w:numId w:val="3"/>
        </w:numPr>
      </w:pPr>
      <w:r w:rsidRPr="003F37CF">
        <w:t xml:space="preserve">The 1-year and 2-year annual treasury yields </w:t>
      </w:r>
      <w:r w:rsidR="006C1965" w:rsidRPr="00B76A73">
        <w:t xml:space="preserve">ended the </w:t>
      </w:r>
      <w:r w:rsidR="006C1965">
        <w:t>2</w:t>
      </w:r>
      <w:r w:rsidR="006C1965" w:rsidRPr="005B34DB">
        <w:rPr>
          <w:vertAlign w:val="superscript"/>
        </w:rPr>
        <w:t>nd</w:t>
      </w:r>
      <w:r w:rsidR="006C1965">
        <w:t xml:space="preserve"> </w:t>
      </w:r>
      <w:r w:rsidR="006C1965" w:rsidRPr="00B76A73">
        <w:t xml:space="preserve">quarter at </w:t>
      </w:r>
      <w:r w:rsidR="006C1965">
        <w:t>5.09</w:t>
      </w:r>
      <w:r w:rsidR="006C1965" w:rsidRPr="00B76A73">
        <w:t xml:space="preserve">% and </w:t>
      </w:r>
      <w:r w:rsidR="006C1965">
        <w:t>4.71</w:t>
      </w:r>
      <w:r w:rsidR="006C1965" w:rsidRPr="00B76A73">
        <w:t xml:space="preserve">%, respectively. The benchmark 10-year treasury yielded </w:t>
      </w:r>
      <w:r w:rsidR="006C1965">
        <w:t>4.36</w:t>
      </w:r>
      <w:r w:rsidR="006C1965" w:rsidRPr="00B76A73">
        <w:t xml:space="preserve">% at the end of the quarter, while the 30-year treasury yielded </w:t>
      </w:r>
      <w:r w:rsidR="006C1965">
        <w:t>4.51</w:t>
      </w:r>
      <w:r w:rsidR="006C1965" w:rsidRPr="00B76A73">
        <w:t>%</w:t>
      </w:r>
      <w:r w:rsidR="005E475B" w:rsidRPr="00B76A73">
        <w:rPr>
          <w:color w:val="000000" w:themeColor="text1"/>
        </w:rPr>
        <w:t>.</w:t>
      </w:r>
    </w:p>
    <w:p w14:paraId="2A4826B3" w14:textId="33EADCDC" w:rsidR="0069122E" w:rsidRPr="003F37CF" w:rsidRDefault="00E66555" w:rsidP="0069122E">
      <w:pPr>
        <w:pStyle w:val="ListParagraph"/>
        <w:numPr>
          <w:ilvl w:val="0"/>
          <w:numId w:val="3"/>
        </w:numPr>
      </w:pPr>
      <w:r w:rsidRPr="003F37CF">
        <w:t>The u</w:t>
      </w:r>
      <w:r w:rsidR="0069122E" w:rsidRPr="003F37CF">
        <w:t>nemployment</w:t>
      </w:r>
      <w:r w:rsidRPr="003F37CF">
        <w:t xml:space="preserve"> rate</w:t>
      </w:r>
      <w:r w:rsidR="0069122E" w:rsidRPr="003F37CF">
        <w:t xml:space="preserve"> </w:t>
      </w:r>
      <w:r w:rsidR="005E475B">
        <w:t xml:space="preserve">ended the </w:t>
      </w:r>
      <w:r w:rsidR="006C1965">
        <w:t>2</w:t>
      </w:r>
      <w:r w:rsidR="006C1965" w:rsidRPr="007A3FE0">
        <w:rPr>
          <w:vertAlign w:val="superscript"/>
        </w:rPr>
        <w:t>nd</w:t>
      </w:r>
      <w:r w:rsidR="006C1965">
        <w:t xml:space="preserve"> quarter at</w:t>
      </w:r>
      <w:r w:rsidR="006C1965" w:rsidRPr="00B76A73">
        <w:t xml:space="preserve"> </w:t>
      </w:r>
      <w:r w:rsidR="006C1965">
        <w:t>4.1</w:t>
      </w:r>
      <w:r w:rsidR="006C1965" w:rsidRPr="00B76A73">
        <w:t>%</w:t>
      </w:r>
      <w:r w:rsidR="005E475B" w:rsidRPr="00B76A73">
        <w:t xml:space="preserve">, </w:t>
      </w:r>
      <w:r w:rsidR="005E475B">
        <w:t>up from the prior quarter</w:t>
      </w:r>
      <w:r w:rsidR="006449AC" w:rsidRPr="003F37CF">
        <w:t xml:space="preserve">. </w:t>
      </w:r>
      <w:r w:rsidR="00F051F3" w:rsidRPr="003F37CF">
        <w:t xml:space="preserve">Nonfarm payrolls </w:t>
      </w:r>
      <w:r w:rsidR="006C1965">
        <w:t>grew</w:t>
      </w:r>
      <w:r w:rsidR="006C1965" w:rsidRPr="00B76A73">
        <w:t xml:space="preserve"> by </w:t>
      </w:r>
      <w:r w:rsidR="006C1965">
        <w:t>0.5</w:t>
      </w:r>
      <w:r w:rsidR="006C1965" w:rsidRPr="00B76A73">
        <w:t xml:space="preserve"> million jobs in the </w:t>
      </w:r>
      <w:r w:rsidR="006C1965">
        <w:t>2</w:t>
      </w:r>
      <w:r w:rsidR="006C1965" w:rsidRPr="00BE0B31">
        <w:rPr>
          <w:vertAlign w:val="superscript"/>
        </w:rPr>
        <w:t>nd</w:t>
      </w:r>
      <w:r w:rsidR="006C1965">
        <w:t xml:space="preserve"> </w:t>
      </w:r>
      <w:r w:rsidR="006C1965" w:rsidRPr="00B76A73">
        <w:t>quarter</w:t>
      </w:r>
      <w:r w:rsidR="00CF666C" w:rsidRPr="003F37CF">
        <w:rPr>
          <w:color w:val="000000" w:themeColor="text1"/>
        </w:rPr>
        <w:t>.</w:t>
      </w:r>
      <w:r w:rsidR="00C328EF" w:rsidRPr="003F37CF">
        <w:t xml:space="preserve"> </w:t>
      </w:r>
    </w:p>
    <w:p w14:paraId="149D5EFF" w14:textId="26A16AD2" w:rsidR="003E4ACB" w:rsidRPr="003F37CF" w:rsidRDefault="007A4896" w:rsidP="00E528F7">
      <w:pPr>
        <w:pStyle w:val="ListParagraph"/>
        <w:numPr>
          <w:ilvl w:val="0"/>
          <w:numId w:val="3"/>
        </w:numPr>
      </w:pPr>
      <w:r w:rsidRPr="003F37CF">
        <w:t>The Consumer Price Index</w:t>
      </w:r>
      <w:r w:rsidR="006E4B4F" w:rsidRPr="003F37CF">
        <w:t xml:space="preserve"> </w:t>
      </w:r>
      <w:r w:rsidR="00C8448F" w:rsidRPr="003F37CF">
        <w:t xml:space="preserve">for all items </w:t>
      </w:r>
      <w:r w:rsidR="006C1965">
        <w:t>rose</w:t>
      </w:r>
      <w:r w:rsidR="006C1965" w:rsidRPr="00B76A73">
        <w:t xml:space="preserve"> </w:t>
      </w:r>
      <w:r w:rsidR="006C1965">
        <w:t>3.0</w:t>
      </w:r>
      <w:r w:rsidR="006C1965" w:rsidRPr="00B76A73">
        <w:t xml:space="preserve">% </w:t>
      </w:r>
      <w:r w:rsidR="006C1965">
        <w:t>for the year ended</w:t>
      </w:r>
      <w:r w:rsidR="006C1965" w:rsidRPr="00B76A73">
        <w:t xml:space="preserve"> </w:t>
      </w:r>
      <w:r w:rsidR="006C1965">
        <w:t>June 2024</w:t>
      </w:r>
      <w:r w:rsidR="006449AC" w:rsidRPr="003F37CF">
        <w:t xml:space="preserve">. Excluding volatile energy prices, </w:t>
      </w:r>
      <w:r w:rsidR="005E475B" w:rsidRPr="00B76A73">
        <w:t xml:space="preserve">the annual increase was </w:t>
      </w:r>
      <w:r w:rsidR="005E475B">
        <w:t>3.</w:t>
      </w:r>
      <w:r w:rsidR="006C1965">
        <w:t>1</w:t>
      </w:r>
      <w:r w:rsidR="005E475B">
        <w:t>%</w:t>
      </w:r>
      <w:r w:rsidR="001C1454" w:rsidRPr="003F37CF">
        <w:t>.</w:t>
      </w:r>
    </w:p>
    <w:p w14:paraId="02DFF80C" w14:textId="780339A0" w:rsidR="0069122E" w:rsidRDefault="00D04F3A" w:rsidP="0069122E">
      <w:pPr>
        <w:pStyle w:val="ListParagraph"/>
        <w:numPr>
          <w:ilvl w:val="0"/>
          <w:numId w:val="3"/>
        </w:numPr>
      </w:pPr>
      <w:r w:rsidRPr="003F37CF">
        <w:t xml:space="preserve">Crude </w:t>
      </w:r>
      <w:r w:rsidR="0024113D" w:rsidRPr="003F37CF">
        <w:t xml:space="preserve">oil </w:t>
      </w:r>
      <w:r w:rsidRPr="003F37CF">
        <w:t xml:space="preserve">prices </w:t>
      </w:r>
      <w:r w:rsidR="005E475B" w:rsidRPr="00B76A73">
        <w:t xml:space="preserve">ended the </w:t>
      </w:r>
      <w:r w:rsidR="006C1965">
        <w:t>2</w:t>
      </w:r>
      <w:r w:rsidR="006C1965" w:rsidRPr="006C1965">
        <w:rPr>
          <w:vertAlign w:val="superscript"/>
        </w:rPr>
        <w:t>nd</w:t>
      </w:r>
      <w:r w:rsidR="005E475B">
        <w:t xml:space="preserve"> </w:t>
      </w:r>
      <w:r w:rsidR="005E475B" w:rsidRPr="00B76A73">
        <w:t xml:space="preserve">quarter </w:t>
      </w:r>
      <w:r w:rsidR="005E475B">
        <w:t xml:space="preserve">at </w:t>
      </w:r>
      <w:r w:rsidR="005E475B" w:rsidRPr="00B76A73">
        <w:t>$</w:t>
      </w:r>
      <w:r w:rsidR="006C1965">
        <w:t xml:space="preserve">82.83 </w:t>
      </w:r>
      <w:r w:rsidR="005E475B" w:rsidRPr="00B76A73">
        <w:t>per barrel</w:t>
      </w:r>
      <w:r w:rsidR="005E475B">
        <w:t xml:space="preserve">, </w:t>
      </w:r>
      <w:r w:rsidR="006C1965">
        <w:t>down 1.3</w:t>
      </w:r>
      <w:r w:rsidR="006C1965" w:rsidRPr="00B76A73">
        <w:t xml:space="preserve">% </w:t>
      </w:r>
      <w:r w:rsidR="006C1965">
        <w:t>from</w:t>
      </w:r>
      <w:r w:rsidR="006C1965" w:rsidRPr="00B76A73">
        <w:t xml:space="preserve"> </w:t>
      </w:r>
      <w:r w:rsidR="006C1965">
        <w:t>the prior quarter but up 17.2% year-over-year</w:t>
      </w:r>
      <w:r w:rsidR="0069122E" w:rsidRPr="003F37CF">
        <w:t>.</w:t>
      </w:r>
    </w:p>
    <w:p w14:paraId="2725705A" w14:textId="77777777" w:rsidR="00F977B7" w:rsidRPr="003F37CF" w:rsidRDefault="00F977B7" w:rsidP="0069122E">
      <w:pPr>
        <w:pStyle w:val="ListParagraph"/>
        <w:numPr>
          <w:ilvl w:val="0"/>
          <w:numId w:val="3"/>
        </w:numPr>
      </w:pPr>
    </w:p>
    <w:p w14:paraId="149D5F00" w14:textId="0B610F23" w:rsidR="003E4ACB" w:rsidRPr="003F37CF" w:rsidRDefault="00D04F3A" w:rsidP="00E528F7">
      <w:pPr>
        <w:pStyle w:val="ListParagraph"/>
        <w:numPr>
          <w:ilvl w:val="0"/>
          <w:numId w:val="3"/>
        </w:numPr>
      </w:pPr>
      <w:r w:rsidRPr="003F37CF">
        <w:t xml:space="preserve">New home starts </w:t>
      </w:r>
      <w:r w:rsidR="006C1965">
        <w:t>rose 4.2% during the 2</w:t>
      </w:r>
      <w:r w:rsidR="006C1965" w:rsidRPr="006002CC">
        <w:rPr>
          <w:vertAlign w:val="superscript"/>
        </w:rPr>
        <w:t>nd</w:t>
      </w:r>
      <w:r w:rsidR="006C1965">
        <w:t xml:space="preserve"> quarter</w:t>
      </w:r>
      <w:r w:rsidR="006C1965" w:rsidRPr="00B76A73">
        <w:t xml:space="preserve"> to </w:t>
      </w:r>
      <w:r w:rsidR="006C1965">
        <w:t xml:space="preserve">a level of </w:t>
      </w:r>
      <w:r w:rsidR="006C1965" w:rsidRPr="00B76A73">
        <w:t>1.</w:t>
      </w:r>
      <w:r w:rsidR="006C1965">
        <w:t>35</w:t>
      </w:r>
      <w:r w:rsidR="006C1965" w:rsidRPr="00B76A73">
        <w:t xml:space="preserve"> million in </w:t>
      </w:r>
      <w:r w:rsidR="006C1965">
        <w:t>June</w:t>
      </w:r>
      <w:r w:rsidR="005E475B" w:rsidRPr="00B76A73">
        <w:t xml:space="preserve">. Total new home starts were </w:t>
      </w:r>
      <w:r w:rsidR="006C1965">
        <w:t>down 4.4</w:t>
      </w:r>
      <w:r w:rsidR="006C1965" w:rsidRPr="00B76A73">
        <w:t xml:space="preserve">% </w:t>
      </w:r>
      <w:r w:rsidR="006C1965">
        <w:t>year-over-</w:t>
      </w:r>
      <w:r w:rsidR="006C1965" w:rsidRPr="00B76A73">
        <w:t>year</w:t>
      </w:r>
      <w:r w:rsidR="009839D2" w:rsidRPr="003F37CF">
        <w:t>.</w:t>
      </w:r>
    </w:p>
    <w:p w14:paraId="149D5F03" w14:textId="6E677BB4" w:rsidR="00867D68" w:rsidRPr="00217D2A" w:rsidRDefault="005E475B" w:rsidP="00F94484">
      <w:pPr>
        <w:pStyle w:val="ListParagraph"/>
        <w:numPr>
          <w:ilvl w:val="0"/>
          <w:numId w:val="3"/>
        </w:numPr>
      </w:pPr>
      <w:r>
        <w:rPr>
          <w:noProof/>
        </w:rPr>
        <w:t xml:space="preserve">The </w:t>
      </w:r>
      <w:r w:rsidR="006C1965">
        <w:rPr>
          <w:noProof/>
        </w:rPr>
        <w:t>NASDAQ Composite climbed 8.3%</w:t>
      </w:r>
      <w:r w:rsidR="006C1965" w:rsidRPr="000F147D">
        <w:rPr>
          <w:noProof/>
        </w:rPr>
        <w:t xml:space="preserve"> </w:t>
      </w:r>
      <w:r w:rsidR="006C1965">
        <w:rPr>
          <w:noProof/>
        </w:rPr>
        <w:t>during the 2</w:t>
      </w:r>
      <w:r w:rsidR="006C1965" w:rsidRPr="006C1965">
        <w:rPr>
          <w:noProof/>
          <w:vertAlign w:val="superscript"/>
        </w:rPr>
        <w:t>nd</w:t>
      </w:r>
      <w:r w:rsidR="006C1965">
        <w:rPr>
          <w:noProof/>
        </w:rPr>
        <w:t xml:space="preserve"> quarter. The S&amp;P 500 rose 3.9%, while the Dow Jones Transportation, Composite, and Industrial Averages were down 4.9%, 2.1%, and 1.7%, respectively, during the quarter</w:t>
      </w:r>
      <w:r w:rsidR="00217D2A" w:rsidRPr="00217D2A">
        <w:rPr>
          <w:noProof/>
        </w:rPr>
        <w:t>.</w:t>
      </w:r>
    </w:p>
    <w:p w14:paraId="149D5F04" w14:textId="77777777" w:rsidR="00057711" w:rsidRPr="00B76A73" w:rsidRDefault="00057711" w:rsidP="00057711">
      <w:pPr>
        <w:pStyle w:val="Heading1"/>
      </w:pPr>
      <w:r w:rsidRPr="00B76A73">
        <w:t>Business Activity</w:t>
      </w:r>
    </w:p>
    <w:p w14:paraId="25413EE4" w14:textId="6FF2D9F4" w:rsidR="00A96A6A" w:rsidRPr="00B76A73" w:rsidRDefault="00142F71" w:rsidP="00057711">
      <w:r w:rsidRPr="00B76A73">
        <w:t>R</w:t>
      </w:r>
      <w:r w:rsidR="0080028D" w:rsidRPr="00B76A73">
        <w:t>eal gross domestic product (GDP)</w:t>
      </w:r>
      <w:r w:rsidR="00A8559D" w:rsidRPr="00B76A73">
        <w:rPr>
          <w:rStyle w:val="FootnoteReference"/>
        </w:rPr>
        <w:footnoteReference w:id="3"/>
      </w:r>
      <w:r w:rsidR="0080028D" w:rsidRPr="00B76A73">
        <w:t xml:space="preserve"> </w:t>
      </w:r>
      <w:r w:rsidR="0070151C">
        <w:t>grew</w:t>
      </w:r>
      <w:r w:rsidR="00D34B81" w:rsidRPr="00B76A73">
        <w:t xml:space="preserve"> at an annualized rate of </w:t>
      </w:r>
      <w:r w:rsidR="008A7EAB">
        <w:t>2.8</w:t>
      </w:r>
      <w:r w:rsidR="00D34B81" w:rsidRPr="00B76A73">
        <w:t>%</w:t>
      </w:r>
      <w:r w:rsidR="0070151C">
        <w:t xml:space="preserve"> during the </w:t>
      </w:r>
      <w:r w:rsidR="008A7EAB">
        <w:t>2</w:t>
      </w:r>
      <w:r w:rsidR="008A7EAB" w:rsidRPr="008A7EAB">
        <w:rPr>
          <w:vertAlign w:val="superscript"/>
        </w:rPr>
        <w:t>nd</w:t>
      </w:r>
      <w:r w:rsidR="00355105">
        <w:t xml:space="preserve"> </w:t>
      </w:r>
      <w:r w:rsidR="0070151C">
        <w:t>quarter of 202</w:t>
      </w:r>
      <w:r w:rsidR="00355105">
        <w:t xml:space="preserve">4, </w:t>
      </w:r>
      <w:r w:rsidR="004E5A1B">
        <w:t>climbing more than expected</w:t>
      </w:r>
      <w:r w:rsidR="00355105">
        <w:t xml:space="preserve"> from a </w:t>
      </w:r>
      <w:r w:rsidR="004E5A1B">
        <w:t>1</w:t>
      </w:r>
      <w:r w:rsidR="000F477E">
        <w:t>.4</w:t>
      </w:r>
      <w:r w:rsidR="00D34B81" w:rsidRPr="00B76A73">
        <w:t xml:space="preserve">% </w:t>
      </w:r>
      <w:r w:rsidR="00AD2210">
        <w:t>inc</w:t>
      </w:r>
      <w:r w:rsidR="00D34B81" w:rsidRPr="00B76A73">
        <w:t xml:space="preserve">rease in the </w:t>
      </w:r>
      <w:r w:rsidR="004E5A1B">
        <w:t>1</w:t>
      </w:r>
      <w:r w:rsidR="004E5A1B" w:rsidRPr="004E5A1B">
        <w:rPr>
          <w:vertAlign w:val="superscript"/>
        </w:rPr>
        <w:t>st</w:t>
      </w:r>
      <w:r w:rsidR="0070780D">
        <w:t xml:space="preserve"> </w:t>
      </w:r>
      <w:r w:rsidR="00D34B81" w:rsidRPr="00B76A73">
        <w:t>quarter</w:t>
      </w:r>
      <w:r w:rsidR="000F477E">
        <w:t>.</w:t>
      </w:r>
      <w:r w:rsidR="00FD75F3" w:rsidRPr="00B76A73">
        <w:t xml:space="preserve"> </w:t>
      </w:r>
      <w:r w:rsidR="000F477E">
        <w:t xml:space="preserve">Gains in </w:t>
      </w:r>
      <w:r w:rsidR="004E5A1B" w:rsidRPr="004E5A1B">
        <w:t xml:space="preserve">consumer spending, private inventory investment, and nonresidential fixed investment </w:t>
      </w:r>
      <w:r w:rsidR="000F477E">
        <w:t>were tempered by declining net exports</w:t>
      </w:r>
      <w:r w:rsidR="006D705D" w:rsidRPr="00743651">
        <w:t>.</w:t>
      </w:r>
      <w:r w:rsidR="000F477E">
        <w:t xml:space="preserve"> </w:t>
      </w:r>
      <w:r w:rsidR="004E5A1B">
        <w:t>Government spending also increased in the 2</w:t>
      </w:r>
      <w:r w:rsidR="004E5A1B" w:rsidRPr="004E5A1B">
        <w:rPr>
          <w:vertAlign w:val="superscript"/>
        </w:rPr>
        <w:t>nd</w:t>
      </w:r>
      <w:r w:rsidR="004E5A1B">
        <w:t xml:space="preserve"> quarter. The scale and makeup of the 2</w:t>
      </w:r>
      <w:r w:rsidR="004E5A1B" w:rsidRPr="004E5A1B">
        <w:rPr>
          <w:vertAlign w:val="superscript"/>
        </w:rPr>
        <w:t>nd</w:t>
      </w:r>
      <w:r w:rsidR="00DD024A">
        <w:t xml:space="preserve"> </w:t>
      </w:r>
      <w:r w:rsidR="004E5A1B">
        <w:t xml:space="preserve">quarter GDP growth </w:t>
      </w:r>
      <w:r w:rsidR="007F0F15">
        <w:t>encouraged economists and investors</w:t>
      </w:r>
      <w:r w:rsidR="00EB5841">
        <w:t>.</w:t>
      </w:r>
    </w:p>
    <w:p w14:paraId="7810A9C6" w14:textId="0A5EC3EF" w:rsidR="00A96A6A" w:rsidRPr="00B76A73" w:rsidRDefault="002257C5" w:rsidP="005117CA">
      <w:pPr>
        <w:jc w:val="center"/>
      </w:pPr>
      <w:r>
        <w:rPr>
          <w:noProof/>
        </w:rPr>
        <w:lastRenderedPageBreak/>
        <w:drawing>
          <wp:inline distT="0" distB="0" distL="0" distR="0" wp14:anchorId="42F39D27" wp14:editId="1284C3F8">
            <wp:extent cx="4097020" cy="2633980"/>
            <wp:effectExtent l="0" t="0" r="0" b="0"/>
            <wp:docPr id="3483250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C17CE2" w14:textId="181C3C88" w:rsidR="00C060D2" w:rsidRPr="00B76A73" w:rsidRDefault="00C060D2" w:rsidP="00C060D2">
      <w:r w:rsidRPr="00B76A73">
        <w:t>Personal consumption expenditures</w:t>
      </w:r>
      <w:r w:rsidRPr="00B76A73">
        <w:rPr>
          <w:rStyle w:val="FootnoteReference"/>
        </w:rPr>
        <w:footnoteReference w:id="4"/>
      </w:r>
      <w:r w:rsidRPr="00B76A73">
        <w:t xml:space="preserve"> (PCE) had a positive </w:t>
      </w:r>
      <w:r w:rsidR="00775C7B">
        <w:t>1.</w:t>
      </w:r>
      <w:r w:rsidR="007F0F15">
        <w:t>6</w:t>
      </w:r>
      <w:r w:rsidRPr="00B76A73">
        <w:t>% effect on real GDP</w:t>
      </w:r>
      <w:r w:rsidR="007477D7">
        <w:t xml:space="preserve"> in the </w:t>
      </w:r>
      <w:r w:rsidR="007F0F15">
        <w:t>2</w:t>
      </w:r>
      <w:r w:rsidR="007F0F15" w:rsidRPr="007F0F15">
        <w:rPr>
          <w:vertAlign w:val="superscript"/>
        </w:rPr>
        <w:t>nd</w:t>
      </w:r>
      <w:r w:rsidR="007F0F15">
        <w:t xml:space="preserve"> </w:t>
      </w:r>
      <w:r w:rsidR="007477D7">
        <w:t>quarter</w:t>
      </w:r>
      <w:r w:rsidRPr="00B76A73">
        <w:t xml:space="preserve">. </w:t>
      </w:r>
      <w:r w:rsidR="00F159B0">
        <w:t>A</w:t>
      </w:r>
      <w:r w:rsidR="001D0773">
        <w:t xml:space="preserve"> rise</w:t>
      </w:r>
      <w:r w:rsidRPr="00B76A73">
        <w:t xml:space="preserve"> in </w:t>
      </w:r>
      <w:r w:rsidR="00F159B0">
        <w:t xml:space="preserve">spending on </w:t>
      </w:r>
      <w:r w:rsidR="00DD107B">
        <w:t>services</w:t>
      </w:r>
      <w:r w:rsidR="00F159B0">
        <w:t xml:space="preserve">, </w:t>
      </w:r>
      <w:r w:rsidR="00826D27">
        <w:t>especially for</w:t>
      </w:r>
      <w:r w:rsidR="00F159B0">
        <w:t xml:space="preserve"> </w:t>
      </w:r>
      <w:r w:rsidR="000C69FF" w:rsidRPr="000C69FF">
        <w:t>health care, housing and utilities, and recreation services</w:t>
      </w:r>
      <w:r w:rsidR="00F159B0">
        <w:t xml:space="preserve">, </w:t>
      </w:r>
      <w:r w:rsidR="000C69FF">
        <w:t>led PCE growth</w:t>
      </w:r>
      <w:r w:rsidR="00F159B0">
        <w:t xml:space="preserve">. Spending on </w:t>
      </w:r>
      <w:r w:rsidR="00DD107B">
        <w:t>goods</w:t>
      </w:r>
      <w:r w:rsidR="00826D27">
        <w:t xml:space="preserve"> </w:t>
      </w:r>
      <w:r w:rsidR="000C69FF">
        <w:t>also rose</w:t>
      </w:r>
      <w:r w:rsidR="00DD107B">
        <w:t xml:space="preserve">, </w:t>
      </w:r>
      <w:r w:rsidR="00826D27">
        <w:t xml:space="preserve">led by </w:t>
      </w:r>
      <w:r w:rsidR="000C69FF" w:rsidRPr="000C69FF">
        <w:t>motor vehicles and parts, recreational goods and vehicles, furnishings and durable household equipment, and gasoline and other energy goods</w:t>
      </w:r>
      <w:r w:rsidR="006B44DA">
        <w:t>.</w:t>
      </w:r>
    </w:p>
    <w:p w14:paraId="06B70DF2" w14:textId="28055140" w:rsidR="00826D27" w:rsidRPr="00B76A73" w:rsidRDefault="00826D27" w:rsidP="00826D27">
      <w:r w:rsidRPr="00B76A73">
        <w:t>Gross domestic private investment</w:t>
      </w:r>
      <w:r w:rsidRPr="00B76A73">
        <w:rPr>
          <w:rStyle w:val="FootnoteReference"/>
        </w:rPr>
        <w:footnoteReference w:id="5"/>
      </w:r>
      <w:r w:rsidRPr="00B76A73">
        <w:t xml:space="preserve"> </w:t>
      </w:r>
      <w:r>
        <w:t xml:space="preserve">contributed </w:t>
      </w:r>
      <w:r w:rsidR="007F0F15">
        <w:t>1.5</w:t>
      </w:r>
      <w:r>
        <w:t xml:space="preserve">% to the increase in the </w:t>
      </w:r>
      <w:r w:rsidR="007F0F15">
        <w:t>2</w:t>
      </w:r>
      <w:r w:rsidR="007F0F15" w:rsidRPr="007F0F15">
        <w:rPr>
          <w:vertAlign w:val="superscript"/>
        </w:rPr>
        <w:t>nd</w:t>
      </w:r>
      <w:r w:rsidR="007F0F15">
        <w:t xml:space="preserve"> </w:t>
      </w:r>
      <w:r>
        <w:t xml:space="preserve">quarter real GDP estimate. </w:t>
      </w:r>
      <w:r w:rsidR="00CB2CA5">
        <w:t>Private inventory investment rose, particularly</w:t>
      </w:r>
      <w:r w:rsidR="00CB2CA5" w:rsidRPr="00CB2CA5">
        <w:t xml:space="preserve"> in</w:t>
      </w:r>
      <w:r w:rsidR="00CB2CA5">
        <w:t xml:space="preserve"> the</w:t>
      </w:r>
      <w:r w:rsidR="00CB2CA5" w:rsidRPr="00CB2CA5">
        <w:t xml:space="preserve"> wholesale trade and retail trade industries</w:t>
      </w:r>
      <w:r w:rsidR="00CB2CA5">
        <w:t>. The increase in</w:t>
      </w:r>
      <w:r w:rsidR="000E38BE">
        <w:t xml:space="preserve"> n</w:t>
      </w:r>
      <w:r>
        <w:t>onresidential fixed investment</w:t>
      </w:r>
      <w:r w:rsidR="00CB2CA5">
        <w:t xml:space="preserve"> reflected </w:t>
      </w:r>
      <w:r w:rsidR="00CB2CA5" w:rsidRPr="00CB2CA5">
        <w:t>increases in equipment and intellectual property products</w:t>
      </w:r>
      <w:r w:rsidR="00CB2CA5">
        <w:t xml:space="preserve">, </w:t>
      </w:r>
      <w:r w:rsidR="00CB2CA5" w:rsidRPr="00CB2CA5">
        <w:t>partly offset by a decrease in structure</w:t>
      </w:r>
      <w:r w:rsidR="00CB2CA5">
        <w:t>s</w:t>
      </w:r>
      <w:r w:rsidRPr="00B76A73">
        <w:t xml:space="preserve">. </w:t>
      </w:r>
    </w:p>
    <w:p w14:paraId="65E43CF6" w14:textId="08CB1D14" w:rsidR="00775C7B" w:rsidRPr="00B76A73" w:rsidRDefault="00775C7B" w:rsidP="00775C7B">
      <w:r w:rsidRPr="00B76A73">
        <w:t>Government expenditures</w:t>
      </w:r>
      <w:r w:rsidRPr="00B76A73">
        <w:rPr>
          <w:rStyle w:val="FootnoteReference"/>
        </w:rPr>
        <w:footnoteReference w:id="6"/>
      </w:r>
      <w:r w:rsidRPr="00B76A73">
        <w:t xml:space="preserve"> </w:t>
      </w:r>
      <w:r w:rsidR="00551FA8">
        <w:t xml:space="preserve">also </w:t>
      </w:r>
      <w:r w:rsidR="000E38BE">
        <w:t xml:space="preserve">rose at the state and local level, </w:t>
      </w:r>
      <w:r w:rsidRPr="00B76A73">
        <w:t>contribut</w:t>
      </w:r>
      <w:r w:rsidR="000E38BE">
        <w:t>ing</w:t>
      </w:r>
      <w:r w:rsidRPr="00B76A73">
        <w:t xml:space="preserve"> 0.</w:t>
      </w:r>
      <w:r w:rsidR="007F0F15">
        <w:t>5</w:t>
      </w:r>
      <w:r w:rsidRPr="00B76A73">
        <w:t xml:space="preserve">% to the </w:t>
      </w:r>
      <w:r w:rsidR="007F0F15">
        <w:t>2</w:t>
      </w:r>
      <w:r w:rsidR="007F0F15" w:rsidRPr="007F0F15">
        <w:rPr>
          <w:vertAlign w:val="superscript"/>
        </w:rPr>
        <w:t>nd</w:t>
      </w:r>
      <w:r w:rsidR="007F0F15" w:rsidRPr="00B76A73">
        <w:t xml:space="preserve"> </w:t>
      </w:r>
      <w:r w:rsidRPr="00B76A73">
        <w:t>quarter GDP gain</w:t>
      </w:r>
      <w:r>
        <w:t>.</w:t>
      </w:r>
      <w:r w:rsidRPr="00D40E84">
        <w:t xml:space="preserve"> </w:t>
      </w:r>
      <w:r w:rsidRPr="00B76A73">
        <w:t xml:space="preserve">Higher </w:t>
      </w:r>
      <w:r w:rsidR="00551FA8">
        <w:t xml:space="preserve">government expenditures were led by </w:t>
      </w:r>
      <w:r>
        <w:t xml:space="preserve">state and local </w:t>
      </w:r>
      <w:r w:rsidR="000E38BE">
        <w:t xml:space="preserve">government </w:t>
      </w:r>
      <w:r w:rsidR="00551FA8">
        <w:t>consumption and</w:t>
      </w:r>
      <w:r w:rsidR="00943C68">
        <w:t xml:space="preserve"> national defense </w:t>
      </w:r>
      <w:r w:rsidR="00551FA8">
        <w:t>investment</w:t>
      </w:r>
      <w:r w:rsidRPr="00B76A73">
        <w:t xml:space="preserve">. </w:t>
      </w:r>
    </w:p>
    <w:p w14:paraId="0003A1B5" w14:textId="31B20C45" w:rsidR="00775C7B" w:rsidRPr="00B76A73" w:rsidRDefault="00775C7B" w:rsidP="00775C7B">
      <w:r w:rsidRPr="00B76A73">
        <w:t>Net exports</w:t>
      </w:r>
      <w:r w:rsidRPr="00B76A73">
        <w:rPr>
          <w:rStyle w:val="FootnoteReference"/>
        </w:rPr>
        <w:footnoteReference w:id="7"/>
      </w:r>
      <w:r w:rsidRPr="00B76A73">
        <w:t xml:space="preserve"> </w:t>
      </w:r>
      <w:r>
        <w:t xml:space="preserve">had a </w:t>
      </w:r>
      <w:r w:rsidR="00943C68">
        <w:t>negative</w:t>
      </w:r>
      <w:r>
        <w:t xml:space="preserve"> 0.</w:t>
      </w:r>
      <w:r w:rsidR="007F0F15">
        <w:t>7</w:t>
      </w:r>
      <w:r>
        <w:t xml:space="preserve">% effect on real GDP in the </w:t>
      </w:r>
      <w:r w:rsidR="007F0F15">
        <w:t>2</w:t>
      </w:r>
      <w:r w:rsidR="007F0F15" w:rsidRPr="007F0F15">
        <w:rPr>
          <w:vertAlign w:val="superscript"/>
        </w:rPr>
        <w:t>nd</w:t>
      </w:r>
      <w:r w:rsidR="007F0F15">
        <w:t xml:space="preserve"> </w:t>
      </w:r>
      <w:r>
        <w:t xml:space="preserve">quarter as </w:t>
      </w:r>
      <w:r w:rsidR="00EF6E99">
        <w:t>growth</w:t>
      </w:r>
      <w:r>
        <w:t xml:space="preserve"> of </w:t>
      </w:r>
      <w:r w:rsidR="00943C68">
        <w:t>imports (which have a negative effect on GDP) far</w:t>
      </w:r>
      <w:r>
        <w:t xml:space="preserve"> outpaced </w:t>
      </w:r>
      <w:r w:rsidR="00EF6E99">
        <w:t>that</w:t>
      </w:r>
      <w:r>
        <w:t xml:space="preserve"> of </w:t>
      </w:r>
      <w:r w:rsidR="00943C68">
        <w:t>ex</w:t>
      </w:r>
      <w:r>
        <w:t xml:space="preserve">ports. </w:t>
      </w:r>
      <w:r w:rsidR="00943C68">
        <w:t>I</w:t>
      </w:r>
      <w:r w:rsidR="00EF6E99">
        <w:t xml:space="preserve">mport gains </w:t>
      </w:r>
      <w:r w:rsidR="00551FA8">
        <w:t xml:space="preserve">were </w:t>
      </w:r>
      <w:r w:rsidR="00DD024A">
        <w:t>seen primarily in</w:t>
      </w:r>
      <w:r w:rsidR="00551FA8" w:rsidRPr="00551FA8">
        <w:t xml:space="preserve"> capital goods, excluding automotive</w:t>
      </w:r>
      <w:r>
        <w:t>.</w:t>
      </w:r>
    </w:p>
    <w:p w14:paraId="3014DE71" w14:textId="758943A9" w:rsidR="00B66CB7" w:rsidRPr="00B76A73" w:rsidRDefault="002257C5" w:rsidP="005117CA">
      <w:pPr>
        <w:jc w:val="center"/>
      </w:pPr>
      <w:r>
        <w:rPr>
          <w:noProof/>
        </w:rPr>
        <w:lastRenderedPageBreak/>
        <w:drawing>
          <wp:inline distT="0" distB="0" distL="0" distR="0" wp14:anchorId="578B0C2B" wp14:editId="0AE104FE">
            <wp:extent cx="4224655" cy="3352800"/>
            <wp:effectExtent l="0" t="0" r="4445" b="0"/>
            <wp:docPr id="7558357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DDDC4E" w14:textId="7068A6DE" w:rsidR="00100F15" w:rsidRPr="00AF0EEA" w:rsidRDefault="00100F15" w:rsidP="00100F15">
      <w:pPr>
        <w:rPr>
          <w:b/>
          <w:bCs/>
        </w:rPr>
      </w:pPr>
      <w:r>
        <w:t>Economists polled by the Livingston Survey</w:t>
      </w:r>
      <w:r>
        <w:rPr>
          <w:rStyle w:val="FootnoteReference"/>
        </w:rPr>
        <w:footnoteReference w:id="8"/>
      </w:r>
      <w:r>
        <w:t xml:space="preserve"> in </w:t>
      </w:r>
      <w:r w:rsidR="00551FA8">
        <w:t>June</w:t>
      </w:r>
      <w:r w:rsidR="00600E5F">
        <w:t xml:space="preserve"> 202</w:t>
      </w:r>
      <w:r w:rsidR="005B4719">
        <w:t>4</w:t>
      </w:r>
      <w:r>
        <w:t xml:space="preserve"> projected</w:t>
      </w:r>
      <w:r w:rsidRPr="003412DA">
        <w:t xml:space="preserve"> </w:t>
      </w:r>
      <w:r>
        <w:t xml:space="preserve">real GDP to </w:t>
      </w:r>
      <w:r w:rsidR="00551FA8">
        <w:t>rise</w:t>
      </w:r>
      <w:r w:rsidR="00992D1F">
        <w:t xml:space="preserve"> to</w:t>
      </w:r>
      <w:r>
        <w:t xml:space="preserve"> an annual rate of </w:t>
      </w:r>
      <w:r w:rsidR="00551FA8">
        <w:t>2</w:t>
      </w:r>
      <w:r w:rsidR="00992D1F">
        <w:t>.0</w:t>
      </w:r>
      <w:r w:rsidRPr="003412DA">
        <w:t xml:space="preserve">% in </w:t>
      </w:r>
      <w:r>
        <w:t xml:space="preserve">the </w:t>
      </w:r>
      <w:r w:rsidR="00992D1F">
        <w:t>1</w:t>
      </w:r>
      <w:r w:rsidR="00992D1F" w:rsidRPr="00992D1F">
        <w:rPr>
          <w:vertAlign w:val="superscript"/>
        </w:rPr>
        <w:t>st</w:t>
      </w:r>
      <w:r w:rsidR="00697A66">
        <w:t xml:space="preserve"> </w:t>
      </w:r>
      <w:r>
        <w:t>half of 202</w:t>
      </w:r>
      <w:r w:rsidR="00992D1F">
        <w:t>4</w:t>
      </w:r>
      <w:r w:rsidR="00551FA8">
        <w:t>, moderating to</w:t>
      </w:r>
      <w:r w:rsidR="00015BAD">
        <w:t xml:space="preserve"> </w:t>
      </w:r>
      <w:r w:rsidR="001726E0">
        <w:t>an annual rate of 1.</w:t>
      </w:r>
      <w:r w:rsidR="00551FA8">
        <w:t>7</w:t>
      </w:r>
      <w:r w:rsidR="001726E0">
        <w:t xml:space="preserve">% in the </w:t>
      </w:r>
      <w:r w:rsidR="00015BAD">
        <w:t>2</w:t>
      </w:r>
      <w:r w:rsidR="00015BAD" w:rsidRPr="00015BAD">
        <w:rPr>
          <w:vertAlign w:val="superscript"/>
        </w:rPr>
        <w:t>nd</w:t>
      </w:r>
      <w:r w:rsidR="00015BAD">
        <w:t xml:space="preserve"> </w:t>
      </w:r>
      <w:r w:rsidR="001726E0">
        <w:t>half of 2024</w:t>
      </w:r>
      <w:r w:rsidR="00551FA8">
        <w:t xml:space="preserve"> before rebounding to 2.0% in the 1</w:t>
      </w:r>
      <w:r w:rsidR="00551FA8" w:rsidRPr="00551FA8">
        <w:rPr>
          <w:vertAlign w:val="superscript"/>
        </w:rPr>
        <w:t>st</w:t>
      </w:r>
      <w:r w:rsidR="00551FA8">
        <w:t xml:space="preserve"> half of 2025</w:t>
      </w:r>
      <w:r w:rsidR="001726E0">
        <w:t>.</w:t>
      </w:r>
    </w:p>
    <w:p w14:paraId="31033888" w14:textId="1AF461DA" w:rsidR="004D1C9D" w:rsidRPr="00B76A73" w:rsidRDefault="00D03164" w:rsidP="00174BCD">
      <w:pPr>
        <w:rPr>
          <w:strike/>
        </w:rPr>
      </w:pPr>
      <w:r w:rsidRPr="00B76A73">
        <w:t>The Industrial Production Index</w:t>
      </w:r>
      <w:r w:rsidRPr="00B76A73">
        <w:rPr>
          <w:rStyle w:val="FootnoteReference"/>
        </w:rPr>
        <w:footnoteReference w:id="9"/>
      </w:r>
      <w:r w:rsidRPr="00B76A73">
        <w:t xml:space="preserve"> is an economic indicator that measures real output for all facilities located in the United States manufacturing, mining, and electric, and gas utilities. The index stood at 10</w:t>
      </w:r>
      <w:r w:rsidR="00AF24FD">
        <w:t>4.0</w:t>
      </w:r>
      <w:r w:rsidRPr="00B76A73">
        <w:t xml:space="preserve"> at the end of </w:t>
      </w:r>
      <w:r w:rsidR="006B1EB1" w:rsidRPr="00B76A73">
        <w:t xml:space="preserve">the </w:t>
      </w:r>
      <w:r w:rsidR="00551FA8">
        <w:t>2</w:t>
      </w:r>
      <w:r w:rsidR="00551FA8" w:rsidRPr="00551FA8">
        <w:rPr>
          <w:vertAlign w:val="superscript"/>
        </w:rPr>
        <w:t>nd</w:t>
      </w:r>
      <w:r w:rsidR="00551FA8">
        <w:t xml:space="preserve"> </w:t>
      </w:r>
      <w:r w:rsidR="006B1EB1" w:rsidRPr="00B76A73">
        <w:t>quarter</w:t>
      </w:r>
      <w:r w:rsidRPr="00B76A73">
        <w:t xml:space="preserve">, </w:t>
      </w:r>
      <w:r w:rsidR="00AF24FD">
        <w:t>up 1.6%</w:t>
      </w:r>
      <w:r w:rsidR="00294C2F">
        <w:t xml:space="preserve"> from the </w:t>
      </w:r>
      <w:r w:rsidR="00AF24FD">
        <w:t>2</w:t>
      </w:r>
      <w:r w:rsidR="00AF24FD" w:rsidRPr="00AF24FD">
        <w:rPr>
          <w:vertAlign w:val="superscript"/>
        </w:rPr>
        <w:t>nd</w:t>
      </w:r>
      <w:r w:rsidR="00AF24FD">
        <w:t xml:space="preserve"> </w:t>
      </w:r>
      <w:r w:rsidR="008B3726">
        <w:t>quarter</w:t>
      </w:r>
      <w:r w:rsidRPr="00B76A73">
        <w:t>.</w:t>
      </w:r>
    </w:p>
    <w:p w14:paraId="149D5F1F" w14:textId="2DD3F96C" w:rsidR="00172307" w:rsidRPr="00B76A73" w:rsidRDefault="002257C5" w:rsidP="00BA7A2C">
      <w:pPr>
        <w:jc w:val="center"/>
      </w:pPr>
      <w:r>
        <w:rPr>
          <w:noProof/>
        </w:rPr>
        <w:lastRenderedPageBreak/>
        <w:drawing>
          <wp:inline distT="0" distB="0" distL="0" distR="0" wp14:anchorId="55120276" wp14:editId="700FEBBF">
            <wp:extent cx="3822700" cy="2627630"/>
            <wp:effectExtent l="0" t="0" r="6350" b="1270"/>
            <wp:docPr id="2370161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8C44B" w14:textId="031F43D1" w:rsidR="007A05AD" w:rsidRPr="00B76A73" w:rsidRDefault="007A05AD" w:rsidP="007A05AD">
      <w:r w:rsidRPr="00B76A73">
        <w:t>The Capacity Utilization Index</w:t>
      </w:r>
      <w:r w:rsidRPr="00B76A73">
        <w:rPr>
          <w:rStyle w:val="FootnoteReference"/>
        </w:rPr>
        <w:footnoteReference w:id="10"/>
      </w:r>
      <w:r w:rsidRPr="00B76A73">
        <w:t xml:space="preserve">, which attempts to capture industrial output as a percentage of the economy’s maximum production capacity, </w:t>
      </w:r>
      <w:r w:rsidR="00491F40">
        <w:t>ended</w:t>
      </w:r>
      <w:r w:rsidR="00137248" w:rsidRPr="00B76A73">
        <w:t xml:space="preserve"> the </w:t>
      </w:r>
      <w:r w:rsidR="00AF24FD">
        <w:t>2</w:t>
      </w:r>
      <w:r w:rsidR="00AF24FD" w:rsidRPr="00AF24FD">
        <w:rPr>
          <w:vertAlign w:val="superscript"/>
        </w:rPr>
        <w:t>nd</w:t>
      </w:r>
      <w:r w:rsidR="00AF24FD">
        <w:t xml:space="preserve"> </w:t>
      </w:r>
      <w:r w:rsidR="00137248" w:rsidRPr="00B76A73">
        <w:t>quarter</w:t>
      </w:r>
      <w:r w:rsidR="00953DF2" w:rsidRPr="00B76A73">
        <w:t xml:space="preserve"> of 202</w:t>
      </w:r>
      <w:r w:rsidR="00294C2F">
        <w:t>4</w:t>
      </w:r>
      <w:r w:rsidR="00491F40">
        <w:t xml:space="preserve"> at 7</w:t>
      </w:r>
      <w:r w:rsidR="00160C1F">
        <w:t>7</w:t>
      </w:r>
      <w:r w:rsidR="00A42997">
        <w:t>.</w:t>
      </w:r>
      <w:r w:rsidR="00645899">
        <w:t>8</w:t>
      </w:r>
      <w:r w:rsidR="00491F40" w:rsidRPr="00B76A73">
        <w:t>%</w:t>
      </w:r>
      <w:r w:rsidRPr="00B76A73">
        <w:t xml:space="preserve">. </w:t>
      </w:r>
      <w:r w:rsidR="00AF24FD">
        <w:t>June</w:t>
      </w:r>
      <w:r w:rsidR="00491F40">
        <w:t xml:space="preserve"> 202</w:t>
      </w:r>
      <w:r w:rsidR="00294C2F">
        <w:t>4</w:t>
      </w:r>
      <w:r w:rsidR="00491F40">
        <w:t xml:space="preserve">’s </w:t>
      </w:r>
      <w:r w:rsidR="00273DCA" w:rsidRPr="00B76A73">
        <w:t xml:space="preserve">level was </w:t>
      </w:r>
      <w:r w:rsidR="00F750FA">
        <w:t>above</w:t>
      </w:r>
      <w:r w:rsidR="00E93558">
        <w:t xml:space="preserve"> </w:t>
      </w:r>
      <w:r w:rsidR="00273DCA" w:rsidRPr="00B76A73">
        <w:t>the</w:t>
      </w:r>
      <w:r w:rsidRPr="00B76A73">
        <w:t xml:space="preserve"> </w:t>
      </w:r>
      <w:r w:rsidR="00953DF2" w:rsidRPr="00B76A73">
        <w:t>30-year average</w:t>
      </w:r>
      <w:r w:rsidR="00273DCA" w:rsidRPr="00B76A73">
        <w:t xml:space="preserve"> of 76.</w:t>
      </w:r>
      <w:r w:rsidR="008C6E43">
        <w:t>9</w:t>
      </w:r>
      <w:r w:rsidR="00273DCA" w:rsidRPr="00B76A73">
        <w:t>%</w:t>
      </w:r>
      <w:r w:rsidRPr="00B76A73">
        <w:t xml:space="preserve"> for th</w:t>
      </w:r>
      <w:r w:rsidR="00273DCA" w:rsidRPr="00B76A73">
        <w:t>is</w:t>
      </w:r>
      <w:r w:rsidRPr="00B76A73">
        <w:t xml:space="preserve"> metric</w:t>
      </w:r>
      <w:r w:rsidR="005D6F41">
        <w:t xml:space="preserve"> </w:t>
      </w:r>
      <w:r w:rsidR="00294C2F">
        <w:t>and up</w:t>
      </w:r>
      <w:r w:rsidR="0079068A">
        <w:t xml:space="preserve"> </w:t>
      </w:r>
      <w:r w:rsidR="00A42997">
        <w:t>0.</w:t>
      </w:r>
      <w:r w:rsidR="00AF24FD">
        <w:t>5</w:t>
      </w:r>
      <w:r w:rsidR="00F750FA">
        <w:t xml:space="preserve">% </w:t>
      </w:r>
      <w:r w:rsidR="00160C1F">
        <w:t>from</w:t>
      </w:r>
      <w:r w:rsidR="00B66C70" w:rsidRPr="00B76A73">
        <w:t xml:space="preserve"> </w:t>
      </w:r>
      <w:r w:rsidR="003058BA" w:rsidRPr="00B76A73">
        <w:t>the previous quarter</w:t>
      </w:r>
      <w:r w:rsidRPr="00B76A73">
        <w:t>.</w:t>
      </w:r>
    </w:p>
    <w:p w14:paraId="2B52197D" w14:textId="2D9AC20D" w:rsidR="007A05AD" w:rsidRPr="00B76A73" w:rsidRDefault="002257C5" w:rsidP="00BA7A2C">
      <w:pPr>
        <w:jc w:val="center"/>
      </w:pPr>
      <w:r>
        <w:rPr>
          <w:noProof/>
        </w:rPr>
        <w:drawing>
          <wp:inline distT="0" distB="0" distL="0" distR="0" wp14:anchorId="3DA76257" wp14:editId="39C09ED9">
            <wp:extent cx="3822700" cy="2627630"/>
            <wp:effectExtent l="0" t="0" r="6350" b="1270"/>
            <wp:docPr id="5482789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20" w14:textId="72147876" w:rsidR="00005111" w:rsidRPr="00B76A73" w:rsidRDefault="00005111" w:rsidP="005261C1">
      <w:pPr>
        <w:pStyle w:val="Heading1"/>
      </w:pPr>
      <w:r w:rsidRPr="00B76A73">
        <w:t>Interest Rates</w:t>
      </w:r>
    </w:p>
    <w:p w14:paraId="472CBB47" w14:textId="7943B623" w:rsidR="00A96A6A" w:rsidRPr="00B76A73" w:rsidRDefault="004005A4" w:rsidP="00952E0A">
      <w:pPr>
        <w:rPr>
          <w:color w:val="000000" w:themeColor="text1"/>
        </w:rPr>
      </w:pPr>
      <w:r w:rsidRPr="00B76A73">
        <w:t>T</w:t>
      </w:r>
      <w:r w:rsidR="00231BB2" w:rsidRPr="00B76A73">
        <w:t xml:space="preserve">he effective </w:t>
      </w:r>
      <w:r w:rsidR="00814E45" w:rsidRPr="00B76A73">
        <w:t>federal f</w:t>
      </w:r>
      <w:r w:rsidR="00231BB2" w:rsidRPr="00B76A73">
        <w:t>unds rate</w:t>
      </w:r>
      <w:r w:rsidR="00814E45" w:rsidRPr="00B76A73">
        <w:rPr>
          <w:rStyle w:val="FootnoteReference"/>
        </w:rPr>
        <w:footnoteReference w:id="11"/>
      </w:r>
      <w:r w:rsidR="00231BB2" w:rsidRPr="00B76A73">
        <w:t xml:space="preserve"> </w:t>
      </w:r>
      <w:r w:rsidR="003C345B">
        <w:t>was unchanged</w:t>
      </w:r>
      <w:r w:rsidR="00101EED">
        <w:t xml:space="preserve"> at</w:t>
      </w:r>
      <w:r w:rsidR="00D03C98" w:rsidRPr="00B76A73">
        <w:t xml:space="preserve"> </w:t>
      </w:r>
      <w:r w:rsidR="00FE6DD6">
        <w:t>5.</w:t>
      </w:r>
      <w:r w:rsidR="005D6F41">
        <w:t>33</w:t>
      </w:r>
      <w:r w:rsidR="00D03C98" w:rsidRPr="00B76A73">
        <w:t xml:space="preserve">% during the </w:t>
      </w:r>
      <w:r w:rsidR="00E2036D">
        <w:t>2nd</w:t>
      </w:r>
      <w:r w:rsidR="00294C2F">
        <w:t xml:space="preserve"> </w:t>
      </w:r>
      <w:r w:rsidR="00D03C98" w:rsidRPr="00B76A73">
        <w:t>quarter</w:t>
      </w:r>
      <w:r w:rsidR="005A5095" w:rsidRPr="00B76A73">
        <w:t xml:space="preserve">, </w:t>
      </w:r>
      <w:r w:rsidR="00294C2F">
        <w:t xml:space="preserve">holding </w:t>
      </w:r>
      <w:r w:rsidR="00E2036D">
        <w:t xml:space="preserve">steady </w:t>
      </w:r>
      <w:r w:rsidR="00294C2F">
        <w:t>at</w:t>
      </w:r>
      <w:r w:rsidR="00101EED">
        <w:t xml:space="preserve"> the 2</w:t>
      </w:r>
      <w:r w:rsidR="00294C2F">
        <w:t>3</w:t>
      </w:r>
      <w:r w:rsidR="00101EED">
        <w:t xml:space="preserve">-year high reached </w:t>
      </w:r>
      <w:r w:rsidR="00294C2F">
        <w:t>in the 3</w:t>
      </w:r>
      <w:r w:rsidR="00294C2F" w:rsidRPr="00294C2F">
        <w:rPr>
          <w:vertAlign w:val="superscript"/>
        </w:rPr>
        <w:t>rd</w:t>
      </w:r>
      <w:r w:rsidR="00294C2F">
        <w:t xml:space="preserve"> quarter of 2023</w:t>
      </w:r>
      <w:r w:rsidR="00814E45" w:rsidRPr="00B76A73">
        <w:t xml:space="preserve">. </w:t>
      </w:r>
      <w:r w:rsidR="00E64295">
        <w:t>T</w:t>
      </w:r>
      <w:r w:rsidR="00231BB2" w:rsidRPr="00B76A73">
        <w:t xml:space="preserve">reasury </w:t>
      </w:r>
      <w:r w:rsidR="003F4CDB" w:rsidRPr="00B76A73">
        <w:t>bond yields</w:t>
      </w:r>
      <w:r w:rsidR="005A0EC4" w:rsidRPr="00B76A73">
        <w:rPr>
          <w:rStyle w:val="FootnoteReference"/>
        </w:rPr>
        <w:footnoteReference w:id="12"/>
      </w:r>
      <w:r w:rsidR="00A73A66" w:rsidRPr="00B76A73">
        <w:t xml:space="preserve"> </w:t>
      </w:r>
      <w:r w:rsidR="00451F5B">
        <w:t xml:space="preserve">for periods </w:t>
      </w:r>
      <w:r w:rsidR="00294C2F">
        <w:lastRenderedPageBreak/>
        <w:t xml:space="preserve">of </w:t>
      </w:r>
      <w:r w:rsidR="00BF77B7">
        <w:t>one</w:t>
      </w:r>
      <w:r w:rsidR="00294C2F">
        <w:t xml:space="preserve"> </w:t>
      </w:r>
      <w:r w:rsidR="00451F5B">
        <w:t>year</w:t>
      </w:r>
      <w:r w:rsidR="00BF77B7">
        <w:t xml:space="preserve"> and up</w:t>
      </w:r>
      <w:r w:rsidR="00451F5B">
        <w:t xml:space="preserve"> </w:t>
      </w:r>
      <w:r w:rsidR="00294C2F">
        <w:t>rose</w:t>
      </w:r>
      <w:r w:rsidR="00A14458" w:rsidRPr="00B76A73">
        <w:t xml:space="preserve"> </w:t>
      </w:r>
      <w:r w:rsidR="00E2036D">
        <w:t xml:space="preserve">slightly </w:t>
      </w:r>
      <w:r w:rsidR="00A14458" w:rsidRPr="00B76A73">
        <w:t xml:space="preserve">during the </w:t>
      </w:r>
      <w:r w:rsidR="00E2036D">
        <w:t>2</w:t>
      </w:r>
      <w:r w:rsidR="00E2036D" w:rsidRPr="00E2036D">
        <w:rPr>
          <w:vertAlign w:val="superscript"/>
        </w:rPr>
        <w:t>nd</w:t>
      </w:r>
      <w:r w:rsidR="00E2036D">
        <w:t xml:space="preserve"> </w:t>
      </w:r>
      <w:r w:rsidR="00A14458" w:rsidRPr="00B76A73">
        <w:t>quarter</w:t>
      </w:r>
      <w:r w:rsidR="00101EED">
        <w:t>, with t</w:t>
      </w:r>
      <w:r w:rsidR="007B69AE">
        <w:t>he yield curve remain</w:t>
      </w:r>
      <w:r w:rsidR="00101EED">
        <w:t>ing</w:t>
      </w:r>
      <w:r w:rsidR="007B69AE">
        <w:t xml:space="preserve"> inverted</w:t>
      </w:r>
      <w:r w:rsidR="00231BB2" w:rsidRPr="00B76A73">
        <w:t>.</w:t>
      </w:r>
      <w:r w:rsidR="00455043" w:rsidRPr="00B76A73">
        <w:t xml:space="preserve"> T</w:t>
      </w:r>
      <w:r w:rsidR="00032178" w:rsidRPr="00B76A73">
        <w:t>he</w:t>
      </w:r>
      <w:r w:rsidR="00376778" w:rsidRPr="00B76A73">
        <w:t xml:space="preserve"> </w:t>
      </w:r>
      <w:r w:rsidR="00981FF8" w:rsidRPr="00B76A73">
        <w:t>closely watched</w:t>
      </w:r>
      <w:r w:rsidR="00635C43" w:rsidRPr="00B76A73">
        <w:t xml:space="preserve"> </w:t>
      </w:r>
      <w:r w:rsidR="00376778" w:rsidRPr="00B76A73">
        <w:t xml:space="preserve">two- and ten-year rates </w:t>
      </w:r>
      <w:r w:rsidR="00697A66">
        <w:t xml:space="preserve">have been </w:t>
      </w:r>
      <w:r w:rsidR="00032178" w:rsidRPr="00B76A73">
        <w:t xml:space="preserve">inverted </w:t>
      </w:r>
      <w:r w:rsidR="00697A66">
        <w:t xml:space="preserve">since </w:t>
      </w:r>
      <w:r w:rsidR="00981FF8" w:rsidRPr="00B76A73">
        <w:t>July</w:t>
      </w:r>
      <w:r w:rsidR="00032178" w:rsidRPr="00B76A73">
        <w:t xml:space="preserve"> </w:t>
      </w:r>
      <w:r w:rsidR="00764632">
        <w:t>2022</w:t>
      </w:r>
      <w:r w:rsidR="005E1BD2" w:rsidRPr="00B76A73">
        <w:t xml:space="preserve">. </w:t>
      </w:r>
      <w:r w:rsidR="003F4CDB" w:rsidRPr="00B76A73">
        <w:t>The</w:t>
      </w:r>
      <w:r w:rsidR="008844A2" w:rsidRPr="00B76A73">
        <w:t xml:space="preserve"> 1</w:t>
      </w:r>
      <w:r w:rsidR="005E7A94" w:rsidRPr="00B76A73">
        <w:t xml:space="preserve">-year and 2-year annual treasury yields </w:t>
      </w:r>
      <w:r w:rsidR="00B65667" w:rsidRPr="00B76A73">
        <w:t xml:space="preserve">ended the </w:t>
      </w:r>
      <w:r w:rsidR="005B34DB">
        <w:t>2</w:t>
      </w:r>
      <w:r w:rsidR="005B34DB" w:rsidRPr="005B34DB">
        <w:rPr>
          <w:vertAlign w:val="superscript"/>
        </w:rPr>
        <w:t>nd</w:t>
      </w:r>
      <w:r w:rsidR="005B34DB">
        <w:t xml:space="preserve"> </w:t>
      </w:r>
      <w:r w:rsidR="00B65667" w:rsidRPr="00B76A73">
        <w:t>quarter</w:t>
      </w:r>
      <w:r w:rsidR="005E7A94" w:rsidRPr="00B76A73">
        <w:t xml:space="preserve"> at </w:t>
      </w:r>
      <w:r w:rsidR="00A94811">
        <w:t>5.0</w:t>
      </w:r>
      <w:r w:rsidR="005B34DB">
        <w:t>9</w:t>
      </w:r>
      <w:r w:rsidR="005E7A94" w:rsidRPr="00B76A73">
        <w:t>%</w:t>
      </w:r>
      <w:r w:rsidR="008844A2" w:rsidRPr="00B76A73">
        <w:t xml:space="preserve"> and </w:t>
      </w:r>
      <w:r w:rsidR="00101EED">
        <w:t>4.</w:t>
      </w:r>
      <w:r w:rsidR="005B34DB">
        <w:t>71</w:t>
      </w:r>
      <w:r w:rsidR="006E6EAA" w:rsidRPr="00B76A73">
        <w:t>%, respectively</w:t>
      </w:r>
      <w:r w:rsidR="005E7A94" w:rsidRPr="00B76A73">
        <w:t>.</w:t>
      </w:r>
      <w:r w:rsidR="00231BB2" w:rsidRPr="00B76A73">
        <w:t xml:space="preserve"> The </w:t>
      </w:r>
      <w:r w:rsidR="005E7A94" w:rsidRPr="00B76A73">
        <w:t xml:space="preserve">benchmark </w:t>
      </w:r>
      <w:r w:rsidR="00022BB4" w:rsidRPr="00B76A73">
        <w:t>1</w:t>
      </w:r>
      <w:r w:rsidR="0061080D" w:rsidRPr="00B76A73">
        <w:t xml:space="preserve">0-year treasury </w:t>
      </w:r>
      <w:r w:rsidR="005E7A94" w:rsidRPr="00B76A73">
        <w:t>yielded</w:t>
      </w:r>
      <w:r w:rsidR="0061080D" w:rsidRPr="00B76A73">
        <w:t xml:space="preserve"> </w:t>
      </w:r>
      <w:r w:rsidR="00A94811">
        <w:t>4.</w:t>
      </w:r>
      <w:r w:rsidR="005B34DB">
        <w:t>36</w:t>
      </w:r>
      <w:r w:rsidR="0061080D" w:rsidRPr="00B76A73">
        <w:t>%</w:t>
      </w:r>
      <w:r w:rsidR="005E7A94" w:rsidRPr="00B76A73">
        <w:t xml:space="preserve"> at the</w:t>
      </w:r>
      <w:r w:rsidR="00B65667" w:rsidRPr="00B76A73">
        <w:t xml:space="preserve"> end of </w:t>
      </w:r>
      <w:r w:rsidR="008844A2" w:rsidRPr="00B76A73">
        <w:t>the quarter</w:t>
      </w:r>
      <w:r w:rsidR="005E7A94" w:rsidRPr="00B76A73">
        <w:t xml:space="preserve">, while </w:t>
      </w:r>
      <w:r w:rsidR="00D851AB" w:rsidRPr="00B76A73">
        <w:t xml:space="preserve">the </w:t>
      </w:r>
      <w:r w:rsidR="00022BB4" w:rsidRPr="00B76A73">
        <w:t>3</w:t>
      </w:r>
      <w:r w:rsidR="00D851AB" w:rsidRPr="00B76A73">
        <w:t xml:space="preserve">0-year treasury </w:t>
      </w:r>
      <w:r w:rsidR="00B65667" w:rsidRPr="00B76A73">
        <w:t>yielded</w:t>
      </w:r>
      <w:r w:rsidR="00D851AB" w:rsidRPr="00B76A73">
        <w:t xml:space="preserve"> </w:t>
      </w:r>
      <w:r w:rsidR="00AA30D4">
        <w:t>4.</w:t>
      </w:r>
      <w:r w:rsidR="005B34DB">
        <w:t>51</w:t>
      </w:r>
      <w:r w:rsidR="00D851AB" w:rsidRPr="00B76A73">
        <w:t>%</w:t>
      </w:r>
      <w:r w:rsidR="00AE64EF" w:rsidRPr="00B76A73">
        <w:rPr>
          <w:color w:val="000000" w:themeColor="text1"/>
        </w:rPr>
        <w:t>.</w:t>
      </w:r>
      <w:r w:rsidR="002301AB" w:rsidRPr="00B76A73">
        <w:rPr>
          <w:color w:val="000000" w:themeColor="text1"/>
        </w:rPr>
        <w:t xml:space="preserve"> See </w:t>
      </w:r>
      <w:r w:rsidR="002301AB" w:rsidRPr="00B76A73">
        <w:rPr>
          <w:i/>
          <w:iCs/>
          <w:color w:val="000000" w:themeColor="text1"/>
        </w:rPr>
        <w:t>Appendix – Selected Interest Rates</w:t>
      </w:r>
      <w:r w:rsidR="002301AB" w:rsidRPr="00B76A73">
        <w:rPr>
          <w:color w:val="000000" w:themeColor="text1"/>
        </w:rPr>
        <w:t xml:space="preserve"> for detailed interest rate data. </w:t>
      </w:r>
    </w:p>
    <w:p w14:paraId="0614E8BB" w14:textId="278A3FD1" w:rsidR="004D1C9D" w:rsidRPr="00B76A73" w:rsidRDefault="002257C5" w:rsidP="005117CA">
      <w:pPr>
        <w:jc w:val="center"/>
      </w:pPr>
      <w:r>
        <w:rPr>
          <w:noProof/>
        </w:rPr>
        <w:drawing>
          <wp:inline distT="0" distB="0" distL="0" distR="0" wp14:anchorId="20FD86EB" wp14:editId="4664E3F6">
            <wp:extent cx="3499485" cy="2646045"/>
            <wp:effectExtent l="0" t="0" r="5715" b="1905"/>
            <wp:docPr id="17273501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CA932" w14:textId="78B61588" w:rsidR="00B00681" w:rsidRPr="00B76A73" w:rsidRDefault="00171C8E" w:rsidP="00005111">
      <w:r w:rsidRPr="00B76A73">
        <w:t xml:space="preserve">In </w:t>
      </w:r>
      <w:r w:rsidR="00B34926" w:rsidRPr="00B76A73">
        <w:t xml:space="preserve">the </w:t>
      </w:r>
      <w:r w:rsidR="005B34DB">
        <w:t>2</w:t>
      </w:r>
      <w:r w:rsidR="005B34DB" w:rsidRPr="005B34DB">
        <w:rPr>
          <w:vertAlign w:val="superscript"/>
        </w:rPr>
        <w:t>nd</w:t>
      </w:r>
      <w:r w:rsidR="00A94811">
        <w:t xml:space="preserve"> </w:t>
      </w:r>
      <w:r w:rsidR="00B34926" w:rsidRPr="00B76A73">
        <w:t>quarter of 202</w:t>
      </w:r>
      <w:r w:rsidR="00897E48">
        <w:t>4</w:t>
      </w:r>
      <w:r w:rsidR="00FE4D42" w:rsidRPr="00B76A73">
        <w:t>,</w:t>
      </w:r>
      <w:r w:rsidRPr="00B76A73">
        <w:t xml:space="preserve"> the Federal Reserve </w:t>
      </w:r>
      <w:r w:rsidR="00A94811">
        <w:t>continued to hold the</w:t>
      </w:r>
      <w:r w:rsidR="00D851AB" w:rsidRPr="00B76A73">
        <w:t xml:space="preserve"> federal funds target rate</w:t>
      </w:r>
      <w:r w:rsidR="003A4C56" w:rsidRPr="00B76A73">
        <w:rPr>
          <w:rStyle w:val="FootnoteReference"/>
        </w:rPr>
        <w:footnoteReference w:id="13"/>
      </w:r>
      <w:r w:rsidR="00740863" w:rsidRPr="00B76A73">
        <w:t xml:space="preserve"> </w:t>
      </w:r>
      <w:r w:rsidR="00101EED">
        <w:t xml:space="preserve">steady throughout </w:t>
      </w:r>
      <w:r w:rsidR="00981FF8" w:rsidRPr="00B76A73">
        <w:t xml:space="preserve">the quarter at a range of </w:t>
      </w:r>
      <w:r w:rsidR="00D55A04">
        <w:t>5.</w:t>
      </w:r>
      <w:r w:rsidR="00A77DCF">
        <w:t>25</w:t>
      </w:r>
      <w:r w:rsidR="00981FF8" w:rsidRPr="00B76A73">
        <w:t xml:space="preserve">% to </w:t>
      </w:r>
      <w:r w:rsidR="00BB286D">
        <w:t>5.</w:t>
      </w:r>
      <w:r w:rsidR="00A77DCF">
        <w:t>50</w:t>
      </w:r>
      <w:r w:rsidR="00981FF8" w:rsidRPr="00B76A73">
        <w:t>%</w:t>
      </w:r>
      <w:r w:rsidR="003C345B">
        <w:rPr>
          <w:rFonts w:ascii="Calibri" w:hAnsi="Calibri" w:cs="Calibri"/>
        </w:rPr>
        <w:t>—</w:t>
      </w:r>
      <w:r w:rsidR="003F0456">
        <w:t xml:space="preserve">the highest in </w:t>
      </w:r>
      <w:r w:rsidR="005B34DB">
        <w:t xml:space="preserve">over </w:t>
      </w:r>
      <w:r w:rsidR="00EA4DC4">
        <w:t>23</w:t>
      </w:r>
      <w:r w:rsidR="003F0456">
        <w:t xml:space="preserve"> years</w:t>
      </w:r>
      <w:r w:rsidR="003C345B">
        <w:t>.</w:t>
      </w:r>
      <w:r w:rsidR="00C832EE">
        <w:t xml:space="preserve"> </w:t>
      </w:r>
      <w:r w:rsidR="00FA4341">
        <w:t xml:space="preserve">With inflation </w:t>
      </w:r>
      <w:r w:rsidR="00A85171">
        <w:t xml:space="preserve">still above the Fed’s goal despite </w:t>
      </w:r>
      <w:r w:rsidR="005B34DB">
        <w:t>making slow progress</w:t>
      </w:r>
      <w:r w:rsidR="00FA4341">
        <w:t xml:space="preserve">, </w:t>
      </w:r>
      <w:r w:rsidR="00A85171">
        <w:t xml:space="preserve">and economic conditions remaining strong, </w:t>
      </w:r>
      <w:r w:rsidR="00FA4341">
        <w:t>t</w:t>
      </w:r>
      <w:r w:rsidR="003C345B">
        <w:t xml:space="preserve">he FOMC </w:t>
      </w:r>
      <w:r w:rsidR="00A85171">
        <w:t>remains cautious in its approach to monetary policy, signaling just one expected rate cut in 2024 and raising its long-term interest rate projection</w:t>
      </w:r>
      <w:r w:rsidR="00C832EE">
        <w:t>.</w:t>
      </w:r>
    </w:p>
    <w:p w14:paraId="515AD2F7" w14:textId="674AA799" w:rsidR="004D1C9D" w:rsidRPr="00B76A73" w:rsidRDefault="002257C5" w:rsidP="00166C08">
      <w:pPr>
        <w:jc w:val="center"/>
      </w:pPr>
      <w:r>
        <w:rPr>
          <w:noProof/>
        </w:rPr>
        <w:drawing>
          <wp:inline distT="0" distB="0" distL="0" distR="0" wp14:anchorId="6F810EAE" wp14:editId="2966C970">
            <wp:extent cx="3499485" cy="2633980"/>
            <wp:effectExtent l="0" t="0" r="5715" b="0"/>
            <wp:docPr id="179319279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13481" w14:textId="77777777" w:rsidR="00B7512F" w:rsidRPr="00B76A73" w:rsidRDefault="00B7512F" w:rsidP="00166C08">
      <w:pPr>
        <w:jc w:val="center"/>
      </w:pPr>
    </w:p>
    <w:p w14:paraId="7D026DBE" w14:textId="3566A45C" w:rsidR="004D1C9D" w:rsidRPr="00B76A73" w:rsidRDefault="005117CA" w:rsidP="005261C1">
      <w:r w:rsidRPr="00B76A73">
        <w:t>T</w:t>
      </w:r>
      <w:r w:rsidR="002978F9" w:rsidRPr="00B76A73">
        <w:t xml:space="preserve">he yield on the </w:t>
      </w:r>
      <w:r w:rsidR="0039196F" w:rsidRPr="00B76A73">
        <w:t xml:space="preserve">benchmark </w:t>
      </w:r>
      <w:r w:rsidR="002978F9" w:rsidRPr="00B76A73">
        <w:t>10-year U.S. treasury</w:t>
      </w:r>
      <w:r w:rsidR="004759DB" w:rsidRPr="00B76A73">
        <w:rPr>
          <w:rStyle w:val="FootnoteReference"/>
        </w:rPr>
        <w:footnoteReference w:id="14"/>
      </w:r>
      <w:r w:rsidR="002978F9" w:rsidRPr="00B76A73">
        <w:t xml:space="preserve"> </w:t>
      </w:r>
      <w:r w:rsidR="00455D78" w:rsidRPr="00B76A73">
        <w:t xml:space="preserve">ended the </w:t>
      </w:r>
      <w:r w:rsidR="00A85171">
        <w:t>2</w:t>
      </w:r>
      <w:r w:rsidR="00A85171" w:rsidRPr="00A85171">
        <w:rPr>
          <w:vertAlign w:val="superscript"/>
        </w:rPr>
        <w:t>nd</w:t>
      </w:r>
      <w:r w:rsidR="00DA47D7">
        <w:t xml:space="preserve"> </w:t>
      </w:r>
      <w:r w:rsidRPr="00B76A73">
        <w:t>quarter</w:t>
      </w:r>
      <w:r w:rsidR="00A73A66" w:rsidRPr="00B76A73">
        <w:t xml:space="preserve"> </w:t>
      </w:r>
      <w:r w:rsidR="00455D78" w:rsidRPr="00B76A73">
        <w:t>at</w:t>
      </w:r>
      <w:r w:rsidR="00A73A66" w:rsidRPr="00B76A73">
        <w:t xml:space="preserve"> </w:t>
      </w:r>
      <w:r w:rsidR="00DA47D7">
        <w:t>4.</w:t>
      </w:r>
      <w:r w:rsidR="00A85171">
        <w:t>36</w:t>
      </w:r>
      <w:r w:rsidR="00A73A66" w:rsidRPr="00B76A73">
        <w:t xml:space="preserve">%, </w:t>
      </w:r>
      <w:r w:rsidR="00310DDA">
        <w:t>up 0.</w:t>
      </w:r>
      <w:r w:rsidR="00A85171">
        <w:t>16</w:t>
      </w:r>
      <w:r w:rsidR="00C5430F" w:rsidRPr="00B76A73">
        <w:t xml:space="preserve"> percentage points</w:t>
      </w:r>
      <w:r w:rsidR="00455D78" w:rsidRPr="00B76A73">
        <w:t xml:space="preserve"> from the previous quarter</w:t>
      </w:r>
      <w:r w:rsidR="009F4853">
        <w:t xml:space="preserve"> and above </w:t>
      </w:r>
      <w:r w:rsidR="00071875" w:rsidRPr="00B76A73">
        <w:t xml:space="preserve">the average yield of </w:t>
      </w:r>
      <w:r w:rsidR="003A4C56" w:rsidRPr="00B76A73">
        <w:t>3.</w:t>
      </w:r>
      <w:r w:rsidR="0028240F">
        <w:t>8</w:t>
      </w:r>
      <w:r w:rsidR="00A85171">
        <w:t>0</w:t>
      </w:r>
      <w:r w:rsidR="004965CE" w:rsidRPr="00B76A73">
        <w:t>% over the last 30 years</w:t>
      </w:r>
      <w:r w:rsidR="00CB629F" w:rsidRPr="00B76A73">
        <w:t>.</w:t>
      </w:r>
      <w:r w:rsidR="00A73A66" w:rsidRPr="00B76A73">
        <w:t xml:space="preserve"> </w:t>
      </w:r>
    </w:p>
    <w:p w14:paraId="67433862" w14:textId="1B77AB48" w:rsidR="004D1C9D" w:rsidRPr="00B76A73" w:rsidRDefault="002257C5" w:rsidP="005117CA">
      <w:pPr>
        <w:jc w:val="center"/>
      </w:pPr>
      <w:r>
        <w:rPr>
          <w:noProof/>
        </w:rPr>
        <w:drawing>
          <wp:inline distT="0" distB="0" distL="0" distR="0" wp14:anchorId="19154971" wp14:editId="00320F0A">
            <wp:extent cx="3499485" cy="2633980"/>
            <wp:effectExtent l="0" t="0" r="5715" b="0"/>
            <wp:docPr id="140489829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A11124" w14:textId="3D1B25B0" w:rsidR="001945EC" w:rsidRPr="00B76A73" w:rsidRDefault="00F02B3A" w:rsidP="00460436">
      <w:r w:rsidRPr="00B76A73">
        <w:t>Moody’s Baa Corpor</w:t>
      </w:r>
      <w:r w:rsidR="00102080" w:rsidRPr="00B76A73">
        <w:t xml:space="preserve">ate Bond Yield </w:t>
      </w:r>
      <w:r w:rsidR="004E3393" w:rsidRPr="00B76A73">
        <w:t>Index</w:t>
      </w:r>
      <w:r w:rsidR="004E5EC0" w:rsidRPr="00B76A73">
        <w:rPr>
          <w:rStyle w:val="FootnoteReference"/>
        </w:rPr>
        <w:footnoteReference w:id="15"/>
      </w:r>
      <w:r w:rsidR="004E3393" w:rsidRPr="00B76A73">
        <w:t xml:space="preserve"> </w:t>
      </w:r>
      <w:r w:rsidR="009D42AA" w:rsidRPr="00B76A73">
        <w:t xml:space="preserve">ended the </w:t>
      </w:r>
      <w:r w:rsidR="00CD53CD">
        <w:t>2</w:t>
      </w:r>
      <w:r w:rsidR="00CD53CD" w:rsidRPr="00CD53CD">
        <w:rPr>
          <w:vertAlign w:val="superscript"/>
        </w:rPr>
        <w:t>nd</w:t>
      </w:r>
      <w:r w:rsidR="00310DDA">
        <w:t xml:space="preserve"> </w:t>
      </w:r>
      <w:r w:rsidR="009D42AA" w:rsidRPr="00B76A73">
        <w:t xml:space="preserve">quarter </w:t>
      </w:r>
      <w:r w:rsidR="00551CFE" w:rsidRPr="00B76A73">
        <w:t>of 202</w:t>
      </w:r>
      <w:r w:rsidR="00310DDA">
        <w:t>4</w:t>
      </w:r>
      <w:r w:rsidR="00551CFE" w:rsidRPr="00B76A73">
        <w:t xml:space="preserve"> </w:t>
      </w:r>
      <w:r w:rsidR="009D42AA" w:rsidRPr="00B76A73">
        <w:t xml:space="preserve">at </w:t>
      </w:r>
      <w:r w:rsidR="00710A31">
        <w:t>5.</w:t>
      </w:r>
      <w:r w:rsidR="00CD53CD">
        <w:t>91</w:t>
      </w:r>
      <w:r w:rsidR="009D42AA" w:rsidRPr="00B76A73">
        <w:t>%</w:t>
      </w:r>
      <w:r w:rsidR="00F72263" w:rsidRPr="00B76A73">
        <w:t>,</w:t>
      </w:r>
      <w:r w:rsidR="009D42AA" w:rsidRPr="00B76A73">
        <w:t xml:space="preserve"> </w:t>
      </w:r>
      <w:r w:rsidR="00310DDA">
        <w:t>up 0.21</w:t>
      </w:r>
      <w:r w:rsidR="00D61DD3" w:rsidRPr="00B76A73">
        <w:t xml:space="preserve"> percentage points</w:t>
      </w:r>
      <w:r w:rsidR="00412C1A" w:rsidRPr="00B76A73">
        <w:t xml:space="preserve"> since the previous </w:t>
      </w:r>
      <w:r w:rsidR="009D42AA" w:rsidRPr="00B76A73">
        <w:t>quarter</w:t>
      </w:r>
      <w:r w:rsidR="00823E2B" w:rsidRPr="00B76A73">
        <w:t xml:space="preserve">. </w:t>
      </w:r>
      <w:r w:rsidR="00261A6E" w:rsidRPr="00B76A73">
        <w:t xml:space="preserve">Moody’s </w:t>
      </w:r>
      <w:r w:rsidR="00536AD4" w:rsidRPr="00B76A73">
        <w:t xml:space="preserve">less-risky </w:t>
      </w:r>
      <w:proofErr w:type="spellStart"/>
      <w:r w:rsidR="00261A6E" w:rsidRPr="00B76A73">
        <w:t>Aaa</w:t>
      </w:r>
      <w:proofErr w:type="spellEnd"/>
      <w:r w:rsidR="009D42AA" w:rsidRPr="00B76A73">
        <w:rPr>
          <w:rStyle w:val="FootnoteReference"/>
        </w:rPr>
        <w:footnoteReference w:id="16"/>
      </w:r>
      <w:r w:rsidR="00261A6E" w:rsidRPr="00B76A73">
        <w:t xml:space="preserve"> Index </w:t>
      </w:r>
      <w:r w:rsidR="007A1052">
        <w:t>rose 0.</w:t>
      </w:r>
      <w:r w:rsidR="00CD53CD">
        <w:t>2</w:t>
      </w:r>
      <w:r w:rsidR="007A1052">
        <w:t>2</w:t>
      </w:r>
      <w:r w:rsidR="00D61DD3" w:rsidRPr="00B76A73">
        <w:t xml:space="preserve"> percentage points</w:t>
      </w:r>
      <w:r w:rsidR="00551CFE" w:rsidRPr="00B76A73">
        <w:t xml:space="preserve"> during the quarter to a level of </w:t>
      </w:r>
      <w:r w:rsidR="00CD53CD">
        <w:t>5.19</w:t>
      </w:r>
      <w:r w:rsidR="00261A6E" w:rsidRPr="00B76A73">
        <w:t>%.</w:t>
      </w:r>
    </w:p>
    <w:p w14:paraId="7CE57D35" w14:textId="4EBE458B" w:rsidR="005117CA" w:rsidRPr="00B76A73" w:rsidRDefault="002257C5" w:rsidP="005117CA">
      <w:pPr>
        <w:jc w:val="center"/>
      </w:pPr>
      <w:r>
        <w:rPr>
          <w:noProof/>
        </w:rPr>
        <w:lastRenderedPageBreak/>
        <w:drawing>
          <wp:inline distT="0" distB="0" distL="0" distR="0" wp14:anchorId="7816DF4E" wp14:editId="7D94C108">
            <wp:extent cx="3493135" cy="2914015"/>
            <wp:effectExtent l="0" t="0" r="0" b="635"/>
            <wp:docPr id="75650380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2F" w14:textId="479C442E" w:rsidR="00005111" w:rsidRPr="00B76A73" w:rsidRDefault="00005111" w:rsidP="005261C1">
      <w:pPr>
        <w:pStyle w:val="Heading1"/>
      </w:pPr>
      <w:r w:rsidRPr="00B76A73">
        <w:t>Employment</w:t>
      </w:r>
    </w:p>
    <w:p w14:paraId="6A12E6BF" w14:textId="4584FCCA" w:rsidR="003412DA" w:rsidRPr="00B76A73" w:rsidRDefault="00BE0B31" w:rsidP="003412DA">
      <w:r>
        <w:t xml:space="preserve">The </w:t>
      </w:r>
      <w:r w:rsidR="000B6226">
        <w:t xml:space="preserve">jobs market, which has been a bright spot in the US economy throughout the pandemic recovery, waned slightly in </w:t>
      </w:r>
      <w:r>
        <w:t>2</w:t>
      </w:r>
      <w:r w:rsidRPr="00BE0B31">
        <w:rPr>
          <w:vertAlign w:val="superscript"/>
        </w:rPr>
        <w:t>nd</w:t>
      </w:r>
      <w:r>
        <w:t xml:space="preserve"> quarter of 2024. </w:t>
      </w:r>
      <w:r w:rsidR="003412DA" w:rsidRPr="00B76A73">
        <w:t>The official unemployment rate</w:t>
      </w:r>
      <w:r w:rsidR="009D7CB0" w:rsidRPr="00B76A73">
        <w:rPr>
          <w:rStyle w:val="FootnoteReference"/>
        </w:rPr>
        <w:footnoteReference w:id="17"/>
      </w:r>
      <w:r w:rsidR="003412DA" w:rsidRPr="00B76A73">
        <w:t xml:space="preserve"> </w:t>
      </w:r>
      <w:r w:rsidR="001B4D24">
        <w:t xml:space="preserve">ended the </w:t>
      </w:r>
      <w:r w:rsidR="007A3FE0">
        <w:t>2</w:t>
      </w:r>
      <w:r w:rsidR="007A3FE0" w:rsidRPr="007A3FE0">
        <w:rPr>
          <w:vertAlign w:val="superscript"/>
        </w:rPr>
        <w:t>nd</w:t>
      </w:r>
      <w:r w:rsidR="007A3FE0">
        <w:t xml:space="preserve"> </w:t>
      </w:r>
      <w:r w:rsidR="001B4D24">
        <w:t>quarter at</w:t>
      </w:r>
      <w:r w:rsidR="00CE5A3E" w:rsidRPr="00B76A73">
        <w:t xml:space="preserve"> </w:t>
      </w:r>
      <w:r w:rsidR="007A3FE0">
        <w:t>4.1</w:t>
      </w:r>
      <w:r w:rsidR="00CE5A3E" w:rsidRPr="00B76A73">
        <w:t>%</w:t>
      </w:r>
      <w:r w:rsidR="000B6226">
        <w:t>,</w:t>
      </w:r>
      <w:r w:rsidR="00CE5A3E" w:rsidRPr="00B76A73">
        <w:t xml:space="preserve"> </w:t>
      </w:r>
      <w:r w:rsidR="000B6226">
        <w:t xml:space="preserve">up </w:t>
      </w:r>
      <w:r w:rsidR="001B4D24">
        <w:t>from the prior quarter</w:t>
      </w:r>
      <w:r w:rsidR="00FB5047">
        <w:t xml:space="preserve"> but </w:t>
      </w:r>
      <w:r w:rsidR="00CE5A3E" w:rsidRPr="00B76A73">
        <w:t>well below the 30-year historical average of 5.</w:t>
      </w:r>
      <w:r w:rsidR="00710A31">
        <w:t>6</w:t>
      </w:r>
      <w:r w:rsidR="00CE5A3E" w:rsidRPr="00B76A73">
        <w:t>%</w:t>
      </w:r>
      <w:r w:rsidR="003B62E2">
        <w:t xml:space="preserve"> and </w:t>
      </w:r>
      <w:r w:rsidR="007A3FE0">
        <w:t>within</w:t>
      </w:r>
      <w:r w:rsidR="003B62E2">
        <w:t xml:space="preserve"> the 4.0% to 5.0% range accepted as an equilibrium level of “full employment</w:t>
      </w:r>
      <w:r w:rsidR="00CE5A3E" w:rsidRPr="00B76A73">
        <w:t>.</w:t>
      </w:r>
      <w:r w:rsidR="003B62E2">
        <w:t>”</w:t>
      </w:r>
      <w:r w:rsidR="00CE5A3E" w:rsidRPr="00B76A73">
        <w:t xml:space="preserve"> </w:t>
      </w:r>
      <w:r w:rsidR="00C75FE1">
        <w:t>T</w:t>
      </w:r>
      <w:r w:rsidR="0004341A" w:rsidRPr="00B76A73">
        <w:t>he labor force</w:t>
      </w:r>
      <w:r w:rsidR="007B4191" w:rsidRPr="00B76A73">
        <w:rPr>
          <w:rStyle w:val="FootnoteReference"/>
        </w:rPr>
        <w:footnoteReference w:id="18"/>
      </w:r>
      <w:r w:rsidR="0004341A" w:rsidRPr="00B76A73">
        <w:t xml:space="preserve"> </w:t>
      </w:r>
      <w:r w:rsidR="00015A79">
        <w:t>rose</w:t>
      </w:r>
      <w:r w:rsidR="00CE5A3E" w:rsidRPr="00B76A73">
        <w:t xml:space="preserve"> by </w:t>
      </w:r>
      <w:r w:rsidR="00C75FE1">
        <w:t>0.</w:t>
      </w:r>
      <w:r w:rsidR="007A3FE0">
        <w:t>1</w:t>
      </w:r>
      <w:r w:rsidR="00CE5A3E" w:rsidRPr="00B76A73">
        <w:t xml:space="preserve"> million workers during the quarter</w:t>
      </w:r>
      <w:r w:rsidR="00015A79">
        <w:t>. T</w:t>
      </w:r>
      <w:r w:rsidR="00C75FE1">
        <w:t xml:space="preserve">he </w:t>
      </w:r>
      <w:r w:rsidR="006859BA" w:rsidRPr="00B76A73">
        <w:t>labor force participation rate</w:t>
      </w:r>
      <w:r w:rsidR="006859BA" w:rsidRPr="00B76A73">
        <w:rPr>
          <w:rStyle w:val="FootnoteReference"/>
        </w:rPr>
        <w:footnoteReference w:id="19"/>
      </w:r>
      <w:r w:rsidR="006859BA" w:rsidRPr="00B76A73">
        <w:t xml:space="preserve"> </w:t>
      </w:r>
      <w:r w:rsidR="007A3FE0">
        <w:t>inched down</w:t>
      </w:r>
      <w:r w:rsidR="000D2357">
        <w:t xml:space="preserve"> </w:t>
      </w:r>
      <w:r w:rsidR="00703FBD">
        <w:t>to</w:t>
      </w:r>
      <w:r w:rsidR="00CE5A3E" w:rsidRPr="00B76A73">
        <w:t xml:space="preserve"> 62.</w:t>
      </w:r>
      <w:r w:rsidR="007A3FE0">
        <w:t>6</w:t>
      </w:r>
      <w:r w:rsidR="00CE5A3E" w:rsidRPr="00B76A73">
        <w:t>%</w:t>
      </w:r>
      <w:r w:rsidR="00FF766B">
        <w:t xml:space="preserve"> in </w:t>
      </w:r>
      <w:r w:rsidR="007A3FE0">
        <w:t>June</w:t>
      </w:r>
      <w:r w:rsidR="00FF766B">
        <w:t xml:space="preserve"> 2024</w:t>
      </w:r>
      <w:r w:rsidR="007A3FE0">
        <w:t xml:space="preserve">, 0.7 </w:t>
      </w:r>
      <w:r w:rsidR="00CE5A3E" w:rsidRPr="00B76A73">
        <w:t>percentage point</w:t>
      </w:r>
      <w:r w:rsidR="00C17572">
        <w:t>s</w:t>
      </w:r>
      <w:r w:rsidR="00CE5A3E" w:rsidRPr="00B76A73">
        <w:t xml:space="preserve"> below its pre-pandemic level. </w:t>
      </w:r>
      <w:r w:rsidR="00D62169" w:rsidRPr="00B76A73">
        <w:t>E</w:t>
      </w:r>
      <w:r w:rsidR="003412DA" w:rsidRPr="00B76A73">
        <w:t xml:space="preserve">conomists </w:t>
      </w:r>
      <w:r w:rsidR="006859BA" w:rsidRPr="00B76A73">
        <w:t>polled by</w:t>
      </w:r>
      <w:r w:rsidR="00D62169" w:rsidRPr="00B76A73">
        <w:t xml:space="preserve"> </w:t>
      </w:r>
      <w:r w:rsidR="003412DA" w:rsidRPr="00B76A73">
        <w:t xml:space="preserve">the Livingston Survey </w:t>
      </w:r>
      <w:r w:rsidR="004D3A04" w:rsidRPr="00B76A73">
        <w:t xml:space="preserve">in </w:t>
      </w:r>
      <w:r w:rsidR="007A3FE0">
        <w:t>June 2024</w:t>
      </w:r>
      <w:r w:rsidR="00B3045C">
        <w:t xml:space="preserve"> </w:t>
      </w:r>
      <w:r w:rsidR="004D3A04" w:rsidRPr="00B76A73">
        <w:t xml:space="preserve">projected </w:t>
      </w:r>
      <w:r w:rsidR="00C75FE1">
        <w:t>the</w:t>
      </w:r>
      <w:r w:rsidR="004D3A04" w:rsidRPr="00B76A73">
        <w:t xml:space="preserve"> unemployment rate </w:t>
      </w:r>
      <w:r w:rsidR="00C75FE1">
        <w:t xml:space="preserve">to </w:t>
      </w:r>
      <w:r w:rsidR="007A3FE0">
        <w:t>be 3.9</w:t>
      </w:r>
      <w:r w:rsidR="004D3A04" w:rsidRPr="00B76A73">
        <w:t xml:space="preserve">% in </w:t>
      </w:r>
      <w:r w:rsidR="00C75FE1">
        <w:t>June</w:t>
      </w:r>
      <w:r w:rsidR="007A3FE0">
        <w:t xml:space="preserve">, rising slightly to 4.0% in </w:t>
      </w:r>
      <w:r w:rsidR="00C75FE1">
        <w:t>December</w:t>
      </w:r>
      <w:r w:rsidR="00B3045C">
        <w:t xml:space="preserve"> 202</w:t>
      </w:r>
      <w:r w:rsidR="00C75FE1">
        <w:t>4</w:t>
      </w:r>
      <w:r w:rsidR="007A3FE0">
        <w:t xml:space="preserve"> and 4.1% in June 2025</w:t>
      </w:r>
      <w:r w:rsidR="003412DA" w:rsidRPr="00B76A73">
        <w:t>.</w:t>
      </w:r>
    </w:p>
    <w:p w14:paraId="4B4FCC94" w14:textId="5EE89D72" w:rsidR="00D029B3" w:rsidRPr="00B76A73" w:rsidRDefault="009E7A0A" w:rsidP="003412DA">
      <w:r w:rsidRPr="00B76A73">
        <w:t xml:space="preserve">In </w:t>
      </w:r>
      <w:r w:rsidR="007A3FE0">
        <w:t>May</w:t>
      </w:r>
      <w:r w:rsidR="00015A79">
        <w:t xml:space="preserve"> 2024</w:t>
      </w:r>
      <w:r w:rsidRPr="00B76A73">
        <w:t>, n</w:t>
      </w:r>
      <w:r w:rsidR="00D029B3" w:rsidRPr="00B76A73">
        <w:t>onfarm worker quits</w:t>
      </w:r>
      <w:r w:rsidR="00D029B3" w:rsidRPr="00B76A73">
        <w:rPr>
          <w:rStyle w:val="FootnoteReference"/>
        </w:rPr>
        <w:footnoteReference w:id="20"/>
      </w:r>
      <w:r w:rsidR="00D029B3" w:rsidRPr="00B76A73">
        <w:t xml:space="preserve"> </w:t>
      </w:r>
      <w:r w:rsidR="005505E0" w:rsidRPr="00B76A73">
        <w:t xml:space="preserve">stood at </w:t>
      </w:r>
      <w:r w:rsidR="00703FBD">
        <w:t>3.</w:t>
      </w:r>
      <w:r w:rsidR="007A3FE0">
        <w:t>5</w:t>
      </w:r>
      <w:r w:rsidR="00CE5A3E" w:rsidRPr="00B76A73">
        <w:t xml:space="preserve"> million</w:t>
      </w:r>
      <w:r w:rsidR="00071B80">
        <w:t xml:space="preserve">, </w:t>
      </w:r>
      <w:r w:rsidR="00E37ACE">
        <w:t>up 0.2% over the month</w:t>
      </w:r>
      <w:r w:rsidR="00071B80">
        <w:t xml:space="preserve"> </w:t>
      </w:r>
      <w:r w:rsidR="00E37ACE">
        <w:t>but down</w:t>
      </w:r>
      <w:r w:rsidR="00071B80">
        <w:t xml:space="preserve"> 1</w:t>
      </w:r>
      <w:r w:rsidR="00E37ACE">
        <w:t>3.7</w:t>
      </w:r>
      <w:r w:rsidR="00071B80">
        <w:t>% over the year</w:t>
      </w:r>
      <w:r w:rsidR="00757148">
        <w:t xml:space="preserve">. </w:t>
      </w:r>
      <w:r w:rsidR="007A4A4B" w:rsidRPr="00B76A73">
        <w:t>Job openings</w:t>
      </w:r>
      <w:r w:rsidR="007A4A4B" w:rsidRPr="00B76A73">
        <w:rPr>
          <w:rStyle w:val="FootnoteReference"/>
        </w:rPr>
        <w:footnoteReference w:id="21"/>
      </w:r>
      <w:r w:rsidR="007A4A4B" w:rsidRPr="00B76A73">
        <w:t xml:space="preserve"> totaled </w:t>
      </w:r>
      <w:r w:rsidR="00071B80">
        <w:t>8.</w:t>
      </w:r>
      <w:r w:rsidR="00E37ACE">
        <w:t>1</w:t>
      </w:r>
      <w:r w:rsidR="00CE5A3E" w:rsidRPr="00B76A73">
        <w:t xml:space="preserve"> million in </w:t>
      </w:r>
      <w:r w:rsidR="00071B80">
        <w:t>Ma</w:t>
      </w:r>
      <w:r w:rsidR="00E37ACE">
        <w:t>y</w:t>
      </w:r>
      <w:r w:rsidR="00071B80">
        <w:t xml:space="preserve"> 2024</w:t>
      </w:r>
      <w:r w:rsidR="00CE5A3E" w:rsidRPr="00B76A73">
        <w:t xml:space="preserve">, </w:t>
      </w:r>
      <w:r w:rsidR="00071B80" w:rsidRPr="00B76A73">
        <w:t>2.</w:t>
      </w:r>
      <w:r w:rsidR="00E37ACE">
        <w:t>4</w:t>
      </w:r>
      <w:r w:rsidR="00071B80" w:rsidRPr="00B76A73">
        <w:t xml:space="preserve"> times the number of resignations</w:t>
      </w:r>
      <w:r w:rsidR="00071B80">
        <w:t xml:space="preserve">. The job openings count was </w:t>
      </w:r>
      <w:r w:rsidR="00E37ACE">
        <w:t>up 2.8</w:t>
      </w:r>
      <w:r w:rsidR="00071B80">
        <w:t xml:space="preserve">% </w:t>
      </w:r>
      <w:r w:rsidR="00E37ACE">
        <w:t>from April</w:t>
      </w:r>
      <w:r w:rsidR="00071B80">
        <w:t xml:space="preserve"> </w:t>
      </w:r>
      <w:r w:rsidR="00E37ACE">
        <w:t>but down</w:t>
      </w:r>
      <w:r w:rsidR="00071B80">
        <w:t xml:space="preserve"> </w:t>
      </w:r>
      <w:r w:rsidR="00E37ACE">
        <w:t>12.6</w:t>
      </w:r>
      <w:r w:rsidR="00071B80">
        <w:t xml:space="preserve">% from </w:t>
      </w:r>
      <w:r w:rsidR="00E37ACE">
        <w:t>May 2023</w:t>
      </w:r>
      <w:r w:rsidR="00071B80">
        <w:t>.</w:t>
      </w:r>
    </w:p>
    <w:p w14:paraId="799A9D83" w14:textId="104E02B2" w:rsidR="009526E8" w:rsidRPr="00B76A73" w:rsidRDefault="002257C5" w:rsidP="009526E8">
      <w:pPr>
        <w:jc w:val="center"/>
      </w:pPr>
      <w:r>
        <w:rPr>
          <w:noProof/>
        </w:rPr>
        <w:lastRenderedPageBreak/>
        <w:drawing>
          <wp:inline distT="0" distB="0" distL="0" distR="0" wp14:anchorId="7113537C" wp14:editId="3A3EA508">
            <wp:extent cx="3499485" cy="2633980"/>
            <wp:effectExtent l="0" t="0" r="5715" b="0"/>
            <wp:docPr id="50806566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205F54" w14:textId="72610DBB" w:rsidR="007A4896" w:rsidRPr="00B76A73" w:rsidRDefault="007A4896" w:rsidP="007A4896">
      <w:r w:rsidRPr="00B76A73">
        <w:t xml:space="preserve">The U-6 </w:t>
      </w:r>
      <w:r w:rsidR="00895002" w:rsidRPr="00B76A73">
        <w:t xml:space="preserve">unemployment </w:t>
      </w:r>
      <w:r w:rsidRPr="00B76A73">
        <w:t>rate</w:t>
      </w:r>
      <w:r w:rsidR="009D7CB0" w:rsidRPr="00B76A73">
        <w:rPr>
          <w:rStyle w:val="FootnoteReference"/>
        </w:rPr>
        <w:footnoteReference w:id="22"/>
      </w:r>
      <w:r w:rsidRPr="00B76A73">
        <w:t xml:space="preserve"> is an alternative measure of unemployment with a broader definition, </w:t>
      </w:r>
      <w:r w:rsidR="001F297B" w:rsidRPr="00B76A73">
        <w:t>including such groups</w:t>
      </w:r>
      <w:r w:rsidRPr="00B76A73">
        <w:t xml:space="preserve"> as discouraged workers who are not actively searching for jobs but want full-time work and part-time workers who want full-time work. The U</w:t>
      </w:r>
      <w:r w:rsidRPr="00B76A73">
        <w:noBreakHyphen/>
        <w:t xml:space="preserve">6 </w:t>
      </w:r>
      <w:r w:rsidR="00895002" w:rsidRPr="00B76A73">
        <w:t xml:space="preserve">unemployment </w:t>
      </w:r>
      <w:r w:rsidRPr="00B76A73">
        <w:t xml:space="preserve">rate </w:t>
      </w:r>
      <w:r w:rsidR="00CE5A3E" w:rsidRPr="00B76A73">
        <w:t xml:space="preserve">has generally followed the same pattern as the official </w:t>
      </w:r>
      <w:r w:rsidR="004564C6" w:rsidRPr="00B76A73">
        <w:t>rate and</w:t>
      </w:r>
      <w:r w:rsidR="00CE5A3E" w:rsidRPr="00B76A73">
        <w:t xml:space="preserve"> stood</w:t>
      </w:r>
      <w:r w:rsidR="00985656" w:rsidRPr="00B76A73">
        <w:t xml:space="preserve"> at</w:t>
      </w:r>
      <w:r w:rsidR="00CE5A3E" w:rsidRPr="00B76A73">
        <w:t xml:space="preserve"> </w:t>
      </w:r>
      <w:r w:rsidR="000C2DE9">
        <w:t>7.</w:t>
      </w:r>
      <w:r w:rsidR="00E37ACE">
        <w:t>4</w:t>
      </w:r>
      <w:r w:rsidR="00CE5A3E" w:rsidRPr="00B76A73">
        <w:t xml:space="preserve">% in </w:t>
      </w:r>
      <w:r w:rsidR="00E37ACE">
        <w:t>June</w:t>
      </w:r>
      <w:r w:rsidR="00827600">
        <w:t xml:space="preserve"> 2024</w:t>
      </w:r>
      <w:r w:rsidRPr="00B76A73">
        <w:t>.</w:t>
      </w:r>
    </w:p>
    <w:p w14:paraId="6B09010C" w14:textId="1851E552" w:rsidR="007A4896" w:rsidRPr="00B76A73" w:rsidRDefault="002257C5" w:rsidP="004846E4">
      <w:pPr>
        <w:jc w:val="center"/>
      </w:pPr>
      <w:r>
        <w:rPr>
          <w:noProof/>
        </w:rPr>
        <w:drawing>
          <wp:inline distT="0" distB="0" distL="0" distR="0" wp14:anchorId="080A15B8" wp14:editId="44EB7770">
            <wp:extent cx="3487420" cy="2633980"/>
            <wp:effectExtent l="0" t="0" r="0" b="0"/>
            <wp:docPr id="204962914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58EAA" w14:textId="6403A649" w:rsidR="003412DA" w:rsidRPr="00B76A73" w:rsidRDefault="009D7CB0" w:rsidP="0033429E">
      <w:r w:rsidRPr="00B76A73">
        <w:t>Nonfarm p</w:t>
      </w:r>
      <w:r w:rsidR="003412DA" w:rsidRPr="00B76A73">
        <w:t>ayrolls</w:t>
      </w:r>
      <w:r w:rsidRPr="00B76A73">
        <w:rPr>
          <w:rStyle w:val="FootnoteReference"/>
        </w:rPr>
        <w:footnoteReference w:id="23"/>
      </w:r>
      <w:r w:rsidR="003412DA" w:rsidRPr="00B76A73">
        <w:t xml:space="preserve"> </w:t>
      </w:r>
      <w:r w:rsidR="00281B1D">
        <w:t>grew</w:t>
      </w:r>
      <w:r w:rsidR="003412DA" w:rsidRPr="00B76A73">
        <w:t xml:space="preserve"> by </w:t>
      </w:r>
      <w:r w:rsidR="00A25362">
        <w:t>0.</w:t>
      </w:r>
      <w:r w:rsidR="00BE0B31">
        <w:t>5</w:t>
      </w:r>
      <w:r w:rsidR="003412DA" w:rsidRPr="00B76A73">
        <w:t xml:space="preserve"> million jobs in </w:t>
      </w:r>
      <w:r w:rsidR="008A7107" w:rsidRPr="00B76A73">
        <w:t xml:space="preserve">the </w:t>
      </w:r>
      <w:r w:rsidR="00BE0B31">
        <w:t>2</w:t>
      </w:r>
      <w:r w:rsidR="00BE0B31" w:rsidRPr="00BE0B31">
        <w:rPr>
          <w:vertAlign w:val="superscript"/>
        </w:rPr>
        <w:t>nd</w:t>
      </w:r>
      <w:r w:rsidR="00BE0B31">
        <w:t xml:space="preserve"> </w:t>
      </w:r>
      <w:r w:rsidR="008A7107" w:rsidRPr="00B76A73">
        <w:t xml:space="preserve">quarter. </w:t>
      </w:r>
      <w:r w:rsidR="00BD4FA3" w:rsidRPr="00B76A73">
        <w:t>U.S.</w:t>
      </w:r>
      <w:r w:rsidR="008A7107" w:rsidRPr="00B76A73">
        <w:t xml:space="preserve"> nonfarm payrolls </w:t>
      </w:r>
      <w:r w:rsidR="00F72263" w:rsidRPr="00B76A73">
        <w:t xml:space="preserve">in </w:t>
      </w:r>
      <w:r w:rsidR="00BE0B31">
        <w:t>June</w:t>
      </w:r>
      <w:r w:rsidR="00827600">
        <w:t xml:space="preserve"> 2024</w:t>
      </w:r>
      <w:r w:rsidR="00F72263" w:rsidRPr="00B76A73">
        <w:t xml:space="preserve"> totaled</w:t>
      </w:r>
      <w:r w:rsidR="008A7107" w:rsidRPr="00B76A73">
        <w:t xml:space="preserve"> </w:t>
      </w:r>
      <w:r w:rsidR="0022416D" w:rsidRPr="00B76A73">
        <w:t>15</w:t>
      </w:r>
      <w:r w:rsidR="00827600">
        <w:t>8</w:t>
      </w:r>
      <w:r w:rsidR="00362059">
        <w:t>.</w:t>
      </w:r>
      <w:r w:rsidR="00E37ACE">
        <w:t>6</w:t>
      </w:r>
      <w:r w:rsidR="00204969" w:rsidRPr="00B76A73">
        <w:t xml:space="preserve"> million</w:t>
      </w:r>
      <w:r w:rsidR="00175A46" w:rsidRPr="00B76A73">
        <w:t xml:space="preserve"> jobs</w:t>
      </w:r>
      <w:r w:rsidR="008A7107" w:rsidRPr="00B76A73">
        <w:t>, up</w:t>
      </w:r>
      <w:r w:rsidR="00A14C86" w:rsidRPr="00B76A73">
        <w:t xml:space="preserve"> </w:t>
      </w:r>
      <w:r w:rsidR="00827600">
        <w:t>2.</w:t>
      </w:r>
      <w:r w:rsidR="00BE0B31">
        <w:t>6</w:t>
      </w:r>
      <w:r w:rsidR="00A14C86" w:rsidRPr="00B76A73">
        <w:t xml:space="preserve"> million </w:t>
      </w:r>
      <w:r w:rsidR="00567138">
        <w:t xml:space="preserve">from the prior </w:t>
      </w:r>
      <w:r w:rsidR="00BE0B31">
        <w:t>June</w:t>
      </w:r>
      <w:r w:rsidR="00B46091">
        <w:t xml:space="preserve">. </w:t>
      </w:r>
      <w:r w:rsidR="00BE0B31">
        <w:t>June’s</w:t>
      </w:r>
      <w:r w:rsidR="00E45DC1">
        <w:t xml:space="preserve"> </w:t>
      </w:r>
      <w:r w:rsidR="009E6751">
        <w:t>job market growt</w:t>
      </w:r>
      <w:r w:rsidR="00C367E1">
        <w:t xml:space="preserve">h </w:t>
      </w:r>
      <w:r w:rsidR="00BE0B31">
        <w:t xml:space="preserve">was highly concentrated in healthcare and social assistance and government, especially </w:t>
      </w:r>
      <w:r w:rsidR="00BE0B31">
        <w:lastRenderedPageBreak/>
        <w:t>education</w:t>
      </w:r>
      <w:r w:rsidR="00E16DF8" w:rsidRPr="00B76A73">
        <w:t>.</w:t>
      </w:r>
      <w:r w:rsidR="00BE0B31">
        <w:t xml:space="preserve"> Several other sectors gained jobs, such as construction and wholesale trade, while three sectors lost jobs—professional and business services, retail trade, and manufacturing.</w:t>
      </w:r>
    </w:p>
    <w:p w14:paraId="1926EEEC" w14:textId="3C2F27CE" w:rsidR="0017576B" w:rsidRPr="00B76A73" w:rsidRDefault="002257C5" w:rsidP="009526E8">
      <w:pPr>
        <w:jc w:val="center"/>
      </w:pPr>
      <w:r>
        <w:rPr>
          <w:noProof/>
        </w:rPr>
        <w:drawing>
          <wp:inline distT="0" distB="0" distL="0" distR="0" wp14:anchorId="061D9C54" wp14:editId="7AE19C1E">
            <wp:extent cx="3858895" cy="2633980"/>
            <wp:effectExtent l="0" t="0" r="8255" b="0"/>
            <wp:docPr id="104627417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38" w14:textId="77777777" w:rsidR="00005111" w:rsidRPr="00B76A73" w:rsidRDefault="00005111" w:rsidP="001475FF">
      <w:pPr>
        <w:pStyle w:val="Heading1"/>
      </w:pPr>
      <w:r w:rsidRPr="00B76A73">
        <w:t>Inflation</w:t>
      </w:r>
    </w:p>
    <w:p w14:paraId="042F9DA5" w14:textId="7A764894" w:rsidR="00FB70B1" w:rsidRDefault="00587D0C" w:rsidP="00816355">
      <w:r>
        <w:t>I</w:t>
      </w:r>
      <w:r w:rsidR="00E37D74" w:rsidRPr="00E37D74">
        <w:t xml:space="preserve">n the </w:t>
      </w:r>
      <w:r w:rsidR="00816355">
        <w:t>2</w:t>
      </w:r>
      <w:r w:rsidR="00816355" w:rsidRPr="00816355">
        <w:rPr>
          <w:vertAlign w:val="superscript"/>
        </w:rPr>
        <w:t>nd</w:t>
      </w:r>
      <w:r w:rsidR="00816355">
        <w:t xml:space="preserve"> </w:t>
      </w:r>
      <w:r w:rsidR="001E1516">
        <w:t>quarter of 202</w:t>
      </w:r>
      <w:r w:rsidR="006A219A">
        <w:t>4</w:t>
      </w:r>
      <w:r w:rsidR="00E37D74" w:rsidRPr="00E37D74">
        <w:t xml:space="preserve">, </w:t>
      </w:r>
      <w:r>
        <w:t xml:space="preserve">inflation </w:t>
      </w:r>
      <w:r w:rsidR="00816355">
        <w:t>kept</w:t>
      </w:r>
      <w:r w:rsidR="003A3763">
        <w:t xml:space="preserve"> a more moderate pace than much of 2021 and 2022. T</w:t>
      </w:r>
      <w:r w:rsidR="00186B0E">
        <w:t>h</w:t>
      </w:r>
      <w:r w:rsidR="00661AA7" w:rsidRPr="00B76A73">
        <w:t>e Consumer Price Index</w:t>
      </w:r>
      <w:r w:rsidR="009B52AF" w:rsidRPr="00B76A73">
        <w:rPr>
          <w:rStyle w:val="FootnoteReference"/>
        </w:rPr>
        <w:footnoteReference w:id="24"/>
      </w:r>
      <w:r w:rsidR="00661AA7" w:rsidRPr="00B76A73">
        <w:t xml:space="preserve"> </w:t>
      </w:r>
      <w:r w:rsidR="007A46C7">
        <w:t xml:space="preserve">for all items </w:t>
      </w:r>
      <w:r w:rsidR="003A3763">
        <w:t>rose</w:t>
      </w:r>
      <w:r w:rsidR="000D4AF1" w:rsidRPr="00B76A73">
        <w:t xml:space="preserve"> </w:t>
      </w:r>
      <w:r w:rsidR="000773EC">
        <w:t>3.</w:t>
      </w:r>
      <w:r w:rsidR="00816355">
        <w:t>0</w:t>
      </w:r>
      <w:r w:rsidR="000D4AF1" w:rsidRPr="00B76A73">
        <w:t xml:space="preserve">% </w:t>
      </w:r>
      <w:r w:rsidR="00186B0E">
        <w:t>for the year ended</w:t>
      </w:r>
      <w:r w:rsidR="000D4AF1" w:rsidRPr="00B76A73">
        <w:t xml:space="preserve"> </w:t>
      </w:r>
      <w:r w:rsidR="004F3E9A">
        <w:t>June</w:t>
      </w:r>
      <w:r w:rsidR="008B0036">
        <w:t xml:space="preserve"> 202</w:t>
      </w:r>
      <w:r w:rsidR="006A219A">
        <w:t>4</w:t>
      </w:r>
      <w:r w:rsidR="009A3D20">
        <w:t xml:space="preserve">. </w:t>
      </w:r>
      <w:r w:rsidR="00EC3090">
        <w:t xml:space="preserve">Since last June, notable price increases included </w:t>
      </w:r>
      <w:r w:rsidR="00502F8D">
        <w:t>shelter, motor vehicle insurance, medical care, personal care, and recreation, as well as food</w:t>
      </w:r>
      <w:r w:rsidR="00EC3090">
        <w:t>. Prices for e</w:t>
      </w:r>
      <w:r w:rsidR="00502F8D">
        <w:t>nergy</w:t>
      </w:r>
      <w:r w:rsidR="00EC3090">
        <w:t xml:space="preserve"> goods also rose, except for gasoline</w:t>
      </w:r>
      <w:r w:rsidR="00186B0E">
        <w:t xml:space="preserve">. </w:t>
      </w:r>
      <w:r w:rsidR="002E0F29" w:rsidRPr="00B76A73">
        <w:t>Excluding volatile energy prices</w:t>
      </w:r>
      <w:r w:rsidR="00EF1F20" w:rsidRPr="00B76A73">
        <w:rPr>
          <w:rStyle w:val="FootnoteReference"/>
        </w:rPr>
        <w:footnoteReference w:id="25"/>
      </w:r>
      <w:r w:rsidR="002E0F29" w:rsidRPr="00B76A73">
        <w:t xml:space="preserve">, </w:t>
      </w:r>
      <w:r w:rsidR="004F3E9A">
        <w:t xml:space="preserve">the </w:t>
      </w:r>
      <w:r w:rsidR="000F02FB" w:rsidRPr="00B76A73">
        <w:t>annual increase was</w:t>
      </w:r>
      <w:r w:rsidR="003A2900" w:rsidRPr="00B76A73">
        <w:t xml:space="preserve"> </w:t>
      </w:r>
      <w:r w:rsidR="008D5F3E">
        <w:t>3.</w:t>
      </w:r>
      <w:r w:rsidR="004F3E9A">
        <w:t>1</w:t>
      </w:r>
      <w:r w:rsidR="0062363E">
        <w:t>%</w:t>
      </w:r>
      <w:r w:rsidR="000D4AF1" w:rsidRPr="00B76A73">
        <w:t xml:space="preserve">. </w:t>
      </w:r>
      <w:r w:rsidR="000F02FB" w:rsidRPr="00B76A73">
        <w:t>The average</w:t>
      </w:r>
      <w:r w:rsidR="000D4AF1" w:rsidRPr="00B76A73">
        <w:t xml:space="preserve"> price</w:t>
      </w:r>
      <w:r w:rsidR="005C22CA" w:rsidRPr="00B76A73">
        <w:t xml:space="preserve"> of a gallon of gas</w:t>
      </w:r>
      <w:r w:rsidR="003A2900" w:rsidRPr="00B76A73">
        <w:rPr>
          <w:rStyle w:val="FootnoteReference"/>
        </w:rPr>
        <w:footnoteReference w:id="26"/>
      </w:r>
      <w:r w:rsidR="005C22CA" w:rsidRPr="00B76A73">
        <w:t xml:space="preserve"> </w:t>
      </w:r>
      <w:r w:rsidR="000F02FB" w:rsidRPr="00B76A73">
        <w:t xml:space="preserve">in the U.S. </w:t>
      </w:r>
      <w:r w:rsidR="004F3E9A">
        <w:t>rose 0.6</w:t>
      </w:r>
      <w:r w:rsidR="008D5F3E">
        <w:t xml:space="preserve">% during the </w:t>
      </w:r>
      <w:r w:rsidR="004F3E9A">
        <w:t>2</w:t>
      </w:r>
      <w:r w:rsidR="004F3E9A" w:rsidRPr="004F3E9A">
        <w:rPr>
          <w:vertAlign w:val="superscript"/>
        </w:rPr>
        <w:t>nd</w:t>
      </w:r>
      <w:r w:rsidR="004F3E9A">
        <w:t xml:space="preserve"> </w:t>
      </w:r>
      <w:r w:rsidR="008D5F3E">
        <w:t>quarter 202</w:t>
      </w:r>
      <w:r w:rsidR="006A219A">
        <w:t>4</w:t>
      </w:r>
      <w:r w:rsidR="009A3D20">
        <w:t xml:space="preserve"> to</w:t>
      </w:r>
      <w:r w:rsidR="003B3369">
        <w:t xml:space="preserve"> $3.</w:t>
      </w:r>
      <w:r w:rsidR="004F3E9A">
        <w:t>60</w:t>
      </w:r>
      <w:r w:rsidR="008D5F3E">
        <w:t xml:space="preserve">. </w:t>
      </w:r>
      <w:r w:rsidR="004F3E9A">
        <w:t>June’s</w:t>
      </w:r>
      <w:r w:rsidR="008D5F3E">
        <w:t xml:space="preserve"> average price was</w:t>
      </w:r>
      <w:r w:rsidR="0062363E">
        <w:t xml:space="preserve"> </w:t>
      </w:r>
      <w:r w:rsidR="004F3E9A">
        <w:t>3.0% lower</w:t>
      </w:r>
      <w:r w:rsidR="0062363E">
        <w:t xml:space="preserve"> than </w:t>
      </w:r>
      <w:r w:rsidR="008D5F3E">
        <w:t>one year prior</w:t>
      </w:r>
      <w:r w:rsidR="008B3356" w:rsidRPr="00B76A73">
        <w:t>.</w:t>
      </w:r>
    </w:p>
    <w:p w14:paraId="0C62F3E2" w14:textId="21CAB4F0" w:rsidR="008F76E4" w:rsidRDefault="000F02FB" w:rsidP="00EC3090">
      <w:r w:rsidRPr="00A130A4">
        <w:t xml:space="preserve">In the month of </w:t>
      </w:r>
      <w:r w:rsidR="00EC3090">
        <w:t>June</w:t>
      </w:r>
      <w:r w:rsidR="00A130A4" w:rsidRPr="00A130A4">
        <w:t xml:space="preserve"> 2024</w:t>
      </w:r>
      <w:r w:rsidRPr="00A130A4">
        <w:t xml:space="preserve">, </w:t>
      </w:r>
      <w:r w:rsidR="00EC3090">
        <w:t>prices fell for energy, especially gasoline. Moderating the decline were higher prices for shelter, as well as motor vehicle insurance, household furnishings and operations, medical care, and personal care</w:t>
      </w:r>
      <w:r w:rsidR="00156E24" w:rsidRPr="00B76A73">
        <w:t>.</w:t>
      </w:r>
      <w:r w:rsidR="000D76D6">
        <w:t xml:space="preserve"> </w:t>
      </w:r>
      <w:r w:rsidR="00EC3090">
        <w:t>Prices also rose for food</w:t>
      </w:r>
      <w:r w:rsidR="00D53455">
        <w:t>, both away from home and at home</w:t>
      </w:r>
      <w:r w:rsidR="00EC3090">
        <w:t>.</w:t>
      </w:r>
    </w:p>
    <w:p w14:paraId="52A0C1E8" w14:textId="276C2F6B" w:rsidR="00176F91" w:rsidRPr="00B76A73" w:rsidRDefault="000D4AF1" w:rsidP="00005111">
      <w:r w:rsidRPr="00B76A73">
        <w:t>The Federal Reserve</w:t>
      </w:r>
      <w:r w:rsidR="00A130A4">
        <w:t xml:space="preserve">, which had </w:t>
      </w:r>
      <w:r w:rsidR="000F02FB" w:rsidRPr="00B76A73">
        <w:t>been</w:t>
      </w:r>
      <w:r w:rsidR="00350673" w:rsidRPr="00B76A73">
        <w:t xml:space="preserve"> taking </w:t>
      </w:r>
      <w:r w:rsidR="007C25F4">
        <w:t xml:space="preserve">aggressive </w:t>
      </w:r>
      <w:r w:rsidR="00350673" w:rsidRPr="00B76A73">
        <w:t>action to curb inflatio</w:t>
      </w:r>
      <w:r w:rsidR="00F151F3" w:rsidRPr="00B76A73">
        <w:t xml:space="preserve">n </w:t>
      </w:r>
      <w:r w:rsidR="000F02FB" w:rsidRPr="00B76A73">
        <w:t xml:space="preserve">with a series of target interest rate hikes totaling </w:t>
      </w:r>
      <w:r w:rsidR="000D76D6">
        <w:t>5.</w:t>
      </w:r>
      <w:r w:rsidR="009A3D20">
        <w:t>25</w:t>
      </w:r>
      <w:r w:rsidR="00091209" w:rsidRPr="00B76A73">
        <w:t xml:space="preserve"> percentage points</w:t>
      </w:r>
      <w:r w:rsidR="000F02FB" w:rsidRPr="00B76A73">
        <w:t xml:space="preserve"> </w:t>
      </w:r>
      <w:r w:rsidR="00F6477F">
        <w:t>from</w:t>
      </w:r>
      <w:r w:rsidR="000F02FB" w:rsidRPr="00B76A73">
        <w:t xml:space="preserve"> March 2022</w:t>
      </w:r>
      <w:r w:rsidR="00F6477F">
        <w:t xml:space="preserve"> to July 2023</w:t>
      </w:r>
      <w:r w:rsidR="00A130A4">
        <w:t>, continued to hold</w:t>
      </w:r>
      <w:r w:rsidR="009A3D20">
        <w:t xml:space="preserve"> </w:t>
      </w:r>
      <w:r w:rsidR="00F6477F">
        <w:t>the</w:t>
      </w:r>
      <w:r w:rsidR="00924581">
        <w:t xml:space="preserve"> target rate </w:t>
      </w:r>
      <w:r w:rsidR="008F76E4">
        <w:t xml:space="preserve">steady </w:t>
      </w:r>
      <w:r w:rsidR="00893395">
        <w:t xml:space="preserve">throughout the </w:t>
      </w:r>
      <w:r w:rsidR="00EC3090">
        <w:t>2</w:t>
      </w:r>
      <w:r w:rsidR="00EC3090" w:rsidRPr="00EC3090">
        <w:rPr>
          <w:vertAlign w:val="superscript"/>
        </w:rPr>
        <w:t>nd</w:t>
      </w:r>
      <w:r w:rsidR="00EC3090">
        <w:t xml:space="preserve"> </w:t>
      </w:r>
      <w:r w:rsidR="00893395">
        <w:t>quarter of 202</w:t>
      </w:r>
      <w:r w:rsidR="00A130A4">
        <w:t xml:space="preserve">4. </w:t>
      </w:r>
      <w:r w:rsidR="00F6477F">
        <w:t xml:space="preserve">While multiple rate cuts had been expected in 2024, </w:t>
      </w:r>
      <w:r w:rsidR="00EC3090">
        <w:t>sluggish cooling of</w:t>
      </w:r>
      <w:r w:rsidR="00F6477F">
        <w:t xml:space="preserve"> inflation </w:t>
      </w:r>
      <w:r w:rsidR="00EC3090">
        <w:t xml:space="preserve">data and continued economic </w:t>
      </w:r>
      <w:r w:rsidR="00EC3090">
        <w:lastRenderedPageBreak/>
        <w:t xml:space="preserve">strength </w:t>
      </w:r>
      <w:r w:rsidR="00F6477F">
        <w:t>in the 1</w:t>
      </w:r>
      <w:r w:rsidR="00F6477F" w:rsidRPr="00F6477F">
        <w:rPr>
          <w:vertAlign w:val="superscript"/>
        </w:rPr>
        <w:t>st</w:t>
      </w:r>
      <w:r w:rsidR="00F6477F">
        <w:t xml:space="preserve"> </w:t>
      </w:r>
      <w:r w:rsidR="00EC3090">
        <w:t>half</w:t>
      </w:r>
      <w:r w:rsidR="00F6477F">
        <w:t xml:space="preserve"> prompted the Fed to </w:t>
      </w:r>
      <w:r w:rsidR="008B68A8">
        <w:t xml:space="preserve">leave target rates at their current level and </w:t>
      </w:r>
      <w:r w:rsidR="00EC3090">
        <w:t>revise predictions of future target rates upward</w:t>
      </w:r>
      <w:r w:rsidR="007C25F4">
        <w:t>.</w:t>
      </w:r>
    </w:p>
    <w:p w14:paraId="3ED812A9" w14:textId="7778BF6A" w:rsidR="00176F91" w:rsidRPr="00B76A73" w:rsidRDefault="002257C5" w:rsidP="009526E8">
      <w:pPr>
        <w:jc w:val="center"/>
      </w:pPr>
      <w:r>
        <w:rPr>
          <w:noProof/>
        </w:rPr>
        <w:drawing>
          <wp:inline distT="0" distB="0" distL="0" distR="0" wp14:anchorId="785C0439" wp14:editId="1EF6A731">
            <wp:extent cx="3493135" cy="2633980"/>
            <wp:effectExtent l="0" t="0" r="0" b="0"/>
            <wp:docPr id="127763135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3E" w14:textId="7E5C7216" w:rsidR="00A11CAC" w:rsidRPr="00B76A73" w:rsidRDefault="005B67F4" w:rsidP="006F7FB2">
      <w:r>
        <w:t xml:space="preserve">Wholesale inflation has been quicker to regulate than consumer inflation. </w:t>
      </w:r>
      <w:r w:rsidR="00A17C3A" w:rsidRPr="00B76A73">
        <w:t>The Producer Price Index</w:t>
      </w:r>
      <w:r w:rsidR="009B52AF" w:rsidRPr="00B76A73">
        <w:rPr>
          <w:rStyle w:val="FootnoteReference"/>
        </w:rPr>
        <w:footnoteReference w:id="27"/>
      </w:r>
      <w:r w:rsidR="00A17C3A" w:rsidRPr="00B76A73">
        <w:t xml:space="preserve"> </w:t>
      </w:r>
      <w:r w:rsidR="008B68A8">
        <w:t>rose</w:t>
      </w:r>
      <w:r w:rsidR="00893395">
        <w:t xml:space="preserve"> </w:t>
      </w:r>
      <w:r w:rsidR="003361F5">
        <w:t>0.2</w:t>
      </w:r>
      <w:r w:rsidR="00A94F52" w:rsidRPr="00B76A73">
        <w:t xml:space="preserve">% in </w:t>
      </w:r>
      <w:r w:rsidR="009C2041">
        <w:t xml:space="preserve">the </w:t>
      </w:r>
      <w:r w:rsidR="003361F5">
        <w:t>2</w:t>
      </w:r>
      <w:r w:rsidR="003361F5" w:rsidRPr="003361F5">
        <w:rPr>
          <w:vertAlign w:val="superscript"/>
        </w:rPr>
        <w:t>nd</w:t>
      </w:r>
      <w:r w:rsidR="003361F5">
        <w:t xml:space="preserve"> </w:t>
      </w:r>
      <w:r w:rsidR="009C2041">
        <w:t>quarter</w:t>
      </w:r>
      <w:r w:rsidR="004940F1" w:rsidRPr="00B76A73">
        <w:t xml:space="preserve"> </w:t>
      </w:r>
      <w:r w:rsidR="003361F5">
        <w:t>and 0.6</w:t>
      </w:r>
      <w:r w:rsidR="00235B28" w:rsidRPr="00B76A73">
        <w:t xml:space="preserve">% </w:t>
      </w:r>
      <w:r w:rsidR="00B5639B">
        <w:t>since</w:t>
      </w:r>
      <w:r w:rsidR="00235B28" w:rsidRPr="00B76A73">
        <w:t xml:space="preserve"> </w:t>
      </w:r>
      <w:r w:rsidR="003361F5">
        <w:t>June</w:t>
      </w:r>
      <w:r w:rsidR="008B68A8">
        <w:t xml:space="preserve"> 2023</w:t>
      </w:r>
      <w:r w:rsidR="00B5639B">
        <w:t>. T</w:t>
      </w:r>
      <w:r w:rsidR="00235B28" w:rsidRPr="00B76A73">
        <w:t>he average annual increase over the last 30 years</w:t>
      </w:r>
      <w:r w:rsidR="00B5639B">
        <w:t xml:space="preserve"> was </w:t>
      </w:r>
      <w:r w:rsidR="00B9425C">
        <w:t>2.</w:t>
      </w:r>
      <w:r w:rsidR="00924581">
        <w:t>8</w:t>
      </w:r>
      <w:r w:rsidR="00B9425C">
        <w:t>%</w:t>
      </w:r>
      <w:r w:rsidR="00235B28" w:rsidRPr="00B76A73">
        <w:t>.</w:t>
      </w:r>
      <w:r w:rsidR="00332C5D">
        <w:t xml:space="preserve"> </w:t>
      </w:r>
    </w:p>
    <w:p w14:paraId="149D5F40" w14:textId="56F8997F" w:rsidR="00B94E68" w:rsidRPr="00B76A73" w:rsidRDefault="002257C5" w:rsidP="00166C08">
      <w:pPr>
        <w:jc w:val="center"/>
      </w:pPr>
      <w:r>
        <w:rPr>
          <w:noProof/>
        </w:rPr>
        <w:drawing>
          <wp:inline distT="0" distB="0" distL="0" distR="0" wp14:anchorId="1CD37BCD" wp14:editId="35033442">
            <wp:extent cx="3499485" cy="2633980"/>
            <wp:effectExtent l="0" t="0" r="5715" b="0"/>
            <wp:docPr id="119292995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37979" w14:textId="43B204E8" w:rsidR="00661AA7" w:rsidRPr="00B76A73" w:rsidRDefault="00661AA7" w:rsidP="00661AA7">
      <w:pPr>
        <w:rPr>
          <w:color w:val="000000" w:themeColor="text1"/>
        </w:rPr>
      </w:pPr>
      <w:r w:rsidRPr="00B76A73">
        <w:rPr>
          <w:color w:val="000000" w:themeColor="text1"/>
        </w:rPr>
        <w:t xml:space="preserve">The 5-year </w:t>
      </w:r>
      <w:r w:rsidR="00031DA4" w:rsidRPr="00B76A73">
        <w:rPr>
          <w:color w:val="000000" w:themeColor="text1"/>
        </w:rPr>
        <w:t>breakeven</w:t>
      </w:r>
      <w:r w:rsidRPr="00B76A73">
        <w:rPr>
          <w:color w:val="000000" w:themeColor="text1"/>
        </w:rPr>
        <w:t xml:space="preserve"> inflation rate</w:t>
      </w:r>
      <w:r w:rsidRPr="00B76A73">
        <w:rPr>
          <w:rStyle w:val="FootnoteReference"/>
          <w:color w:val="000000" w:themeColor="text1"/>
        </w:rPr>
        <w:footnoteReference w:id="28"/>
      </w:r>
      <w:r w:rsidRPr="00B76A73">
        <w:rPr>
          <w:color w:val="000000" w:themeColor="text1"/>
        </w:rPr>
        <w:t xml:space="preserve">, an indicator for the market’s inflation expectations for the period, </w:t>
      </w:r>
      <w:r w:rsidR="00240A38">
        <w:rPr>
          <w:color w:val="000000" w:themeColor="text1"/>
        </w:rPr>
        <w:t>declined</w:t>
      </w:r>
      <w:r w:rsidR="00B92E54" w:rsidRPr="00B76A73">
        <w:rPr>
          <w:color w:val="000000" w:themeColor="text1"/>
        </w:rPr>
        <w:t xml:space="preserve"> </w:t>
      </w:r>
      <w:r w:rsidR="00502627">
        <w:rPr>
          <w:color w:val="000000" w:themeColor="text1"/>
        </w:rPr>
        <w:t>to</w:t>
      </w:r>
      <w:r w:rsidR="00502627" w:rsidRPr="00B76A73">
        <w:rPr>
          <w:color w:val="000000" w:themeColor="text1"/>
        </w:rPr>
        <w:t xml:space="preserve"> 2.</w:t>
      </w:r>
      <w:r w:rsidR="00240A38">
        <w:rPr>
          <w:color w:val="000000" w:themeColor="text1"/>
        </w:rPr>
        <w:t>24</w:t>
      </w:r>
      <w:r w:rsidR="00502627" w:rsidRPr="00B76A73">
        <w:rPr>
          <w:color w:val="000000" w:themeColor="text1"/>
        </w:rPr>
        <w:t xml:space="preserve">% </w:t>
      </w:r>
      <w:r w:rsidR="00502627">
        <w:rPr>
          <w:color w:val="000000" w:themeColor="text1"/>
        </w:rPr>
        <w:t>at the end of the</w:t>
      </w:r>
      <w:r w:rsidR="00502627" w:rsidRPr="00B76A73">
        <w:rPr>
          <w:color w:val="000000" w:themeColor="text1"/>
        </w:rPr>
        <w:t xml:space="preserve"> </w:t>
      </w:r>
      <w:r w:rsidR="00240A38">
        <w:rPr>
          <w:color w:val="000000" w:themeColor="text1"/>
        </w:rPr>
        <w:t>2</w:t>
      </w:r>
      <w:r w:rsidR="00240A38" w:rsidRPr="00240A38">
        <w:rPr>
          <w:color w:val="000000" w:themeColor="text1"/>
          <w:vertAlign w:val="superscript"/>
        </w:rPr>
        <w:t>nd</w:t>
      </w:r>
      <w:r w:rsidR="00240A38">
        <w:rPr>
          <w:color w:val="000000" w:themeColor="text1"/>
        </w:rPr>
        <w:t xml:space="preserve"> </w:t>
      </w:r>
      <w:r w:rsidR="00502627" w:rsidRPr="00B76A73">
        <w:rPr>
          <w:color w:val="000000" w:themeColor="text1"/>
        </w:rPr>
        <w:t>quarter</w:t>
      </w:r>
      <w:r w:rsidR="0036005A">
        <w:rPr>
          <w:color w:val="000000" w:themeColor="text1"/>
        </w:rPr>
        <w:t xml:space="preserve"> 2024</w:t>
      </w:r>
      <w:r w:rsidR="00502627" w:rsidRPr="00B76A73">
        <w:rPr>
          <w:color w:val="000000" w:themeColor="text1"/>
        </w:rPr>
        <w:t xml:space="preserve"> </w:t>
      </w:r>
      <w:r w:rsidR="00D8327E" w:rsidRPr="00B76A73">
        <w:rPr>
          <w:color w:val="000000" w:themeColor="text1"/>
        </w:rPr>
        <w:t xml:space="preserve">from </w:t>
      </w:r>
      <w:r w:rsidR="00AD19F0">
        <w:rPr>
          <w:color w:val="000000" w:themeColor="text1"/>
        </w:rPr>
        <w:t>2.</w:t>
      </w:r>
      <w:r w:rsidR="00240A38">
        <w:rPr>
          <w:color w:val="000000" w:themeColor="text1"/>
        </w:rPr>
        <w:t>38</w:t>
      </w:r>
      <w:r w:rsidR="00D44E28" w:rsidRPr="00B76A73">
        <w:rPr>
          <w:color w:val="000000" w:themeColor="text1"/>
        </w:rPr>
        <w:t xml:space="preserve">% </w:t>
      </w:r>
      <w:r w:rsidR="00502627">
        <w:rPr>
          <w:color w:val="000000" w:themeColor="text1"/>
        </w:rPr>
        <w:t xml:space="preserve">at the end of the </w:t>
      </w:r>
      <w:r w:rsidR="00240A38">
        <w:rPr>
          <w:color w:val="000000" w:themeColor="text1"/>
        </w:rPr>
        <w:t>1</w:t>
      </w:r>
      <w:r w:rsidR="00240A38" w:rsidRPr="00240A38">
        <w:rPr>
          <w:color w:val="000000" w:themeColor="text1"/>
          <w:vertAlign w:val="superscript"/>
        </w:rPr>
        <w:t>st</w:t>
      </w:r>
      <w:r w:rsidR="00240A38">
        <w:rPr>
          <w:color w:val="000000" w:themeColor="text1"/>
        </w:rPr>
        <w:t xml:space="preserve"> </w:t>
      </w:r>
      <w:r w:rsidR="002A496C">
        <w:rPr>
          <w:color w:val="000000" w:themeColor="text1"/>
        </w:rPr>
        <w:t>quarter.</w:t>
      </w:r>
    </w:p>
    <w:p w14:paraId="2FA7F119" w14:textId="5BF474EF" w:rsidR="00A83597" w:rsidRPr="00B76A73" w:rsidRDefault="002257C5" w:rsidP="00A83597">
      <w:pPr>
        <w:jc w:val="center"/>
      </w:pPr>
      <w:r>
        <w:rPr>
          <w:noProof/>
        </w:rPr>
        <w:lastRenderedPageBreak/>
        <w:drawing>
          <wp:inline distT="0" distB="0" distL="0" distR="0" wp14:anchorId="6C1DC019" wp14:editId="26746FDF">
            <wp:extent cx="3493135" cy="2633980"/>
            <wp:effectExtent l="0" t="0" r="0" b="0"/>
            <wp:docPr id="11525298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A6E5E" w14:textId="55750CC0" w:rsidR="00F03302" w:rsidRPr="00B76A73" w:rsidRDefault="0074137C" w:rsidP="00A83597">
      <w:r w:rsidRPr="00B76A73">
        <w:t>U.S. crude oil</w:t>
      </w:r>
      <w:r w:rsidRPr="00B76A73">
        <w:rPr>
          <w:rStyle w:val="FootnoteReference"/>
        </w:rPr>
        <w:footnoteReference w:id="29"/>
      </w:r>
      <w:r w:rsidRPr="00B76A73">
        <w:t xml:space="preserve"> </w:t>
      </w:r>
      <w:r w:rsidR="00660C7A" w:rsidRPr="00B76A73">
        <w:t xml:space="preserve">prices </w:t>
      </w:r>
      <w:r w:rsidR="001224FC">
        <w:t>fell</w:t>
      </w:r>
      <w:r w:rsidR="00924581">
        <w:t xml:space="preserve"> in the </w:t>
      </w:r>
      <w:r w:rsidR="001224FC">
        <w:t>2</w:t>
      </w:r>
      <w:r w:rsidR="001224FC" w:rsidRPr="001224FC">
        <w:rPr>
          <w:vertAlign w:val="superscript"/>
        </w:rPr>
        <w:t>nd</w:t>
      </w:r>
      <w:r w:rsidR="0036005A">
        <w:t xml:space="preserve"> </w:t>
      </w:r>
      <w:r w:rsidR="00924581">
        <w:t>quarter,</w:t>
      </w:r>
      <w:r w:rsidR="0036005A">
        <w:t xml:space="preserve"> settling at </w:t>
      </w:r>
      <w:r w:rsidRPr="00B76A73">
        <w:t>$</w:t>
      </w:r>
      <w:r w:rsidR="0036005A">
        <w:t>8</w:t>
      </w:r>
      <w:r w:rsidR="001224FC">
        <w:t>2</w:t>
      </w:r>
      <w:r w:rsidR="0030772B">
        <w:t>.</w:t>
      </w:r>
      <w:r w:rsidR="001224FC">
        <w:t>83</w:t>
      </w:r>
      <w:r w:rsidRPr="00B76A73">
        <w:t xml:space="preserve"> </w:t>
      </w:r>
      <w:r w:rsidR="00F03302" w:rsidRPr="00B76A73">
        <w:t>per barrel</w:t>
      </w:r>
      <w:r w:rsidR="0036005A">
        <w:t xml:space="preserve"> </w:t>
      </w:r>
      <w:r w:rsidR="009155CF">
        <w:t xml:space="preserve">amid relatively soft US demand, </w:t>
      </w:r>
      <w:r w:rsidR="00243E85">
        <w:t xml:space="preserve">partly </w:t>
      </w:r>
      <w:r w:rsidR="009155CF">
        <w:t>attributed to the Fed</w:t>
      </w:r>
      <w:r w:rsidR="00243E85">
        <w:t xml:space="preserve"> foreshadowing plans to keep interest rates high for longer than expected. </w:t>
      </w:r>
      <w:r w:rsidR="009155CF">
        <w:t>US crude and gasoline inventories climbed in June and demand further softened due to coastal flooding</w:t>
      </w:r>
      <w:r w:rsidR="0036005A">
        <w:t>.</w:t>
      </w:r>
      <w:r w:rsidR="009155CF">
        <w:t xml:space="preserve"> </w:t>
      </w:r>
      <w:r w:rsidR="00243E85">
        <w:t>Hopes for a summer rebound in fuel demand and e</w:t>
      </w:r>
      <w:r w:rsidR="009155CF">
        <w:t xml:space="preserve">scalating tensions in the Middle East tempered the price declines. </w:t>
      </w:r>
      <w:r w:rsidR="0036005A" w:rsidRPr="00B76A73">
        <w:t xml:space="preserve">Crude prices ended the </w:t>
      </w:r>
      <w:r w:rsidR="001224FC">
        <w:t>2</w:t>
      </w:r>
      <w:r w:rsidR="001224FC" w:rsidRPr="001224FC">
        <w:rPr>
          <w:vertAlign w:val="superscript"/>
        </w:rPr>
        <w:t>nd</w:t>
      </w:r>
      <w:r w:rsidR="001224FC">
        <w:t xml:space="preserve"> </w:t>
      </w:r>
      <w:r w:rsidR="0036005A" w:rsidRPr="00B76A73">
        <w:t xml:space="preserve">quarter </w:t>
      </w:r>
      <w:r w:rsidR="001224FC">
        <w:t>down 1.3</w:t>
      </w:r>
      <w:r w:rsidR="00B6639B" w:rsidRPr="00B76A73">
        <w:t xml:space="preserve">% </w:t>
      </w:r>
      <w:r w:rsidR="00AD19F0">
        <w:t>from</w:t>
      </w:r>
      <w:r w:rsidR="00B6639B" w:rsidRPr="00B76A73">
        <w:t xml:space="preserve"> </w:t>
      </w:r>
      <w:r w:rsidR="00AD19F0">
        <w:t xml:space="preserve">the prior quarter </w:t>
      </w:r>
      <w:r w:rsidR="001224FC">
        <w:t>but up 17.2</w:t>
      </w:r>
      <w:r w:rsidR="00AD19F0">
        <w:t xml:space="preserve">% </w:t>
      </w:r>
      <w:r w:rsidR="00D468C2">
        <w:t>year-over-year</w:t>
      </w:r>
      <w:r w:rsidR="002E3E26" w:rsidRPr="00B76A73">
        <w:t xml:space="preserve">. </w:t>
      </w:r>
    </w:p>
    <w:p w14:paraId="51050840" w14:textId="17B8BB9D" w:rsidR="00F03302" w:rsidRPr="00B76A73" w:rsidRDefault="002257C5" w:rsidP="00166C08">
      <w:pPr>
        <w:jc w:val="center"/>
      </w:pPr>
      <w:r>
        <w:rPr>
          <w:noProof/>
        </w:rPr>
        <w:drawing>
          <wp:inline distT="0" distB="0" distL="0" distR="0" wp14:anchorId="6394F3DF" wp14:editId="70FC3CE3">
            <wp:extent cx="3609340" cy="2633980"/>
            <wp:effectExtent l="0" t="0" r="0" b="0"/>
            <wp:docPr id="100673725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41" w14:textId="77777777" w:rsidR="00005111" w:rsidRPr="00B76A73" w:rsidRDefault="00005111" w:rsidP="001475FF">
      <w:pPr>
        <w:pStyle w:val="Heading1"/>
      </w:pPr>
      <w:r w:rsidRPr="00B76A73">
        <w:t>Housing</w:t>
      </w:r>
    </w:p>
    <w:p w14:paraId="7135DBE1" w14:textId="39109B5F" w:rsidR="00A96A6A" w:rsidRPr="00B76A73" w:rsidRDefault="00773616">
      <w:r w:rsidRPr="00773616">
        <w:t>P</w:t>
      </w:r>
      <w:r w:rsidR="000F277D" w:rsidRPr="00773616">
        <w:t>ersistently elevated</w:t>
      </w:r>
      <w:r w:rsidR="001328AD" w:rsidRPr="00773616">
        <w:t xml:space="preserve"> mortgage rates</w:t>
      </w:r>
      <w:r w:rsidR="000F277D" w:rsidRPr="00773616">
        <w:t xml:space="preserve"> </w:t>
      </w:r>
      <w:r w:rsidR="001328AD" w:rsidRPr="00773616">
        <w:t xml:space="preserve">continued to constrain </w:t>
      </w:r>
      <w:r w:rsidR="000F277D" w:rsidRPr="00773616">
        <w:t xml:space="preserve">sales in </w:t>
      </w:r>
      <w:r w:rsidR="001328AD" w:rsidRPr="00773616">
        <w:t>the housing market</w:t>
      </w:r>
      <w:r w:rsidR="000E44F9" w:rsidRPr="00773616">
        <w:t xml:space="preserve"> during the </w:t>
      </w:r>
      <w:r w:rsidRPr="00773616">
        <w:t>2</w:t>
      </w:r>
      <w:r w:rsidRPr="00773616">
        <w:rPr>
          <w:vertAlign w:val="superscript"/>
        </w:rPr>
        <w:t>nd</w:t>
      </w:r>
      <w:r w:rsidR="000E44F9" w:rsidRPr="00773616">
        <w:t xml:space="preserve"> quarter of 2024</w:t>
      </w:r>
      <w:r w:rsidRPr="00773616">
        <w:t>, and unsold inventory rose closer to pre-pandemic levels</w:t>
      </w:r>
      <w:r w:rsidR="000E44F9" w:rsidRPr="00773616">
        <w:t xml:space="preserve">. </w:t>
      </w:r>
      <w:r w:rsidR="001328AD" w:rsidRPr="007564AA">
        <w:t xml:space="preserve">Home prices </w:t>
      </w:r>
      <w:r w:rsidR="001328AD" w:rsidRPr="007564AA">
        <w:lastRenderedPageBreak/>
        <w:t>in major cities continued to rise.</w:t>
      </w:r>
      <w:r w:rsidR="00D413F8" w:rsidRPr="00973D0F">
        <w:t xml:space="preserve"> </w:t>
      </w:r>
      <w:r w:rsidR="003F007D" w:rsidRPr="00973D0F">
        <w:t>New</w:t>
      </w:r>
      <w:r w:rsidR="00B0395F" w:rsidRPr="00973D0F">
        <w:t xml:space="preserve"> home</w:t>
      </w:r>
      <w:r w:rsidR="00B0395F" w:rsidRPr="00B76A73">
        <w:t xml:space="preserve"> starts</w:t>
      </w:r>
      <w:r w:rsidR="00C828B0" w:rsidRPr="00B76A73">
        <w:rPr>
          <w:rStyle w:val="FootnoteReference"/>
        </w:rPr>
        <w:footnoteReference w:id="30"/>
      </w:r>
      <w:r w:rsidR="00B0395F" w:rsidRPr="00B76A73">
        <w:t xml:space="preserve"> </w:t>
      </w:r>
      <w:r w:rsidR="006002CC">
        <w:t>rose 4.2</w:t>
      </w:r>
      <w:r w:rsidR="00306EFA">
        <w:t xml:space="preserve">% during the </w:t>
      </w:r>
      <w:r w:rsidR="006002CC">
        <w:t>2</w:t>
      </w:r>
      <w:r w:rsidR="006002CC" w:rsidRPr="006002CC">
        <w:rPr>
          <w:vertAlign w:val="superscript"/>
        </w:rPr>
        <w:t>nd</w:t>
      </w:r>
      <w:r w:rsidR="006002CC">
        <w:t xml:space="preserve"> </w:t>
      </w:r>
      <w:r w:rsidR="00306EFA">
        <w:t>quarter</w:t>
      </w:r>
      <w:r w:rsidR="00F13C1C" w:rsidRPr="00B76A73">
        <w:t xml:space="preserve"> to</w:t>
      </w:r>
      <w:r w:rsidR="00BC04D5" w:rsidRPr="00B76A73">
        <w:t xml:space="preserve"> </w:t>
      </w:r>
      <w:r w:rsidR="00306EFA">
        <w:t xml:space="preserve">a level of </w:t>
      </w:r>
      <w:r w:rsidR="00BC04D5" w:rsidRPr="00B76A73">
        <w:t>1.</w:t>
      </w:r>
      <w:r w:rsidR="00AE186B">
        <w:t>3</w:t>
      </w:r>
      <w:r w:rsidR="006002CC">
        <w:t>5</w:t>
      </w:r>
      <w:r w:rsidR="003F007D" w:rsidRPr="00B76A73">
        <w:t xml:space="preserve"> </w:t>
      </w:r>
      <w:r w:rsidR="00B0395F" w:rsidRPr="00B76A73">
        <w:t>million</w:t>
      </w:r>
      <w:r w:rsidR="00675122" w:rsidRPr="00B76A73">
        <w:t xml:space="preserve"> in </w:t>
      </w:r>
      <w:r w:rsidR="006002CC">
        <w:t xml:space="preserve">June </w:t>
      </w:r>
      <w:r w:rsidR="0031517B">
        <w:t xml:space="preserve">due to </w:t>
      </w:r>
      <w:r w:rsidR="006002CC">
        <w:t xml:space="preserve">a jump </w:t>
      </w:r>
      <w:r w:rsidR="0031517B">
        <w:t>in multi-family home starts; single family home starts declined</w:t>
      </w:r>
      <w:r w:rsidR="00341282" w:rsidRPr="00B76A73">
        <w:t xml:space="preserve">. </w:t>
      </w:r>
      <w:r w:rsidR="00894434" w:rsidRPr="00B76A73">
        <w:t xml:space="preserve">Total new home starts were </w:t>
      </w:r>
      <w:r w:rsidR="00AE186B">
        <w:t>down 4.</w:t>
      </w:r>
      <w:r w:rsidR="006002CC">
        <w:t>4</w:t>
      </w:r>
      <w:r w:rsidR="005D3FB8" w:rsidRPr="00B76A73">
        <w:t xml:space="preserve">% </w:t>
      </w:r>
      <w:r w:rsidR="009C2041">
        <w:t>year-over</w:t>
      </w:r>
      <w:r w:rsidR="0052479C">
        <w:t>-</w:t>
      </w:r>
      <w:r w:rsidR="005D3FB8" w:rsidRPr="00B76A73">
        <w:t>year</w:t>
      </w:r>
      <w:r w:rsidR="00306EFA">
        <w:t xml:space="preserve"> </w:t>
      </w:r>
      <w:r w:rsidR="006002CC">
        <w:t>but</w:t>
      </w:r>
      <w:r w:rsidR="00306EFA">
        <w:t xml:space="preserve"> </w:t>
      </w:r>
      <w:r w:rsidR="00AE186B">
        <w:t xml:space="preserve">stood slightly </w:t>
      </w:r>
      <w:r w:rsidR="006002CC">
        <w:t>above</w:t>
      </w:r>
      <w:r w:rsidR="005D3FB8" w:rsidRPr="00B76A73">
        <w:t xml:space="preserve"> their 30-year average of 1.3</w:t>
      </w:r>
      <w:r w:rsidR="00306EFA">
        <w:t>4</w:t>
      </w:r>
      <w:r w:rsidR="005D3FB8" w:rsidRPr="00B76A73">
        <w:t xml:space="preserve"> million.</w:t>
      </w:r>
      <w:r w:rsidR="00D413F8">
        <w:t xml:space="preserve"> </w:t>
      </w:r>
    </w:p>
    <w:p w14:paraId="149D5F44" w14:textId="10090933" w:rsidR="00B5315D" w:rsidRPr="00B76A73" w:rsidRDefault="002257C5" w:rsidP="001B4B76">
      <w:pPr>
        <w:jc w:val="center"/>
      </w:pPr>
      <w:r>
        <w:rPr>
          <w:noProof/>
        </w:rPr>
        <w:drawing>
          <wp:inline distT="0" distB="0" distL="0" distR="0" wp14:anchorId="6E88B1BE" wp14:editId="45C7760F">
            <wp:extent cx="3822700" cy="2633980"/>
            <wp:effectExtent l="0" t="0" r="6350" b="0"/>
            <wp:docPr id="129343144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46" w14:textId="4D7A837F" w:rsidR="00A96795" w:rsidRPr="00B76A73" w:rsidRDefault="00A223EC" w:rsidP="000A1224">
      <w:r w:rsidRPr="00B76A73">
        <w:t xml:space="preserve">The cost </w:t>
      </w:r>
      <w:r w:rsidR="00BC00A7" w:rsidRPr="00B76A73">
        <w:t xml:space="preserve">of financing </w:t>
      </w:r>
      <w:r w:rsidRPr="00B76A73">
        <w:t xml:space="preserve">for </w:t>
      </w:r>
      <w:r w:rsidR="001B4B76" w:rsidRPr="00B76A73">
        <w:t xml:space="preserve">would-be homebuyers </w:t>
      </w:r>
      <w:r w:rsidR="0031517B">
        <w:t xml:space="preserve">rose during the </w:t>
      </w:r>
      <w:r w:rsidR="006002CC">
        <w:t>2</w:t>
      </w:r>
      <w:r w:rsidR="006002CC" w:rsidRPr="006002CC">
        <w:rPr>
          <w:vertAlign w:val="superscript"/>
        </w:rPr>
        <w:t>nd</w:t>
      </w:r>
      <w:r w:rsidR="0031517B">
        <w:t xml:space="preserve"> </w:t>
      </w:r>
      <w:r w:rsidR="00CC1275" w:rsidRPr="00B76A73">
        <w:t>quarter</w:t>
      </w:r>
      <w:r w:rsidR="00B403A1" w:rsidRPr="00B76A73">
        <w:t xml:space="preserve">, with </w:t>
      </w:r>
      <w:r w:rsidR="001B4B76" w:rsidRPr="00B76A73">
        <w:t>the 30-year fixed-rate mortgage</w:t>
      </w:r>
      <w:r w:rsidR="00250313" w:rsidRPr="00B76A73">
        <w:rPr>
          <w:rStyle w:val="FootnoteReference"/>
        </w:rPr>
        <w:footnoteReference w:id="31"/>
      </w:r>
      <w:r w:rsidR="0081792D" w:rsidRPr="00B76A73">
        <w:t xml:space="preserve"> </w:t>
      </w:r>
      <w:r w:rsidR="00103455">
        <w:t xml:space="preserve">up </w:t>
      </w:r>
      <w:r w:rsidR="006002CC">
        <w:t>1.00</w:t>
      </w:r>
      <w:r w:rsidR="00103455">
        <w:t xml:space="preserve"> percentage points to</w:t>
      </w:r>
      <w:r w:rsidR="0055033B" w:rsidRPr="00B76A73">
        <w:t xml:space="preserve"> </w:t>
      </w:r>
      <w:r w:rsidR="00720495">
        <w:t xml:space="preserve">an average of </w:t>
      </w:r>
      <w:r w:rsidR="00121D6D">
        <w:t>6.</w:t>
      </w:r>
      <w:r w:rsidR="006002CC">
        <w:t>86</w:t>
      </w:r>
      <w:r w:rsidR="0055033B" w:rsidRPr="00B76A73">
        <w:t>%</w:t>
      </w:r>
      <w:r w:rsidR="00103455">
        <w:t xml:space="preserve"> at the end of </w:t>
      </w:r>
      <w:r w:rsidR="006002CC">
        <w:t>June</w:t>
      </w:r>
      <w:r w:rsidR="00103455">
        <w:t xml:space="preserve"> 2024. The average rate was still lower than </w:t>
      </w:r>
      <w:r w:rsidR="00902563">
        <w:t xml:space="preserve">its </w:t>
      </w:r>
      <w:r w:rsidR="00121D6D">
        <w:t>peak</w:t>
      </w:r>
      <w:r w:rsidR="00902563">
        <w:t xml:space="preserve"> of</w:t>
      </w:r>
      <w:r w:rsidR="00121D6D">
        <w:t xml:space="preserve"> 7.79% in late October</w:t>
      </w:r>
      <w:r w:rsidR="001B4B76" w:rsidRPr="00B76A73">
        <w:t>.</w:t>
      </w:r>
      <w:r w:rsidR="00A730DC" w:rsidRPr="00B76A73">
        <w:t xml:space="preserve"> </w:t>
      </w:r>
    </w:p>
    <w:p w14:paraId="0D0A69F6" w14:textId="06E95856" w:rsidR="00A96A6A" w:rsidRPr="00B76A73" w:rsidRDefault="002257C5" w:rsidP="00453708">
      <w:pPr>
        <w:jc w:val="center"/>
      </w:pPr>
      <w:r>
        <w:rPr>
          <w:noProof/>
        </w:rPr>
        <w:drawing>
          <wp:inline distT="0" distB="0" distL="0" distR="0" wp14:anchorId="05C8C083" wp14:editId="57B2F18B">
            <wp:extent cx="3822700" cy="2627630"/>
            <wp:effectExtent l="0" t="0" r="6350" b="1270"/>
            <wp:docPr id="19359375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DE37C" w14:textId="3FB0AB7B" w:rsidR="00A96A6A" w:rsidRPr="00B76A73" w:rsidRDefault="00B767AE" w:rsidP="00773B5B">
      <w:r w:rsidRPr="00003713">
        <w:lastRenderedPageBreak/>
        <w:t>The S&amp;</w:t>
      </w:r>
      <w:r w:rsidR="00BD1AF4" w:rsidRPr="00003713">
        <w:t>P Case-Shiller Home Price Index (20-city)</w:t>
      </w:r>
      <w:r w:rsidR="00B2585A" w:rsidRPr="00003713">
        <w:rPr>
          <w:rStyle w:val="FootnoteReference"/>
        </w:rPr>
        <w:footnoteReference w:id="32"/>
      </w:r>
      <w:r w:rsidR="00BD1AF4" w:rsidRPr="00003713">
        <w:t xml:space="preserve"> </w:t>
      </w:r>
      <w:r w:rsidR="00BC3ABE" w:rsidRPr="00003713">
        <w:t xml:space="preserve">was </w:t>
      </w:r>
      <w:r w:rsidR="00B57F38">
        <w:t>1.1</w:t>
      </w:r>
      <w:r w:rsidR="00A45AD4" w:rsidRPr="00003713">
        <w:t xml:space="preserve">% higher </w:t>
      </w:r>
      <w:r w:rsidR="00B57F38">
        <w:t>quarter-over-quarter</w:t>
      </w:r>
      <w:r w:rsidR="00722380" w:rsidRPr="00003713">
        <w:t xml:space="preserve"> </w:t>
      </w:r>
      <w:r w:rsidR="00F25F1D" w:rsidRPr="00003713">
        <w:t>and</w:t>
      </w:r>
      <w:r w:rsidR="0057468C" w:rsidRPr="00003713">
        <w:t xml:space="preserve"> </w:t>
      </w:r>
      <w:r w:rsidR="007564AA" w:rsidRPr="00003713">
        <w:t>6.7</w:t>
      </w:r>
      <w:r w:rsidR="00F25F1D" w:rsidRPr="00003713">
        <w:t xml:space="preserve">% higher </w:t>
      </w:r>
      <w:r w:rsidR="0057468C" w:rsidRPr="00003713">
        <w:t xml:space="preserve">since </w:t>
      </w:r>
      <w:r w:rsidR="007564AA" w:rsidRPr="00003713">
        <w:t>May</w:t>
      </w:r>
      <w:r w:rsidR="00A45AD4" w:rsidRPr="00003713">
        <w:t xml:space="preserve"> </w:t>
      </w:r>
      <w:r w:rsidR="0057468C" w:rsidRPr="00003713">
        <w:t>202</w:t>
      </w:r>
      <w:r w:rsidR="00902563" w:rsidRPr="00003713">
        <w:t>3</w:t>
      </w:r>
      <w:r w:rsidR="00877F82" w:rsidRPr="00003713">
        <w:t>.</w:t>
      </w:r>
      <w:r w:rsidR="009550AF" w:rsidRPr="00003713">
        <w:t xml:space="preserve"> </w:t>
      </w:r>
      <w:r w:rsidR="00722380" w:rsidRPr="00003713">
        <w:t xml:space="preserve">Led by </w:t>
      </w:r>
      <w:r w:rsidR="00902563" w:rsidRPr="00003713">
        <w:t>New York</w:t>
      </w:r>
      <w:r w:rsidR="00722380" w:rsidRPr="00003713">
        <w:t xml:space="preserve">, </w:t>
      </w:r>
      <w:r w:rsidR="007564AA" w:rsidRPr="00003713">
        <w:t xml:space="preserve">San Diego, Las Vegas, and Los Angeles, </w:t>
      </w:r>
      <w:proofErr w:type="gramStart"/>
      <w:r w:rsidR="00902563" w:rsidRPr="00003713">
        <w:t>all</w:t>
      </w:r>
      <w:r w:rsidR="006C5DCC" w:rsidRPr="00003713">
        <w:t xml:space="preserve"> of</w:t>
      </w:r>
      <w:proofErr w:type="gramEnd"/>
      <w:r w:rsidR="006C5DCC" w:rsidRPr="00003713">
        <w:t xml:space="preserve"> the 20</w:t>
      </w:r>
      <w:r w:rsidR="009550AF" w:rsidRPr="00003713">
        <w:t xml:space="preserve"> cities </w:t>
      </w:r>
      <w:r w:rsidR="00F25F1D" w:rsidRPr="00003713">
        <w:t>experienced</w:t>
      </w:r>
      <w:r w:rsidR="009550AF" w:rsidRPr="00003713">
        <w:t xml:space="preserve"> </w:t>
      </w:r>
      <w:r w:rsidR="00877F82" w:rsidRPr="00003713">
        <w:t xml:space="preserve">one-year </w:t>
      </w:r>
      <w:r w:rsidR="009550AF" w:rsidRPr="00003713">
        <w:t>price increases</w:t>
      </w:r>
      <w:r w:rsidR="00722380" w:rsidRPr="00003713">
        <w:t>.</w:t>
      </w:r>
    </w:p>
    <w:p w14:paraId="149D5F4C" w14:textId="4B721C64" w:rsidR="0064538F" w:rsidRPr="00B76A73" w:rsidRDefault="002257C5" w:rsidP="002775DB">
      <w:pPr>
        <w:jc w:val="center"/>
      </w:pPr>
      <w:r>
        <w:rPr>
          <w:noProof/>
        </w:rPr>
        <w:drawing>
          <wp:inline distT="0" distB="0" distL="0" distR="0" wp14:anchorId="1B55D2C1" wp14:editId="43165971">
            <wp:extent cx="3499485" cy="2633980"/>
            <wp:effectExtent l="0" t="0" r="5715" b="0"/>
            <wp:docPr id="19359540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4D" w14:textId="52E84594" w:rsidR="00005111" w:rsidRPr="00B76A73" w:rsidRDefault="0079609A" w:rsidP="001475FF">
      <w:pPr>
        <w:pStyle w:val="Heading1"/>
      </w:pPr>
      <w:r w:rsidRPr="00B76A73">
        <w:t>Consumer Spending</w:t>
      </w:r>
    </w:p>
    <w:p w14:paraId="149D5F51" w14:textId="0098F14D" w:rsidR="0079609A" w:rsidRPr="00B76A73" w:rsidRDefault="0079609A" w:rsidP="00A04AD3">
      <w:r w:rsidRPr="00B76A73">
        <w:t>Personal Consumption Expenditures (PCE)</w:t>
      </w:r>
      <w:r w:rsidR="00421F60" w:rsidRPr="00B76A73">
        <w:rPr>
          <w:rStyle w:val="FootnoteReference"/>
        </w:rPr>
        <w:footnoteReference w:id="33"/>
      </w:r>
      <w:r w:rsidRPr="00B76A73">
        <w:t xml:space="preserve"> </w:t>
      </w:r>
      <w:r w:rsidR="00282C6E" w:rsidRPr="00B76A73">
        <w:t xml:space="preserve">rose </w:t>
      </w:r>
      <w:r w:rsidR="00773616">
        <w:t>0.9</w:t>
      </w:r>
      <w:r w:rsidR="00282C6E" w:rsidRPr="00B76A73">
        <w:t xml:space="preserve">% in the </w:t>
      </w:r>
      <w:r w:rsidR="00773616">
        <w:t>2</w:t>
      </w:r>
      <w:r w:rsidR="00773616" w:rsidRPr="00773616">
        <w:rPr>
          <w:vertAlign w:val="superscript"/>
        </w:rPr>
        <w:t>nd</w:t>
      </w:r>
      <w:r w:rsidR="00773616">
        <w:t xml:space="preserve"> </w:t>
      </w:r>
      <w:r w:rsidR="00282C6E" w:rsidRPr="00B76A73">
        <w:t>quarter to</w:t>
      </w:r>
      <w:r w:rsidR="00381A81" w:rsidRPr="00B76A73">
        <w:t xml:space="preserve"> </w:t>
      </w:r>
      <w:r w:rsidR="00AA74C1" w:rsidRPr="00B76A73">
        <w:t>$1</w:t>
      </w:r>
      <w:r w:rsidR="00870BFD">
        <w:t>9</w:t>
      </w:r>
      <w:r w:rsidR="00370D64">
        <w:t>.</w:t>
      </w:r>
      <w:r w:rsidR="00104E65">
        <w:t>4</w:t>
      </w:r>
      <w:r w:rsidR="00AA74C1" w:rsidRPr="00B76A73">
        <w:t xml:space="preserve"> trillion</w:t>
      </w:r>
      <w:r w:rsidR="00B57F38">
        <w:t xml:space="preserve"> and</w:t>
      </w:r>
      <w:r w:rsidR="006A656A" w:rsidRPr="00B76A73">
        <w:t xml:space="preserve"> </w:t>
      </w:r>
      <w:r w:rsidR="00D213F9">
        <w:t>5.</w:t>
      </w:r>
      <w:r w:rsidR="00773616">
        <w:t>2</w:t>
      </w:r>
      <w:r w:rsidR="0081792D" w:rsidRPr="00B76A73">
        <w:t xml:space="preserve">% </w:t>
      </w:r>
      <w:r w:rsidR="00B57F38">
        <w:t>over the same</w:t>
      </w:r>
      <w:r w:rsidR="00104E65">
        <w:t xml:space="preserve"> </w:t>
      </w:r>
      <w:r w:rsidR="006A656A" w:rsidRPr="00B76A73">
        <w:t>quarter</w:t>
      </w:r>
      <w:r w:rsidR="0081792D" w:rsidRPr="00B76A73">
        <w:t xml:space="preserve"> </w:t>
      </w:r>
      <w:r w:rsidR="00AA74C1" w:rsidRPr="00B76A73">
        <w:t>last yea</w:t>
      </w:r>
      <w:r w:rsidR="0081792D" w:rsidRPr="00B76A73">
        <w:t>r</w:t>
      </w:r>
      <w:r w:rsidR="002A0B80" w:rsidRPr="00B76A73">
        <w:t>.</w:t>
      </w:r>
      <w:r w:rsidR="00F04BC9" w:rsidRPr="00B76A73">
        <w:t xml:space="preserve"> </w:t>
      </w:r>
      <w:r w:rsidR="00D477E7">
        <w:t>S</w:t>
      </w:r>
      <w:r w:rsidR="00282C6E" w:rsidRPr="00B76A73">
        <w:t xml:space="preserve">pending </w:t>
      </w:r>
      <w:r w:rsidR="00D477E7">
        <w:t xml:space="preserve">increased </w:t>
      </w:r>
      <w:r w:rsidR="00D213F9">
        <w:t xml:space="preserve">in </w:t>
      </w:r>
      <w:r w:rsidR="00773616">
        <w:t>June</w:t>
      </w:r>
      <w:r w:rsidR="00D213F9">
        <w:t xml:space="preserve"> </w:t>
      </w:r>
      <w:r w:rsidR="00973948">
        <w:t>for services such as</w:t>
      </w:r>
      <w:r w:rsidR="00870BFD">
        <w:t xml:space="preserve"> </w:t>
      </w:r>
      <w:r w:rsidR="004A13E8" w:rsidRPr="004A13E8">
        <w:t>other services (led by international travel) and housing and utilities (led by housing</w:t>
      </w:r>
      <w:r w:rsidR="004A13E8">
        <w:t>)</w:t>
      </w:r>
      <w:r w:rsidR="00282C6E" w:rsidRPr="00B76A73">
        <w:t>.</w:t>
      </w:r>
      <w:r w:rsidR="00973948">
        <w:t xml:space="preserve"> Goods spending also increased, </w:t>
      </w:r>
      <w:r w:rsidR="00870BFD">
        <w:t xml:space="preserve">especially for </w:t>
      </w:r>
      <w:r w:rsidR="004A13E8" w:rsidRPr="004A13E8">
        <w:t>other nondurable goods (led by pharmaceutical and other medical products) and recreational goods and vehicles</w:t>
      </w:r>
      <w:r w:rsidR="004A13E8">
        <w:t xml:space="preserve">; however, goods spending was moderated by decreases in </w:t>
      </w:r>
      <w:r w:rsidR="004A13E8" w:rsidRPr="004A13E8">
        <w:t>motor vehicles and parts (led by new motor vehicles) and gasoline and other energy goods</w:t>
      </w:r>
      <w:r w:rsidR="00973948">
        <w:t>.</w:t>
      </w:r>
    </w:p>
    <w:p w14:paraId="419D69CE" w14:textId="5B0C3068" w:rsidR="00A96A6A" w:rsidRPr="00B76A73" w:rsidRDefault="002257C5" w:rsidP="00CF06AE">
      <w:pPr>
        <w:jc w:val="center"/>
      </w:pPr>
      <w:r>
        <w:rPr>
          <w:noProof/>
        </w:rPr>
        <w:lastRenderedPageBreak/>
        <w:drawing>
          <wp:inline distT="0" distB="0" distL="0" distR="0" wp14:anchorId="07B7AD14" wp14:editId="04736C3E">
            <wp:extent cx="3499485" cy="2633980"/>
            <wp:effectExtent l="0" t="0" r="5715" b="0"/>
            <wp:docPr id="37151766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53" w14:textId="02EB25AD" w:rsidR="0079609A" w:rsidRPr="00B76A73" w:rsidRDefault="00D148FE" w:rsidP="00F92FD1">
      <w:r w:rsidRPr="00B76A73">
        <w:t xml:space="preserve">Auto manufacturers </w:t>
      </w:r>
      <w:r w:rsidR="00695980" w:rsidRPr="00B76A73">
        <w:t xml:space="preserve">reported </w:t>
      </w:r>
      <w:r w:rsidR="0079609A" w:rsidRPr="00B76A73">
        <w:t>autos and light trucks sold</w:t>
      </w:r>
      <w:r w:rsidR="00933E80" w:rsidRPr="00B76A73">
        <w:rPr>
          <w:rStyle w:val="FootnoteReference"/>
        </w:rPr>
        <w:footnoteReference w:id="34"/>
      </w:r>
      <w:r w:rsidR="0079609A" w:rsidRPr="00B76A73">
        <w:t xml:space="preserve"> </w:t>
      </w:r>
      <w:r w:rsidR="0099207D">
        <w:t xml:space="preserve">at an annual rate of </w:t>
      </w:r>
      <w:r w:rsidR="0001000F">
        <w:t>1</w:t>
      </w:r>
      <w:r w:rsidR="00FF4B48">
        <w:t>5</w:t>
      </w:r>
      <w:r w:rsidR="0001000F">
        <w:t>.</w:t>
      </w:r>
      <w:r w:rsidR="004A13E8">
        <w:t>3</w:t>
      </w:r>
      <w:r w:rsidR="0099207D" w:rsidRPr="00B76A73">
        <w:t xml:space="preserve"> million </w:t>
      </w:r>
      <w:r w:rsidR="0079609A" w:rsidRPr="00B76A73">
        <w:t xml:space="preserve">in </w:t>
      </w:r>
      <w:r w:rsidR="004A13E8">
        <w:t>June</w:t>
      </w:r>
      <w:r w:rsidR="00FF4B48">
        <w:t xml:space="preserve"> 2024</w:t>
      </w:r>
      <w:r w:rsidR="008B3E4E" w:rsidRPr="00B76A73">
        <w:t>,</w:t>
      </w:r>
      <w:r w:rsidR="005B40E5" w:rsidRPr="00B76A73">
        <w:t xml:space="preserve"> </w:t>
      </w:r>
      <w:r w:rsidR="00FF4B48">
        <w:t xml:space="preserve">down </w:t>
      </w:r>
      <w:r w:rsidR="004A13E8">
        <w:t>1.3</w:t>
      </w:r>
      <w:r w:rsidR="00FF4B48">
        <w:t xml:space="preserve">% from </w:t>
      </w:r>
      <w:r w:rsidR="004A13E8">
        <w:t>March</w:t>
      </w:r>
      <w:r w:rsidR="00140B44" w:rsidRPr="00B76A73">
        <w:t xml:space="preserve">. </w:t>
      </w:r>
      <w:r w:rsidR="00B0457A" w:rsidRPr="00B76A73">
        <w:t>N</w:t>
      </w:r>
      <w:r w:rsidR="00D822BB" w:rsidRPr="00B76A73">
        <w:t>ew vehicle prices</w:t>
      </w:r>
      <w:r w:rsidR="00D822BB" w:rsidRPr="00B76A73">
        <w:rPr>
          <w:rStyle w:val="FootnoteReference"/>
        </w:rPr>
        <w:footnoteReference w:id="35"/>
      </w:r>
      <w:r w:rsidR="00D822BB" w:rsidRPr="00B76A73">
        <w:t xml:space="preserve"> </w:t>
      </w:r>
      <w:r w:rsidR="00FF4B48">
        <w:t xml:space="preserve">remained near their record high, </w:t>
      </w:r>
      <w:r w:rsidR="004A13E8">
        <w:t>inching down 0.1%</w:t>
      </w:r>
      <w:r w:rsidR="00FF4B48">
        <w:t xml:space="preserve"> during the </w:t>
      </w:r>
      <w:r w:rsidR="004A13E8">
        <w:t>2</w:t>
      </w:r>
      <w:r w:rsidR="004A13E8" w:rsidRPr="004A13E8">
        <w:rPr>
          <w:vertAlign w:val="superscript"/>
        </w:rPr>
        <w:t>nd</w:t>
      </w:r>
      <w:r w:rsidR="004A13E8">
        <w:t xml:space="preserve"> </w:t>
      </w:r>
      <w:r w:rsidR="00FF4B48">
        <w:t>quarter</w:t>
      </w:r>
      <w:r w:rsidR="006F67DF">
        <w:t>. U</w:t>
      </w:r>
      <w:r w:rsidR="002530D7" w:rsidRPr="00B76A73">
        <w:t>sed car</w:t>
      </w:r>
      <w:r w:rsidR="00340262" w:rsidRPr="00B76A73">
        <w:t xml:space="preserve"> prices</w:t>
      </w:r>
      <w:r w:rsidR="002530D7" w:rsidRPr="00B76A73">
        <w:rPr>
          <w:rStyle w:val="FootnoteReference"/>
        </w:rPr>
        <w:footnoteReference w:id="36"/>
      </w:r>
      <w:r w:rsidR="00FF4B48">
        <w:t xml:space="preserve"> </w:t>
      </w:r>
      <w:r w:rsidR="004A13E8">
        <w:t>fell 2.3% from</w:t>
      </w:r>
      <w:r w:rsidR="00FF4B48">
        <w:t xml:space="preserve"> March</w:t>
      </w:r>
      <w:r w:rsidR="004A13E8">
        <w:t xml:space="preserve"> to June</w:t>
      </w:r>
      <w:r w:rsidR="002530D7" w:rsidRPr="00B76A73">
        <w:t xml:space="preserve">. </w:t>
      </w:r>
    </w:p>
    <w:p w14:paraId="571A905C" w14:textId="775B087B" w:rsidR="002E3647" w:rsidRPr="00B76A73" w:rsidRDefault="002257C5" w:rsidP="003A679B">
      <w:pPr>
        <w:jc w:val="center"/>
      </w:pPr>
      <w:r>
        <w:rPr>
          <w:noProof/>
        </w:rPr>
        <w:drawing>
          <wp:inline distT="0" distB="0" distL="0" distR="0" wp14:anchorId="529243B8" wp14:editId="506615B1">
            <wp:extent cx="4097020" cy="2633980"/>
            <wp:effectExtent l="0" t="0" r="0" b="0"/>
            <wp:docPr id="27104828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B475FF" w14:textId="206DFB08" w:rsidR="002E3647" w:rsidRPr="00B76A73" w:rsidRDefault="008A581A" w:rsidP="00354195">
      <w:r w:rsidRPr="00B76A73">
        <w:t xml:space="preserve">The </w:t>
      </w:r>
      <w:r w:rsidR="00661AA7" w:rsidRPr="00B76A73">
        <w:t xml:space="preserve">University of Michigan’s </w:t>
      </w:r>
      <w:r w:rsidRPr="00B76A73">
        <w:t>c</w:t>
      </w:r>
      <w:r w:rsidR="008C5503" w:rsidRPr="00B76A73">
        <w:t>onsumer sentiment</w:t>
      </w:r>
      <w:r w:rsidR="00661AA7" w:rsidRPr="00B76A73">
        <w:t xml:space="preserve"> index</w:t>
      </w:r>
      <w:r w:rsidR="00291FFB" w:rsidRPr="00B76A73">
        <w:rPr>
          <w:rStyle w:val="FootnoteReference"/>
        </w:rPr>
        <w:footnoteReference w:id="37"/>
      </w:r>
      <w:r w:rsidR="00B745AA">
        <w:t xml:space="preserve"> </w:t>
      </w:r>
      <w:r w:rsidR="002C0E92">
        <w:t>stood at</w:t>
      </w:r>
      <w:r w:rsidR="006F67DF">
        <w:t xml:space="preserve"> </w:t>
      </w:r>
      <w:r w:rsidR="00347962">
        <w:t>68</w:t>
      </w:r>
      <w:r w:rsidR="00643C6C">
        <w:t>.</w:t>
      </w:r>
      <w:r w:rsidR="00347962">
        <w:t>2</w:t>
      </w:r>
      <w:r w:rsidR="006F67DF">
        <w:t xml:space="preserve"> in </w:t>
      </w:r>
      <w:r w:rsidR="00347962">
        <w:t>June</w:t>
      </w:r>
      <w:r w:rsidR="00643C6C">
        <w:t xml:space="preserve"> 2024</w:t>
      </w:r>
      <w:r w:rsidR="006F67DF">
        <w:t xml:space="preserve">, </w:t>
      </w:r>
      <w:r w:rsidR="00347962">
        <w:t xml:space="preserve">down from 79.4 in March but still above </w:t>
      </w:r>
      <w:r w:rsidR="005233AB">
        <w:t>its</w:t>
      </w:r>
      <w:r w:rsidR="00B745AA">
        <w:t xml:space="preserve"> all</w:t>
      </w:r>
      <w:r w:rsidR="005233AB">
        <w:t>-</w:t>
      </w:r>
      <w:r w:rsidR="00B745AA">
        <w:t>time low of 50.0</w:t>
      </w:r>
      <w:r w:rsidR="005233AB">
        <w:t xml:space="preserve"> </w:t>
      </w:r>
      <w:r w:rsidR="00BB31A5">
        <w:t>in June 2022</w:t>
      </w:r>
      <w:r w:rsidR="00347962">
        <w:t>. The continued elevation in</w:t>
      </w:r>
      <w:r w:rsidR="00347962" w:rsidRPr="00347962">
        <w:t xml:space="preserve"> prices </w:t>
      </w:r>
      <w:r w:rsidR="003105D7">
        <w:t xml:space="preserve">has been an important factor in consumer sentiment in recent months, especially for </w:t>
      </w:r>
      <w:r w:rsidR="003105D7">
        <w:lastRenderedPageBreak/>
        <w:t>lower-income Americans</w:t>
      </w:r>
      <w:r w:rsidR="007679B8">
        <w:t xml:space="preserve">. The index was up </w:t>
      </w:r>
      <w:r w:rsidR="003105D7">
        <w:t>6.2</w:t>
      </w:r>
      <w:r w:rsidR="007679B8">
        <w:t xml:space="preserve">% </w:t>
      </w:r>
      <w:r w:rsidR="00B21FE9">
        <w:t>year-over-year</w:t>
      </w:r>
      <w:r w:rsidR="005233AB">
        <w:t xml:space="preserve"> yet </w:t>
      </w:r>
      <w:r w:rsidR="000022F6">
        <w:t>still</w:t>
      </w:r>
      <w:r w:rsidR="005233AB">
        <w:t xml:space="preserve"> </w:t>
      </w:r>
      <w:r w:rsidR="005233AB" w:rsidRPr="00B76A73">
        <w:t>well below its 30-year average of 8</w:t>
      </w:r>
      <w:r w:rsidR="00EF0010">
        <w:t>6.</w:t>
      </w:r>
      <w:r w:rsidR="003105D7">
        <w:t>1</w:t>
      </w:r>
      <w:r w:rsidR="00D467A8">
        <w:t>.</w:t>
      </w:r>
    </w:p>
    <w:p w14:paraId="182CF22B" w14:textId="7A95C89B" w:rsidR="000D5719" w:rsidRPr="00B76A73" w:rsidRDefault="002257C5" w:rsidP="002E3647">
      <w:pPr>
        <w:jc w:val="center"/>
      </w:pPr>
      <w:r>
        <w:rPr>
          <w:noProof/>
        </w:rPr>
        <w:drawing>
          <wp:inline distT="0" distB="0" distL="0" distR="0" wp14:anchorId="27BB1540" wp14:editId="4C0F1B43">
            <wp:extent cx="4097020" cy="2633980"/>
            <wp:effectExtent l="0" t="0" r="0" b="0"/>
            <wp:docPr id="115510219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56" w14:textId="77777777" w:rsidR="0091664E" w:rsidRPr="00B76A73" w:rsidRDefault="0091664E" w:rsidP="0091664E">
      <w:pPr>
        <w:pStyle w:val="Heading1"/>
      </w:pPr>
      <w:r w:rsidRPr="00B76A73">
        <w:t>Capital Markets</w:t>
      </w:r>
    </w:p>
    <w:p w14:paraId="02A55835" w14:textId="0DFC8B13" w:rsidR="00DF3B1F" w:rsidRDefault="003D1D39" w:rsidP="00B875CA">
      <w:pPr>
        <w:rPr>
          <w:noProof/>
        </w:rPr>
      </w:pPr>
      <w:r w:rsidRPr="000E1968">
        <w:rPr>
          <w:noProof/>
        </w:rPr>
        <w:t xml:space="preserve">The table below shows the </w:t>
      </w:r>
      <w:r w:rsidR="00C427E3" w:rsidRPr="000E1968">
        <w:rPr>
          <w:noProof/>
        </w:rPr>
        <w:t>quarterly, year-to-date,</w:t>
      </w:r>
      <w:r w:rsidRPr="000E1968">
        <w:rPr>
          <w:noProof/>
        </w:rPr>
        <w:t xml:space="preserve"> and 12-month performance of major </w:t>
      </w:r>
      <w:r w:rsidR="00BD4FA3" w:rsidRPr="000E1968">
        <w:rPr>
          <w:noProof/>
        </w:rPr>
        <w:t>U.S.</w:t>
      </w:r>
      <w:r w:rsidRPr="000E1968">
        <w:rPr>
          <w:noProof/>
        </w:rPr>
        <w:t xml:space="preserve"> equity indices. </w:t>
      </w:r>
      <w:r w:rsidR="000F2C3D">
        <w:rPr>
          <w:noProof/>
        </w:rPr>
        <w:t>C</w:t>
      </w:r>
      <w:r w:rsidR="007929C4" w:rsidRPr="005508D0">
        <w:rPr>
          <w:noProof/>
        </w:rPr>
        <w:t>apital markets</w:t>
      </w:r>
      <w:r w:rsidR="00A41749" w:rsidRPr="005508D0">
        <w:rPr>
          <w:noProof/>
        </w:rPr>
        <w:t xml:space="preserve"> </w:t>
      </w:r>
      <w:r w:rsidR="000F2C3D">
        <w:rPr>
          <w:noProof/>
        </w:rPr>
        <w:t>posted mixed results in the 2</w:t>
      </w:r>
      <w:r w:rsidR="000F2C3D" w:rsidRPr="000F2C3D">
        <w:rPr>
          <w:noProof/>
          <w:vertAlign w:val="superscript"/>
        </w:rPr>
        <w:t>nd</w:t>
      </w:r>
      <w:r w:rsidR="000F2C3D">
        <w:rPr>
          <w:noProof/>
        </w:rPr>
        <w:t xml:space="preserve"> quarter of</w:t>
      </w:r>
      <w:r w:rsidR="005508D0">
        <w:rPr>
          <w:noProof/>
        </w:rPr>
        <w:t xml:space="preserve"> 202</w:t>
      </w:r>
      <w:r w:rsidR="00416054">
        <w:rPr>
          <w:noProof/>
        </w:rPr>
        <w:t>4</w:t>
      </w:r>
      <w:r w:rsidR="00AA7E11">
        <w:rPr>
          <w:noProof/>
        </w:rPr>
        <w:t xml:space="preserve"> </w:t>
      </w:r>
      <w:r w:rsidR="000F2C3D">
        <w:rPr>
          <w:noProof/>
        </w:rPr>
        <w:t>as expectations of</w:t>
      </w:r>
      <w:r w:rsidR="00416054">
        <w:rPr>
          <w:noProof/>
        </w:rPr>
        <w:t xml:space="preserve"> interest rate cuts</w:t>
      </w:r>
      <w:r w:rsidR="000F2C3D">
        <w:rPr>
          <w:noProof/>
        </w:rPr>
        <w:t xml:space="preserve"> were met with Fed caution; still, AI’s boost to technology-sector stocks pushed markets to a positive </w:t>
      </w:r>
      <w:r w:rsidR="00B62697">
        <w:rPr>
          <w:noProof/>
        </w:rPr>
        <w:t>1</w:t>
      </w:r>
      <w:r w:rsidR="00B62697" w:rsidRPr="00B62697">
        <w:rPr>
          <w:noProof/>
          <w:vertAlign w:val="superscript"/>
        </w:rPr>
        <w:t>st</w:t>
      </w:r>
      <w:r w:rsidR="000F2C3D">
        <w:rPr>
          <w:noProof/>
        </w:rPr>
        <w:t xml:space="preserve"> half</w:t>
      </w:r>
      <w:r w:rsidR="002759A7">
        <w:rPr>
          <w:noProof/>
        </w:rPr>
        <w:t>.</w:t>
      </w:r>
      <w:r w:rsidR="00416054">
        <w:rPr>
          <w:noProof/>
        </w:rPr>
        <w:t xml:space="preserve"> </w:t>
      </w:r>
      <w:r w:rsidR="000F2C3D">
        <w:rPr>
          <w:noProof/>
        </w:rPr>
        <w:t>AI’s influence was evident in 2</w:t>
      </w:r>
      <w:r w:rsidR="000F2C3D" w:rsidRPr="000F2C3D">
        <w:rPr>
          <w:noProof/>
          <w:vertAlign w:val="superscript"/>
        </w:rPr>
        <w:t>nd</w:t>
      </w:r>
      <w:r w:rsidR="000F2C3D">
        <w:rPr>
          <w:noProof/>
        </w:rPr>
        <w:t>-quarter results among major market indices, as t</w:t>
      </w:r>
      <w:r w:rsidR="00923BA7">
        <w:rPr>
          <w:noProof/>
        </w:rPr>
        <w:t xml:space="preserve">he </w:t>
      </w:r>
      <w:r w:rsidR="000F2C3D">
        <w:rPr>
          <w:noProof/>
        </w:rPr>
        <w:t xml:space="preserve">tech-heavy </w:t>
      </w:r>
      <w:r w:rsidR="005A30E0">
        <w:rPr>
          <w:noProof/>
        </w:rPr>
        <w:t>NASDAQ Composite</w:t>
      </w:r>
      <w:r w:rsidR="00003713">
        <w:rPr>
          <w:noProof/>
        </w:rPr>
        <w:t xml:space="preserve"> and NASDAQ 100</w:t>
      </w:r>
      <w:r w:rsidR="005A30E0">
        <w:rPr>
          <w:noProof/>
        </w:rPr>
        <w:t xml:space="preserve"> </w:t>
      </w:r>
      <w:r w:rsidR="00310C14">
        <w:rPr>
          <w:noProof/>
        </w:rPr>
        <w:t xml:space="preserve">climbed </w:t>
      </w:r>
      <w:r w:rsidR="005A30E0">
        <w:rPr>
          <w:noProof/>
        </w:rPr>
        <w:t>8.3</w:t>
      </w:r>
      <w:r w:rsidR="000F147D">
        <w:rPr>
          <w:noProof/>
        </w:rPr>
        <w:t>%</w:t>
      </w:r>
      <w:r w:rsidR="000F147D" w:rsidRPr="000F147D">
        <w:rPr>
          <w:noProof/>
        </w:rPr>
        <w:t xml:space="preserve"> </w:t>
      </w:r>
      <w:r w:rsidR="00003713">
        <w:rPr>
          <w:noProof/>
        </w:rPr>
        <w:t xml:space="preserve">and 7.8%, respectively, </w:t>
      </w:r>
      <w:r w:rsidR="000F147D">
        <w:rPr>
          <w:noProof/>
        </w:rPr>
        <w:t xml:space="preserve">during the </w:t>
      </w:r>
      <w:r w:rsidR="000F2C3D">
        <w:rPr>
          <w:noProof/>
        </w:rPr>
        <w:t>quarter. The broader</w:t>
      </w:r>
      <w:r w:rsidR="000F147D">
        <w:rPr>
          <w:noProof/>
        </w:rPr>
        <w:t xml:space="preserve"> </w:t>
      </w:r>
      <w:r w:rsidR="005A30E0">
        <w:rPr>
          <w:noProof/>
        </w:rPr>
        <w:t xml:space="preserve">S&amp;P 500 </w:t>
      </w:r>
      <w:r w:rsidR="000F147D">
        <w:rPr>
          <w:noProof/>
        </w:rPr>
        <w:t xml:space="preserve">rose </w:t>
      </w:r>
      <w:r w:rsidR="005A30E0">
        <w:rPr>
          <w:noProof/>
        </w:rPr>
        <w:t>3.9</w:t>
      </w:r>
      <w:r w:rsidR="00923BA7">
        <w:rPr>
          <w:noProof/>
        </w:rPr>
        <w:t>%</w:t>
      </w:r>
      <w:r w:rsidR="000F2C3D">
        <w:rPr>
          <w:noProof/>
        </w:rPr>
        <w:t xml:space="preserve">, </w:t>
      </w:r>
      <w:r w:rsidR="00DF3B1F">
        <w:rPr>
          <w:noProof/>
        </w:rPr>
        <w:t>and the Dow Jones Utility Average rose 2.8%. Other</w:t>
      </w:r>
      <w:r w:rsidR="00310C14">
        <w:rPr>
          <w:noProof/>
        </w:rPr>
        <w:t xml:space="preserve"> </w:t>
      </w:r>
      <w:r w:rsidR="000F2C3D">
        <w:rPr>
          <w:noProof/>
        </w:rPr>
        <w:t xml:space="preserve">blue-chip focused </w:t>
      </w:r>
      <w:r w:rsidR="00310C14">
        <w:rPr>
          <w:noProof/>
        </w:rPr>
        <w:t xml:space="preserve">Dow Jones </w:t>
      </w:r>
      <w:r w:rsidR="00DF3B1F">
        <w:rPr>
          <w:noProof/>
        </w:rPr>
        <w:t>averages—</w:t>
      </w:r>
      <w:r w:rsidR="005A30E0">
        <w:rPr>
          <w:noProof/>
        </w:rPr>
        <w:t xml:space="preserve">Transportation, Composite, and </w:t>
      </w:r>
      <w:r w:rsidR="00310C14">
        <w:rPr>
          <w:noProof/>
        </w:rPr>
        <w:t>Industrial</w:t>
      </w:r>
      <w:r w:rsidR="00DF3B1F">
        <w:rPr>
          <w:noProof/>
        </w:rPr>
        <w:t>—</w:t>
      </w:r>
      <w:r w:rsidR="00310C14">
        <w:rPr>
          <w:noProof/>
        </w:rPr>
        <w:t xml:space="preserve">were </w:t>
      </w:r>
      <w:r w:rsidR="005A30E0">
        <w:rPr>
          <w:noProof/>
        </w:rPr>
        <w:t>down</w:t>
      </w:r>
      <w:r w:rsidR="00310C14">
        <w:rPr>
          <w:noProof/>
        </w:rPr>
        <w:t xml:space="preserve"> </w:t>
      </w:r>
      <w:r w:rsidR="005A30E0">
        <w:rPr>
          <w:noProof/>
        </w:rPr>
        <w:t>4.9</w:t>
      </w:r>
      <w:r w:rsidR="00310C14">
        <w:rPr>
          <w:noProof/>
        </w:rPr>
        <w:t xml:space="preserve">%, </w:t>
      </w:r>
      <w:r w:rsidR="005A30E0">
        <w:rPr>
          <w:noProof/>
        </w:rPr>
        <w:t>2.1</w:t>
      </w:r>
      <w:r w:rsidR="00310C14">
        <w:rPr>
          <w:noProof/>
        </w:rPr>
        <w:t xml:space="preserve">%, and </w:t>
      </w:r>
      <w:r w:rsidR="005A30E0">
        <w:rPr>
          <w:noProof/>
        </w:rPr>
        <w:t>1.7</w:t>
      </w:r>
      <w:r w:rsidR="00310C14">
        <w:rPr>
          <w:noProof/>
        </w:rPr>
        <w:t>%</w:t>
      </w:r>
      <w:r w:rsidR="00AA7E11">
        <w:rPr>
          <w:noProof/>
        </w:rPr>
        <w:t>, respectively,</w:t>
      </w:r>
      <w:r w:rsidR="007D3E70">
        <w:rPr>
          <w:noProof/>
        </w:rPr>
        <w:t xml:space="preserve"> </w:t>
      </w:r>
      <w:r w:rsidR="00AA7E11">
        <w:rPr>
          <w:noProof/>
        </w:rPr>
        <w:t>during</w:t>
      </w:r>
      <w:r w:rsidR="00EF0010">
        <w:rPr>
          <w:noProof/>
        </w:rPr>
        <w:t xml:space="preserve"> the </w:t>
      </w:r>
      <w:r w:rsidR="006C1965">
        <w:rPr>
          <w:noProof/>
        </w:rPr>
        <w:t>2</w:t>
      </w:r>
      <w:r w:rsidR="006C1965" w:rsidRPr="006C1965">
        <w:rPr>
          <w:noProof/>
          <w:vertAlign w:val="superscript"/>
        </w:rPr>
        <w:t>nd</w:t>
      </w:r>
      <w:r w:rsidR="006C1965">
        <w:rPr>
          <w:noProof/>
        </w:rPr>
        <w:t xml:space="preserve"> </w:t>
      </w:r>
      <w:r w:rsidR="00EF0010">
        <w:rPr>
          <w:noProof/>
        </w:rPr>
        <w:t>quarter</w:t>
      </w:r>
      <w:r w:rsidR="006148A4" w:rsidRPr="000E1968">
        <w:rPr>
          <w:noProof/>
        </w:rPr>
        <w:t>.</w:t>
      </w:r>
    </w:p>
    <w:p w14:paraId="79C54A89" w14:textId="338FF223" w:rsidR="002E3647" w:rsidRPr="00B76A73" w:rsidRDefault="00DD024A" w:rsidP="00855C4E">
      <w:pPr>
        <w:jc w:val="center"/>
        <w:rPr>
          <w:noProof/>
        </w:rPr>
      </w:pPr>
      <w:r w:rsidRPr="00DD024A">
        <w:drawing>
          <wp:inline distT="0" distB="0" distL="0" distR="0" wp14:anchorId="7FB441F8" wp14:editId="085EAFEE">
            <wp:extent cx="5499100" cy="1651000"/>
            <wp:effectExtent l="0" t="0" r="6350" b="6350"/>
            <wp:docPr id="137458767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D39" w:rsidRPr="00B76A73">
        <w:br/>
      </w:r>
    </w:p>
    <w:p w14:paraId="3743084E" w14:textId="351D84BC" w:rsidR="00857079" w:rsidRPr="00B76A73" w:rsidRDefault="00624840" w:rsidP="00BB3B04">
      <w:pPr>
        <w:jc w:val="center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4099A222" wp14:editId="6DCEE469">
            <wp:extent cx="4097020" cy="2639695"/>
            <wp:effectExtent l="0" t="0" r="0" b="8255"/>
            <wp:docPr id="110335880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43A622" w14:textId="75027963" w:rsidR="006168CD" w:rsidRDefault="006168CD" w:rsidP="003D1D39">
      <w:r>
        <w:t xml:space="preserve">Corporate debt issuances were up in the second quarter, with the </w:t>
      </w:r>
      <w:r w:rsidRPr="006168CD">
        <w:t xml:space="preserve">ICE </w:t>
      </w:r>
      <w:proofErr w:type="spellStart"/>
      <w:r w:rsidRPr="006168CD">
        <w:t>BofA</w:t>
      </w:r>
      <w:proofErr w:type="spellEnd"/>
      <w:r w:rsidRPr="006168CD">
        <w:t xml:space="preserve"> US Corporate Index</w:t>
      </w:r>
      <w:r>
        <w:rPr>
          <w:rStyle w:val="FootnoteReference"/>
        </w:rPr>
        <w:footnoteReference w:id="38"/>
      </w:r>
      <w:r>
        <w:t xml:space="preserve"> inching up 0.1% and the </w:t>
      </w:r>
      <w:r w:rsidRPr="006168CD">
        <w:t xml:space="preserve">ICE </w:t>
      </w:r>
      <w:proofErr w:type="spellStart"/>
      <w:r w:rsidRPr="006168CD">
        <w:t>BofA</w:t>
      </w:r>
      <w:proofErr w:type="spellEnd"/>
      <w:r w:rsidRPr="006168CD">
        <w:t xml:space="preserve"> US High Yield Index</w:t>
      </w:r>
      <w:r>
        <w:rPr>
          <w:rStyle w:val="FootnoteReference"/>
        </w:rPr>
        <w:footnoteReference w:id="39"/>
      </w:r>
      <w:r>
        <w:t xml:space="preserve"> increasing 1.1%.</w:t>
      </w:r>
    </w:p>
    <w:p w14:paraId="6E30878F" w14:textId="02385D35" w:rsidR="00DD024A" w:rsidRDefault="00DD024A" w:rsidP="00DD024A">
      <w:pPr>
        <w:jc w:val="center"/>
      </w:pPr>
      <w:r w:rsidRPr="00DD024A">
        <w:drawing>
          <wp:inline distT="0" distB="0" distL="0" distR="0" wp14:anchorId="5D2F7874" wp14:editId="1EE2EA04">
            <wp:extent cx="5499100" cy="736600"/>
            <wp:effectExtent l="0" t="0" r="6350" b="6350"/>
            <wp:docPr id="206202815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0E509" w14:textId="07B2E68F" w:rsidR="00100DF8" w:rsidRPr="00B76A73" w:rsidRDefault="00100DF8" w:rsidP="003D1D39">
      <w:pPr>
        <w:rPr>
          <w:noProof/>
        </w:rPr>
      </w:pPr>
      <w:r w:rsidRPr="00B76A73">
        <w:t>Stock market v</w:t>
      </w:r>
      <w:r w:rsidR="0007515A" w:rsidRPr="00B76A73">
        <w:t>olatility</w:t>
      </w:r>
      <w:r w:rsidR="00A1419D" w:rsidRPr="00B76A73">
        <w:t>, as measured by the VIX</w:t>
      </w:r>
      <w:r w:rsidR="00A1419D" w:rsidRPr="00B76A73">
        <w:rPr>
          <w:rStyle w:val="FootnoteReference"/>
        </w:rPr>
        <w:t xml:space="preserve"> </w:t>
      </w:r>
      <w:r w:rsidR="0007515A" w:rsidRPr="00B76A73">
        <w:rPr>
          <w:rStyle w:val="FootnoteReference"/>
        </w:rPr>
        <w:footnoteReference w:id="40"/>
      </w:r>
      <w:r w:rsidR="005573A8" w:rsidRPr="00B76A73">
        <w:t>,</w:t>
      </w:r>
      <w:r w:rsidRPr="00B76A73">
        <w:t xml:space="preserve"> </w:t>
      </w:r>
      <w:r w:rsidR="00595D8A" w:rsidRPr="00B76A73">
        <w:t xml:space="preserve">ended the </w:t>
      </w:r>
      <w:r w:rsidR="003B0886">
        <w:t>2</w:t>
      </w:r>
      <w:r w:rsidR="003B0886" w:rsidRPr="003B0886">
        <w:rPr>
          <w:vertAlign w:val="superscript"/>
        </w:rPr>
        <w:t>nd</w:t>
      </w:r>
      <w:r w:rsidR="003B0886">
        <w:t xml:space="preserve"> </w:t>
      </w:r>
      <w:r w:rsidR="00595D8A" w:rsidRPr="00B76A73">
        <w:t xml:space="preserve">quarter </w:t>
      </w:r>
      <w:r w:rsidR="005F5E70">
        <w:t>of 202</w:t>
      </w:r>
      <w:r w:rsidR="00416054">
        <w:t>4</w:t>
      </w:r>
      <w:r w:rsidR="005F5E70">
        <w:t xml:space="preserve"> </w:t>
      </w:r>
      <w:r w:rsidR="00595D8A" w:rsidRPr="00B76A73">
        <w:t xml:space="preserve">at </w:t>
      </w:r>
      <w:r w:rsidR="005F5E70">
        <w:t>1</w:t>
      </w:r>
      <w:r w:rsidR="003B0886">
        <w:t>2.4</w:t>
      </w:r>
      <w:r w:rsidR="00595D8A" w:rsidRPr="00B76A73">
        <w:t xml:space="preserve">, </w:t>
      </w:r>
      <w:r w:rsidR="003B0886">
        <w:t>down 4</w:t>
      </w:r>
      <w:r w:rsidR="00416054">
        <w:t>.</w:t>
      </w:r>
      <w:r w:rsidR="003B0886">
        <w:t>4</w:t>
      </w:r>
      <w:r w:rsidR="00595D8A" w:rsidRPr="00B76A73">
        <w:t xml:space="preserve">% since the prior quarter </w:t>
      </w:r>
      <w:r w:rsidR="003B0886">
        <w:t>and</w:t>
      </w:r>
      <w:r w:rsidR="00416054">
        <w:t xml:space="preserve"> </w:t>
      </w:r>
      <w:r w:rsidR="003B0886">
        <w:t>8.5</w:t>
      </w:r>
      <w:r w:rsidR="00595D8A" w:rsidRPr="00B76A73">
        <w:t xml:space="preserve">% since the </w:t>
      </w:r>
      <w:r w:rsidR="003B0886">
        <w:t>2</w:t>
      </w:r>
      <w:r w:rsidR="003B0886" w:rsidRPr="003B0886">
        <w:rPr>
          <w:vertAlign w:val="superscript"/>
        </w:rPr>
        <w:t>nd</w:t>
      </w:r>
      <w:r w:rsidR="003B0886">
        <w:t xml:space="preserve"> </w:t>
      </w:r>
      <w:r w:rsidR="005F5E70">
        <w:t>quarter of 202</w:t>
      </w:r>
      <w:r w:rsidR="00416054">
        <w:t>3</w:t>
      </w:r>
      <w:r w:rsidR="003D1D39" w:rsidRPr="00B76A73">
        <w:t>.</w:t>
      </w:r>
      <w:r w:rsidR="00B45117" w:rsidRPr="00B76A73">
        <w:t xml:space="preserve"> </w:t>
      </w:r>
      <w:r w:rsidR="00AA7E11">
        <w:t xml:space="preserve">The </w:t>
      </w:r>
      <w:r w:rsidR="00416054">
        <w:t xml:space="preserve">VIX rose in </w:t>
      </w:r>
      <w:r w:rsidR="003B0886">
        <w:t>April</w:t>
      </w:r>
      <w:r w:rsidR="00416054">
        <w:t xml:space="preserve"> before receding in </w:t>
      </w:r>
      <w:r w:rsidR="003B0886">
        <w:t>May and June</w:t>
      </w:r>
      <w:r w:rsidR="002106AF">
        <w:t>.</w:t>
      </w:r>
    </w:p>
    <w:p w14:paraId="29D9D20D" w14:textId="1917328E" w:rsidR="00661AA7" w:rsidRPr="00B76A73" w:rsidRDefault="00624840" w:rsidP="00404E89">
      <w:pPr>
        <w:jc w:val="center"/>
      </w:pPr>
      <w:r>
        <w:rPr>
          <w:noProof/>
        </w:rPr>
        <w:lastRenderedPageBreak/>
        <w:drawing>
          <wp:inline distT="0" distB="0" distL="0" distR="0" wp14:anchorId="1EAD05E9" wp14:editId="26E778EF">
            <wp:extent cx="4097020" cy="2639695"/>
            <wp:effectExtent l="0" t="0" r="0" b="8255"/>
            <wp:docPr id="116069907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93" w14:textId="77777777" w:rsidR="00E44639" w:rsidRPr="00B76A73" w:rsidRDefault="00E44639" w:rsidP="00E44639">
      <w:pPr>
        <w:pStyle w:val="Heading1"/>
      </w:pPr>
      <w:r w:rsidRPr="00B76A73">
        <w:t>Outlook</w:t>
      </w:r>
    </w:p>
    <w:p w14:paraId="71C9C508" w14:textId="37D0F030" w:rsidR="005573A8" w:rsidRPr="00B76A73" w:rsidRDefault="003071CD" w:rsidP="00E44639">
      <w:r w:rsidRPr="00B76A73">
        <w:t xml:space="preserve">In </w:t>
      </w:r>
      <w:r w:rsidR="003B0886">
        <w:t>June</w:t>
      </w:r>
      <w:r w:rsidR="00416054">
        <w:t xml:space="preserve"> 2024</w:t>
      </w:r>
      <w:r w:rsidRPr="00B76A73">
        <w:t xml:space="preserve">, the FOMC </w:t>
      </w:r>
      <w:r w:rsidR="005573A8" w:rsidRPr="00B76A73">
        <w:t xml:space="preserve">revised their </w:t>
      </w:r>
      <w:r w:rsidR="000755E2" w:rsidRPr="00B76A73">
        <w:t xml:space="preserve">near-term </w:t>
      </w:r>
      <w:r w:rsidR="003B0886">
        <w:t xml:space="preserve">PCE inflation </w:t>
      </w:r>
      <w:r w:rsidR="005573A8" w:rsidRPr="00B76A73">
        <w:t>projections upward</w:t>
      </w:r>
      <w:r w:rsidR="00D55120">
        <w:t xml:space="preserve"> and real GDP projections slightly downward</w:t>
      </w:r>
      <w:r w:rsidR="007C29E7">
        <w:t xml:space="preserve">; </w:t>
      </w:r>
      <w:r w:rsidR="00D55120">
        <w:t>minimal adjustments were made</w:t>
      </w:r>
      <w:r w:rsidR="00D55120" w:rsidRPr="00B76A73">
        <w:t xml:space="preserve"> </w:t>
      </w:r>
      <w:r w:rsidR="007C29E7">
        <w:t xml:space="preserve">to </w:t>
      </w:r>
      <w:r w:rsidR="00D55120">
        <w:t xml:space="preserve">unemployment rate projections or to </w:t>
      </w:r>
      <w:r w:rsidR="003B0886">
        <w:t>longer</w:t>
      </w:r>
      <w:r w:rsidR="007C29E7">
        <w:t>-term projection</w:t>
      </w:r>
      <w:r w:rsidR="00D55120">
        <w:t xml:space="preserve">s for any of the three </w:t>
      </w:r>
      <w:r w:rsidR="00832F79">
        <w:t>indicators</w:t>
      </w:r>
      <w:r w:rsidR="005573A8" w:rsidRPr="00B76A73">
        <w:t xml:space="preserve">. </w:t>
      </w:r>
    </w:p>
    <w:p w14:paraId="1779A15E" w14:textId="0B7EBB0D" w:rsidR="00855C4E" w:rsidRPr="00B76A73" w:rsidRDefault="005573A8" w:rsidP="00855C4E">
      <w:r w:rsidRPr="00B76A73">
        <w:t>The FOMC revised their projection</w:t>
      </w:r>
      <w:r w:rsidR="000E0282">
        <w:t>s</w:t>
      </w:r>
      <w:r w:rsidR="00F60736" w:rsidRPr="00B76A73">
        <w:t xml:space="preserve"> </w:t>
      </w:r>
      <w:r w:rsidRPr="00B76A73">
        <w:t xml:space="preserve">for </w:t>
      </w:r>
      <w:r w:rsidR="00832F79" w:rsidRPr="00B76A73">
        <w:t>Personal Consumption Expenditures (PCE) inflation</w:t>
      </w:r>
      <w:r w:rsidR="00832F79" w:rsidRPr="00B76A73">
        <w:rPr>
          <w:rStyle w:val="FootnoteReference"/>
        </w:rPr>
        <w:footnoteReference w:id="41"/>
      </w:r>
      <w:r w:rsidR="00832F79" w:rsidRPr="00B76A73">
        <w:t xml:space="preserve"> </w:t>
      </w:r>
      <w:r w:rsidR="001C1454">
        <w:t xml:space="preserve">upward for </w:t>
      </w:r>
      <w:r w:rsidR="00791B32">
        <w:t>202</w:t>
      </w:r>
      <w:r w:rsidR="000E0282">
        <w:t xml:space="preserve">4 </w:t>
      </w:r>
      <w:r w:rsidR="0039421C" w:rsidRPr="00B76A73">
        <w:t xml:space="preserve">to </w:t>
      </w:r>
      <w:r w:rsidR="001C1454">
        <w:t>2.</w:t>
      </w:r>
      <w:r w:rsidR="00832F79">
        <w:t>7</w:t>
      </w:r>
      <w:r w:rsidR="00791B32">
        <w:t>0</w:t>
      </w:r>
      <w:r w:rsidR="00F60736" w:rsidRPr="00B76A73">
        <w:t>%</w:t>
      </w:r>
      <w:r w:rsidR="00832F79">
        <w:t xml:space="preserve">, moderating to </w:t>
      </w:r>
      <w:r w:rsidR="000E0282">
        <w:t>2.</w:t>
      </w:r>
      <w:r w:rsidR="00832F79">
        <w:t>3</w:t>
      </w:r>
      <w:r w:rsidR="000E0282">
        <w:t>0%</w:t>
      </w:r>
      <w:r w:rsidR="00832F79">
        <w:t xml:space="preserve"> in 2025;</w:t>
      </w:r>
      <w:r w:rsidR="00791B32">
        <w:t xml:space="preserve"> projections </w:t>
      </w:r>
      <w:r w:rsidR="00832F79">
        <w:t>for 2026 held steady at</w:t>
      </w:r>
      <w:r w:rsidR="00791B32">
        <w:t xml:space="preserve"> </w:t>
      </w:r>
      <w:r w:rsidR="00832F79">
        <w:t>2.0</w:t>
      </w:r>
      <w:r w:rsidR="000E0282">
        <w:t>5</w:t>
      </w:r>
      <w:r w:rsidR="00791B32">
        <w:t>%</w:t>
      </w:r>
      <w:r w:rsidR="00F60736" w:rsidRPr="00B76A73">
        <w:t xml:space="preserve">. They </w:t>
      </w:r>
      <w:r w:rsidR="00832F79">
        <w:t>revised</w:t>
      </w:r>
      <w:r w:rsidR="00F60736" w:rsidRPr="00B76A73">
        <w:t xml:space="preserve"> </w:t>
      </w:r>
      <w:r w:rsidR="00832F79" w:rsidRPr="00B76A73">
        <w:t>real GDP</w:t>
      </w:r>
      <w:r w:rsidR="00832F79" w:rsidRPr="00B76A73">
        <w:rPr>
          <w:rStyle w:val="FootnoteReference"/>
        </w:rPr>
        <w:footnoteReference w:id="42"/>
      </w:r>
      <w:r w:rsidR="00832F79" w:rsidRPr="00B76A73">
        <w:t xml:space="preserve"> </w:t>
      </w:r>
      <w:r w:rsidR="00832F79">
        <w:t>projections downward slightly to 2.1</w:t>
      </w:r>
      <w:r w:rsidR="000F3008" w:rsidRPr="00B76A73">
        <w:t>%</w:t>
      </w:r>
      <w:r w:rsidR="000755E2" w:rsidRPr="00B76A73">
        <w:t xml:space="preserve"> </w:t>
      </w:r>
      <w:r w:rsidR="00D31480" w:rsidRPr="00B76A73">
        <w:t>in</w:t>
      </w:r>
      <w:r w:rsidR="000755E2" w:rsidRPr="00B76A73">
        <w:t xml:space="preserve"> 202</w:t>
      </w:r>
      <w:r w:rsidR="000E0282">
        <w:t>4</w:t>
      </w:r>
      <w:r w:rsidR="00495F77">
        <w:t xml:space="preserve"> </w:t>
      </w:r>
      <w:r w:rsidR="00832F79">
        <w:t>and</w:t>
      </w:r>
      <w:r w:rsidR="000755E2" w:rsidRPr="00B76A73">
        <w:t xml:space="preserve"> </w:t>
      </w:r>
      <w:r w:rsidR="00495F77">
        <w:t>2.</w:t>
      </w:r>
      <w:r w:rsidR="00832F79">
        <w:t>00</w:t>
      </w:r>
      <w:r w:rsidR="00AE492E" w:rsidRPr="00B76A73">
        <w:t xml:space="preserve">% </w:t>
      </w:r>
      <w:r w:rsidR="00791B32">
        <w:t>in</w:t>
      </w:r>
      <w:r w:rsidR="00AE492E" w:rsidRPr="00B76A73">
        <w:t xml:space="preserve"> 202</w:t>
      </w:r>
      <w:r w:rsidR="000E0282">
        <w:t>5</w:t>
      </w:r>
      <w:r w:rsidR="00832F79">
        <w:t xml:space="preserve">, while </w:t>
      </w:r>
      <w:r w:rsidR="000755E2" w:rsidRPr="00B76A73">
        <w:t>202</w:t>
      </w:r>
      <w:r w:rsidR="00791B32">
        <w:t>6</w:t>
      </w:r>
      <w:r w:rsidR="00832F79">
        <w:t xml:space="preserve"> projections were unchanged at 1.95%</w:t>
      </w:r>
      <w:r w:rsidRPr="00B76A73">
        <w:t xml:space="preserve">. </w:t>
      </w:r>
      <w:r w:rsidR="00F60736" w:rsidRPr="00B76A73">
        <w:t>The</w:t>
      </w:r>
      <w:r w:rsidR="004907DA" w:rsidRPr="00B76A73">
        <w:t>y</w:t>
      </w:r>
      <w:r w:rsidR="00F60736" w:rsidRPr="00B76A73">
        <w:t xml:space="preserve"> </w:t>
      </w:r>
      <w:r w:rsidR="001C1454">
        <w:t>expected</w:t>
      </w:r>
      <w:r w:rsidR="00F60736" w:rsidRPr="00B76A73">
        <w:t xml:space="preserve"> th</w:t>
      </w:r>
      <w:r w:rsidR="004907DA" w:rsidRPr="00B76A73">
        <w:t>at th</w:t>
      </w:r>
      <w:r w:rsidR="00F60736" w:rsidRPr="00B76A73">
        <w:t>e unemployment rate</w:t>
      </w:r>
      <w:r w:rsidR="00E72196" w:rsidRPr="00B76A73">
        <w:rPr>
          <w:rStyle w:val="FootnoteReference"/>
        </w:rPr>
        <w:footnoteReference w:id="43"/>
      </w:r>
      <w:r w:rsidR="00F60736" w:rsidRPr="00B76A73">
        <w:t xml:space="preserve"> </w:t>
      </w:r>
      <w:r w:rsidR="000755E2" w:rsidRPr="00B76A73">
        <w:t>would</w:t>
      </w:r>
      <w:r w:rsidR="00F60736" w:rsidRPr="00B76A73">
        <w:t xml:space="preserve"> </w:t>
      </w:r>
      <w:r w:rsidR="001C1454">
        <w:t xml:space="preserve">be </w:t>
      </w:r>
      <w:r w:rsidR="000E0282">
        <w:t>4.0</w:t>
      </w:r>
      <w:r w:rsidR="00832F79">
        <w:t>5</w:t>
      </w:r>
      <w:r w:rsidR="00F60736" w:rsidRPr="00B76A73">
        <w:t>%</w:t>
      </w:r>
      <w:r w:rsidR="0039421C" w:rsidRPr="00B76A73">
        <w:t xml:space="preserve"> </w:t>
      </w:r>
      <w:r w:rsidR="00791B32">
        <w:t>in</w:t>
      </w:r>
      <w:r w:rsidR="00F60736" w:rsidRPr="00B76A73">
        <w:t xml:space="preserve"> 20</w:t>
      </w:r>
      <w:r w:rsidR="00090DA6" w:rsidRPr="00B76A73">
        <w:t>2</w:t>
      </w:r>
      <w:r w:rsidR="00495F77">
        <w:t>4</w:t>
      </w:r>
      <w:r w:rsidR="000E0282">
        <w:t>, 4.05% in 2025, and 4.10% in</w:t>
      </w:r>
      <w:r w:rsidR="001C1454">
        <w:t xml:space="preserve"> </w:t>
      </w:r>
      <w:r w:rsidR="00AE492E" w:rsidRPr="00B76A73">
        <w:t>202</w:t>
      </w:r>
      <w:r w:rsidR="00791B32">
        <w:t>6</w:t>
      </w:r>
      <w:r w:rsidR="003071CD" w:rsidRPr="00B76A73">
        <w:t>.</w:t>
      </w:r>
      <w:r w:rsidR="005C22CA" w:rsidRPr="00B76A73">
        <w:t xml:space="preserve"> </w:t>
      </w:r>
      <w:r w:rsidR="00155E5F" w:rsidRPr="00B76A73">
        <w:t>T</w:t>
      </w:r>
      <w:r w:rsidR="005C22CA" w:rsidRPr="00B76A73">
        <w:t xml:space="preserve">he board </w:t>
      </w:r>
      <w:r w:rsidR="000E0282">
        <w:t>raised</w:t>
      </w:r>
      <w:r w:rsidR="001C1454">
        <w:t xml:space="preserve"> </w:t>
      </w:r>
      <w:r w:rsidR="00091282" w:rsidRPr="00B76A73">
        <w:t>projections of future target rates</w:t>
      </w:r>
      <w:r w:rsidR="00715CFF">
        <w:rPr>
          <w:rStyle w:val="FootnoteReference"/>
        </w:rPr>
        <w:footnoteReference w:id="44"/>
      </w:r>
      <w:r w:rsidR="00495F77">
        <w:t xml:space="preserve"> </w:t>
      </w:r>
      <w:r w:rsidR="000E0282">
        <w:t xml:space="preserve">to </w:t>
      </w:r>
      <w:r w:rsidR="00832F79">
        <w:t>5.1</w:t>
      </w:r>
      <w:r w:rsidR="00715CFF">
        <w:t>5</w:t>
      </w:r>
      <w:r w:rsidR="00043F5D">
        <w:t xml:space="preserve">% in 2024, </w:t>
      </w:r>
      <w:r w:rsidR="00832F79">
        <w:t>4.1</w:t>
      </w:r>
      <w:r w:rsidR="000E0282">
        <w:t>5</w:t>
      </w:r>
      <w:r w:rsidR="00043F5D">
        <w:t>% in 2025</w:t>
      </w:r>
      <w:r w:rsidR="005D6C8F">
        <w:t xml:space="preserve">, and </w:t>
      </w:r>
      <w:r w:rsidR="000E0282">
        <w:t>3.</w:t>
      </w:r>
      <w:r w:rsidR="00832F79">
        <w:t>25</w:t>
      </w:r>
      <w:r w:rsidR="003C5B24">
        <w:t>%</w:t>
      </w:r>
      <w:r w:rsidR="005D6C8F">
        <w:t xml:space="preserve"> in 2026</w:t>
      </w:r>
      <w:r w:rsidR="00A54ACF" w:rsidRPr="00B76A73">
        <w:t>.</w:t>
      </w:r>
      <w:r w:rsidR="009839D2">
        <w:t xml:space="preserve"> </w:t>
      </w:r>
      <w:r w:rsidR="005D6C8F">
        <w:t>T</w:t>
      </w:r>
      <w:r w:rsidR="009839D2">
        <w:t xml:space="preserve">he committee </w:t>
      </w:r>
      <w:r w:rsidR="00832F79">
        <w:t>again emphasized</w:t>
      </w:r>
      <w:r w:rsidR="000E0282">
        <w:t xml:space="preserve"> </w:t>
      </w:r>
      <w:r w:rsidR="007655EC">
        <w:t xml:space="preserve">a willingness to hold rates </w:t>
      </w:r>
      <w:r w:rsidR="00832F79">
        <w:t xml:space="preserve">steady as long as </w:t>
      </w:r>
      <w:proofErr w:type="gramStart"/>
      <w:r w:rsidR="00832F79">
        <w:t>warranted, and</w:t>
      </w:r>
      <w:proofErr w:type="gramEnd"/>
      <w:r w:rsidR="00832F79">
        <w:t xml:space="preserve"> decreased the number of predicted rate cuts in 2024 from three to one</w:t>
      </w:r>
      <w:r w:rsidR="009839D2">
        <w:t>.</w:t>
      </w:r>
    </w:p>
    <w:p w14:paraId="3DA5A3C9" w14:textId="0E97E889" w:rsidR="002301AB" w:rsidRPr="00B76A73" w:rsidRDefault="006D2D37" w:rsidP="006D2D37">
      <w:pPr>
        <w:jc w:val="center"/>
      </w:pPr>
      <w:r w:rsidRPr="006D2D37">
        <w:drawing>
          <wp:inline distT="0" distB="0" distL="0" distR="0" wp14:anchorId="2B74EA9C" wp14:editId="7F694940">
            <wp:extent cx="4946650" cy="920750"/>
            <wp:effectExtent l="0" t="0" r="6350" b="0"/>
            <wp:docPr id="1707815664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59CEA" w14:textId="6D7E62F8" w:rsidR="002308A9" w:rsidRPr="00B76A73" w:rsidRDefault="002301AB">
      <w:pPr>
        <w:rPr>
          <w:rFonts w:asciiTheme="majorHAnsi" w:eastAsiaTheme="majorEastAsia" w:hAnsiTheme="majorHAnsi" w:cstheme="majorBidi"/>
          <w:color w:val="008FD5"/>
          <w:sz w:val="36"/>
          <w:szCs w:val="32"/>
        </w:rPr>
      </w:pPr>
      <w:r w:rsidRPr="00B76A73">
        <w:rPr>
          <w:rFonts w:asciiTheme="majorHAnsi" w:eastAsiaTheme="majorEastAsia" w:hAnsiTheme="majorHAnsi" w:cstheme="majorBidi"/>
          <w:color w:val="008FD5"/>
          <w:sz w:val="36"/>
          <w:szCs w:val="32"/>
        </w:rPr>
        <w:lastRenderedPageBreak/>
        <w:t>Appendix – Selected Interest Rates</w:t>
      </w:r>
    </w:p>
    <w:p w14:paraId="6F34C406" w14:textId="0DFA2D87" w:rsidR="002301AB" w:rsidRPr="00B76A73" w:rsidRDefault="00624840">
      <w:r w:rsidRPr="00624840">
        <w:drawing>
          <wp:inline distT="0" distB="0" distL="0" distR="0" wp14:anchorId="172B7B7B" wp14:editId="22CB51C8">
            <wp:extent cx="5505450" cy="7808979"/>
            <wp:effectExtent l="0" t="0" r="0" b="1905"/>
            <wp:docPr id="110611474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688" cy="781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D5FB3" w14:textId="386CB697" w:rsidR="00005111" w:rsidRPr="00B76A73" w:rsidRDefault="00005111" w:rsidP="001475FF">
      <w:pPr>
        <w:pStyle w:val="Heading1"/>
      </w:pPr>
      <w:r w:rsidRPr="00B76A73">
        <w:lastRenderedPageBreak/>
        <w:t>About This Report</w:t>
      </w:r>
    </w:p>
    <w:p w14:paraId="149D5FB4" w14:textId="5800CD46" w:rsidR="002F3682" w:rsidRPr="00B76A73" w:rsidRDefault="00BB34CA" w:rsidP="00005111">
      <w:r w:rsidRPr="00B76A73">
        <w:t xml:space="preserve">The </w:t>
      </w:r>
      <w:r w:rsidRPr="00B76A73">
        <w:rPr>
          <w:i/>
        </w:rPr>
        <w:t>Quarterly Economic Update</w:t>
      </w:r>
      <w:r w:rsidRPr="00B76A73">
        <w:t xml:space="preserve"> is a free publication sponsored by </w:t>
      </w:r>
      <w:proofErr w:type="spellStart"/>
      <w:r w:rsidRPr="00B76A73">
        <w:t>TagniFi</w:t>
      </w:r>
      <w:proofErr w:type="spellEnd"/>
      <w:r w:rsidRPr="00B76A73">
        <w:t>. You are free to share this report and include its contents in the economic outlook section of your valuation reports</w:t>
      </w:r>
      <w:r w:rsidR="00DF67C7" w:rsidRPr="00B76A73">
        <w:t xml:space="preserve"> as required by </w:t>
      </w:r>
      <w:r w:rsidR="00DF67C7" w:rsidRPr="00B76A73">
        <w:rPr>
          <w:i/>
        </w:rPr>
        <w:t>Revenue Ruling 59-60</w:t>
      </w:r>
      <w:r w:rsidRPr="00B76A73">
        <w:t xml:space="preserve">. Please forward this </w:t>
      </w:r>
      <w:r w:rsidR="00DF67C7" w:rsidRPr="00B76A73">
        <w:t xml:space="preserve">free </w:t>
      </w:r>
      <w:r w:rsidRPr="00B76A73">
        <w:t>report to a c</w:t>
      </w:r>
      <w:r w:rsidR="00DF67C7" w:rsidRPr="00B76A73">
        <w:t xml:space="preserve">olleague to help us spread the word about </w:t>
      </w:r>
      <w:proofErr w:type="spellStart"/>
      <w:r w:rsidR="00DF67C7" w:rsidRPr="00B76A73">
        <w:t>TagniFi</w:t>
      </w:r>
      <w:proofErr w:type="spellEnd"/>
      <w:r w:rsidRPr="00B76A73">
        <w:t>.</w:t>
      </w:r>
    </w:p>
    <w:p w14:paraId="5E6B4C93" w14:textId="2938085A" w:rsidR="00964DD4" w:rsidRPr="00B76A73" w:rsidRDefault="00964DD4" w:rsidP="00230D29">
      <w:pPr>
        <w:rPr>
          <w:rFonts w:ascii="Calibri Light" w:hAnsi="Calibri Light" w:cs="Calibri Light"/>
          <w:color w:val="008FD5"/>
          <w:sz w:val="36"/>
          <w:szCs w:val="36"/>
        </w:rPr>
      </w:pPr>
      <w:r w:rsidRPr="00B76A73">
        <w:rPr>
          <w:rFonts w:ascii="Calibri Light" w:hAnsi="Calibri Light" w:cs="Calibri Light"/>
          <w:color w:val="008FD5"/>
          <w:sz w:val="36"/>
          <w:szCs w:val="36"/>
        </w:rPr>
        <w:t xml:space="preserve">How </w:t>
      </w:r>
      <w:proofErr w:type="spellStart"/>
      <w:r w:rsidRPr="00B76A73">
        <w:rPr>
          <w:rFonts w:ascii="Calibri Light" w:hAnsi="Calibri Light" w:cs="Calibri Light"/>
          <w:color w:val="008FD5"/>
          <w:sz w:val="36"/>
          <w:szCs w:val="36"/>
        </w:rPr>
        <w:t>TagniFi</w:t>
      </w:r>
      <w:proofErr w:type="spellEnd"/>
      <w:r w:rsidR="005F5744" w:rsidRPr="00B76A73">
        <w:rPr>
          <w:rFonts w:ascii="Calibri Light" w:hAnsi="Calibri Light" w:cs="Calibri Light"/>
          <w:color w:val="008FD5"/>
          <w:sz w:val="36"/>
          <w:szCs w:val="36"/>
        </w:rPr>
        <w:t xml:space="preserve"> Helps </w:t>
      </w:r>
      <w:r w:rsidRPr="00B76A73">
        <w:rPr>
          <w:rFonts w:ascii="Calibri Light" w:hAnsi="Calibri Light" w:cs="Calibri Light"/>
          <w:color w:val="008FD5"/>
          <w:sz w:val="36"/>
          <w:szCs w:val="36"/>
        </w:rPr>
        <w:t>Business Valuation</w:t>
      </w:r>
      <w:r w:rsidR="005F5744" w:rsidRPr="00B76A73">
        <w:rPr>
          <w:rFonts w:ascii="Calibri Light" w:hAnsi="Calibri Light" w:cs="Calibri Light"/>
          <w:color w:val="008FD5"/>
          <w:sz w:val="36"/>
          <w:szCs w:val="36"/>
        </w:rPr>
        <w:t xml:space="preserve"> Teams</w:t>
      </w:r>
    </w:p>
    <w:p w14:paraId="1FE39938" w14:textId="7315018D" w:rsidR="00964DD4" w:rsidRPr="00B76A73" w:rsidRDefault="00964DD4" w:rsidP="00230D29">
      <w:proofErr w:type="spellStart"/>
      <w:r w:rsidRPr="00B76A73">
        <w:t>TagniFi’s</w:t>
      </w:r>
      <w:proofErr w:type="spellEnd"/>
      <w:r w:rsidRPr="00B76A73">
        <w:t xml:space="preserve"> financial data platform empowers business valuation </w:t>
      </w:r>
      <w:r w:rsidR="00617DFF" w:rsidRPr="00B76A73">
        <w:t>teams</w:t>
      </w:r>
      <w:r w:rsidRPr="00B76A73">
        <w:t xml:space="preserve"> to quickly and easily build highly accurate financial models with full transparency—and within seconds.</w:t>
      </w:r>
    </w:p>
    <w:p w14:paraId="5282F11A" w14:textId="77777777" w:rsidR="003D3C51" w:rsidRPr="00B76A73" w:rsidRDefault="003D3C51" w:rsidP="00230D29"/>
    <w:p w14:paraId="736F547D" w14:textId="34D03572" w:rsidR="004C20AB" w:rsidRPr="00B76A73" w:rsidRDefault="00617DFF" w:rsidP="00230D29">
      <w:r w:rsidRPr="00B76A73">
        <w:rPr>
          <w:b/>
          <w:bCs/>
        </w:rPr>
        <w:t xml:space="preserve">Better </w:t>
      </w:r>
      <w:r w:rsidR="004C20AB" w:rsidRPr="00B76A73">
        <w:rPr>
          <w:b/>
          <w:bCs/>
        </w:rPr>
        <w:t>Public Comps</w:t>
      </w:r>
      <w:r w:rsidR="004C20AB" w:rsidRPr="00B76A73">
        <w:br/>
      </w:r>
      <w:r w:rsidR="004C20AB" w:rsidRPr="00B76A73">
        <w:rPr>
          <w:noProof/>
        </w:rPr>
        <w:drawing>
          <wp:anchor distT="0" distB="0" distL="114300" distR="114300" simplePos="0" relativeHeight="251659776" behindDoc="0" locked="0" layoutInCell="1" allowOverlap="1" wp14:anchorId="0C218BE2" wp14:editId="5412CA4E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162175" cy="162163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20AB" w:rsidRPr="00B76A73">
        <w:t xml:space="preserve">Search for public companies with </w:t>
      </w:r>
      <w:proofErr w:type="spellStart"/>
      <w:r w:rsidR="004C20AB" w:rsidRPr="00B76A73">
        <w:t>TagniFi</w:t>
      </w:r>
      <w:proofErr w:type="spellEnd"/>
      <w:r w:rsidR="004C20AB" w:rsidRPr="00B76A73">
        <w:t xml:space="preserve"> Web. Simply enter your valuation date and ticker symbols in Excel to run a guideline public company method. Your Excel model populates instantly with the financial statements, analyst estimates, interest rates and economic data for your valuation date. </w:t>
      </w:r>
    </w:p>
    <w:p w14:paraId="70ABEE83" w14:textId="22DC8C3F" w:rsidR="004C20AB" w:rsidRPr="00B76A73" w:rsidRDefault="004C20AB" w:rsidP="00230D29"/>
    <w:p w14:paraId="249DCE3B" w14:textId="4F7A8DD0" w:rsidR="004C20AB" w:rsidRPr="00B76A73" w:rsidRDefault="00251B04" w:rsidP="004C20AB">
      <w:r w:rsidRPr="00B76A73">
        <w:rPr>
          <w:b/>
          <w:bCs/>
          <w:noProof/>
        </w:rPr>
        <w:drawing>
          <wp:anchor distT="0" distB="0" distL="114300" distR="114300" simplePos="0" relativeHeight="251660800" behindDoc="0" locked="0" layoutInCell="1" allowOverlap="1" wp14:anchorId="6657EAAE" wp14:editId="21F9A186">
            <wp:simplePos x="0" y="0"/>
            <wp:positionH relativeFrom="column">
              <wp:posOffset>3727450</wp:posOffset>
            </wp:positionH>
            <wp:positionV relativeFrom="paragraph">
              <wp:posOffset>274320</wp:posOffset>
            </wp:positionV>
            <wp:extent cx="2152650" cy="161417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A583AB" w14:textId="6B8E5C5F" w:rsidR="004C20AB" w:rsidRPr="00B76A73" w:rsidRDefault="00617DFF" w:rsidP="004C20AB">
      <w:r w:rsidRPr="00B76A73">
        <w:rPr>
          <w:b/>
          <w:bCs/>
        </w:rPr>
        <w:t xml:space="preserve">Better </w:t>
      </w:r>
      <w:r w:rsidR="004C20AB" w:rsidRPr="00B76A73">
        <w:rPr>
          <w:b/>
          <w:bCs/>
        </w:rPr>
        <w:t>Transaction Comps</w:t>
      </w:r>
      <w:r w:rsidR="004C20AB" w:rsidRPr="00B76A73">
        <w:br/>
        <w:t xml:space="preserve">Search for public and private M&amp;A transactions with </w:t>
      </w:r>
      <w:proofErr w:type="spellStart"/>
      <w:r w:rsidR="004C20AB" w:rsidRPr="00B76A73">
        <w:t>TagniFi</w:t>
      </w:r>
      <w:proofErr w:type="spellEnd"/>
      <w:r w:rsidR="004C20AB" w:rsidRPr="00B76A73">
        <w:t xml:space="preserve"> Web. Run your transaction comps within seconds by pasting the Deal ID into your Excel model. Every deal disclosed in an SEC filing (8-K, 10-K, or 10-Q) is available for your analysis. Choose from over 90 fields of data available for every deal. </w:t>
      </w:r>
    </w:p>
    <w:p w14:paraId="67E200C4" w14:textId="310AA887" w:rsidR="003B0B22" w:rsidRPr="00B76A73" w:rsidRDefault="003B0B22" w:rsidP="004C20AB">
      <w:pPr>
        <w:rPr>
          <w:b/>
          <w:bCs/>
        </w:rPr>
      </w:pPr>
      <w:r w:rsidRPr="00B76A73">
        <w:rPr>
          <w:b/>
          <w:bCs/>
          <w:noProof/>
        </w:rPr>
        <w:drawing>
          <wp:anchor distT="0" distB="0" distL="114300" distR="114300" simplePos="0" relativeHeight="251661824" behindDoc="0" locked="0" layoutInCell="1" allowOverlap="1" wp14:anchorId="7A9B5416" wp14:editId="00F0202F">
            <wp:simplePos x="0" y="0"/>
            <wp:positionH relativeFrom="margin">
              <wp:align>left</wp:align>
            </wp:positionH>
            <wp:positionV relativeFrom="paragraph">
              <wp:posOffset>274320</wp:posOffset>
            </wp:positionV>
            <wp:extent cx="2256790" cy="1559560"/>
            <wp:effectExtent l="0" t="0" r="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7"/>
                    <a:stretch/>
                  </pic:blipFill>
                  <pic:spPr bwMode="auto">
                    <a:xfrm>
                      <a:off x="0" y="0"/>
                      <a:ext cx="225679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5C467F" w14:textId="170F5616" w:rsidR="004C20AB" w:rsidRPr="00B76A73" w:rsidRDefault="004C20AB" w:rsidP="004C20AB">
      <w:r w:rsidRPr="00B76A73">
        <w:rPr>
          <w:b/>
          <w:bCs/>
        </w:rPr>
        <w:t>Historical Beta and Volatility</w:t>
      </w:r>
      <w:r w:rsidRPr="00B76A73">
        <w:rPr>
          <w:b/>
          <w:bCs/>
        </w:rPr>
        <w:br/>
      </w:r>
      <w:r w:rsidRPr="00B76A73">
        <w:t xml:space="preserve">Calculate historical beta and volatility as of your valuation date automatically. Simply enter the tickers and valuation date in Excel </w:t>
      </w:r>
      <w:r w:rsidR="003B0B22" w:rsidRPr="00B76A73">
        <w:t>-</w:t>
      </w:r>
      <w:r w:rsidRPr="00B76A73">
        <w:t xml:space="preserve"> </w:t>
      </w:r>
      <w:proofErr w:type="spellStart"/>
      <w:r w:rsidRPr="00B76A73">
        <w:t>TagniFi</w:t>
      </w:r>
      <w:proofErr w:type="spellEnd"/>
      <w:r w:rsidRPr="00B76A73">
        <w:t xml:space="preserve"> does the rest.</w:t>
      </w:r>
      <w:r w:rsidR="003B0B22" w:rsidRPr="00B76A73">
        <w:t xml:space="preserve"> In addition to beta and volatility, there are over 40 Excel models available in the Model Library to help with your valuation report. </w:t>
      </w:r>
    </w:p>
    <w:p w14:paraId="42664782" w14:textId="50B2EA67" w:rsidR="003B0B22" w:rsidRPr="00B76A73" w:rsidRDefault="003B0B22" w:rsidP="004C20AB"/>
    <w:p w14:paraId="4808FD9A" w14:textId="7CD3F2CA" w:rsidR="003B0B22" w:rsidRPr="00B76A73" w:rsidRDefault="003B0B22" w:rsidP="004C20AB">
      <w:r w:rsidRPr="00B76A73"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7F6FB4BC" wp14:editId="1BE8E9C3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219325" cy="1664494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6A73">
        <w:rPr>
          <w:b/>
          <w:bCs/>
        </w:rPr>
        <w:t>Interest Rates and Economic Dat</w:t>
      </w:r>
      <w:r w:rsidR="00BC7E45" w:rsidRPr="00B76A73">
        <w:rPr>
          <w:b/>
          <w:bCs/>
        </w:rPr>
        <w:t>a</w:t>
      </w:r>
      <w:r w:rsidRPr="00B76A73">
        <w:rPr>
          <w:b/>
          <w:bCs/>
        </w:rPr>
        <w:br/>
      </w:r>
      <w:r w:rsidRPr="00B76A73">
        <w:t xml:space="preserve">Automate the interest rates and economic data in your valuation report using the </w:t>
      </w:r>
      <w:proofErr w:type="spellStart"/>
      <w:r w:rsidRPr="00B76A73">
        <w:t>TagniFi</w:t>
      </w:r>
      <w:proofErr w:type="spellEnd"/>
      <w:r w:rsidRPr="00B76A73">
        <w:t xml:space="preserve"> Excel plugin. Choose from over 200,000 time series available. All data in this </w:t>
      </w:r>
      <w:r w:rsidRPr="00B76A73">
        <w:rPr>
          <w:i/>
          <w:iCs/>
        </w:rPr>
        <w:t>Quarterly Economic Update</w:t>
      </w:r>
      <w:r w:rsidRPr="00B76A73">
        <w:t xml:space="preserve"> </w:t>
      </w:r>
      <w:r w:rsidR="002C5E52" w:rsidRPr="00B76A73">
        <w:t>is</w:t>
      </w:r>
      <w:r w:rsidRPr="00B76A73">
        <w:t xml:space="preserve"> from the </w:t>
      </w:r>
      <w:proofErr w:type="spellStart"/>
      <w:r w:rsidRPr="00B76A73">
        <w:t>TagniFi</w:t>
      </w:r>
      <w:proofErr w:type="spellEnd"/>
      <w:r w:rsidRPr="00B76A73">
        <w:t xml:space="preserve"> platform.</w:t>
      </w:r>
      <w:r w:rsidR="002C5E52" w:rsidRPr="00B76A73">
        <w:t xml:space="preserve"> Use economic and interest rate dat</w:t>
      </w:r>
      <w:r w:rsidR="006C08FA" w:rsidRPr="00B76A73">
        <w:t>a</w:t>
      </w:r>
      <w:r w:rsidR="002C5E52" w:rsidRPr="00B76A73">
        <w:t xml:space="preserve"> for your own valuation models with the </w:t>
      </w:r>
      <w:proofErr w:type="spellStart"/>
      <w:r w:rsidR="002C5E52" w:rsidRPr="00B76A73">
        <w:t>TagniFi</w:t>
      </w:r>
      <w:proofErr w:type="spellEnd"/>
      <w:r w:rsidR="002C5E52" w:rsidRPr="00B76A73">
        <w:t xml:space="preserve"> Excel plugin.</w:t>
      </w:r>
    </w:p>
    <w:p w14:paraId="76A748D9" w14:textId="6DA146B3" w:rsidR="002D4C10" w:rsidRPr="00B76A73" w:rsidRDefault="002D4C10" w:rsidP="002D4C10">
      <w:pPr>
        <w:rPr>
          <w:b/>
          <w:bCs/>
        </w:rPr>
      </w:pPr>
      <w:r w:rsidRPr="00B76A73">
        <w:rPr>
          <w:noProof/>
        </w:rPr>
        <w:drawing>
          <wp:anchor distT="0" distB="0" distL="114300" distR="114300" simplePos="0" relativeHeight="251663872" behindDoc="0" locked="0" layoutInCell="1" allowOverlap="1" wp14:anchorId="14BEAF36" wp14:editId="2559BE73">
            <wp:simplePos x="0" y="0"/>
            <wp:positionH relativeFrom="margin">
              <wp:posOffset>-635</wp:posOffset>
            </wp:positionH>
            <wp:positionV relativeFrom="paragraph">
              <wp:posOffset>296545</wp:posOffset>
            </wp:positionV>
            <wp:extent cx="2380615" cy="1819275"/>
            <wp:effectExtent l="0" t="0" r="635" b="9525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1" t="15145" r="49039" b="54028"/>
                    <a:stretch/>
                  </pic:blipFill>
                  <pic:spPr bwMode="auto">
                    <a:xfrm>
                      <a:off x="0" y="0"/>
                      <a:ext cx="238061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F8935B" w14:textId="1239DE48" w:rsidR="00AC2253" w:rsidRDefault="002D4C10" w:rsidP="002D4C10">
      <w:r w:rsidRPr="00B76A73">
        <w:rPr>
          <w:b/>
          <w:bCs/>
        </w:rPr>
        <w:br/>
        <w:t>Closed-End Mutual Fund Data</w:t>
      </w:r>
      <w:r w:rsidRPr="00B76A73">
        <w:rPr>
          <w:b/>
          <w:bCs/>
        </w:rPr>
        <w:br/>
      </w:r>
      <w:r w:rsidRPr="00B76A73">
        <w:t xml:space="preserve">Search for closed-end mutual funds by keyword, category, subcategory, and more with the </w:t>
      </w:r>
      <w:proofErr w:type="spellStart"/>
      <w:r w:rsidRPr="00B76A73">
        <w:t>TagniFi</w:t>
      </w:r>
      <w:proofErr w:type="spellEnd"/>
      <w:r w:rsidRPr="00B76A73">
        <w:t xml:space="preserve"> Console. Use the </w:t>
      </w:r>
      <w:proofErr w:type="spellStart"/>
      <w:r w:rsidRPr="00B76A73">
        <w:t>TagniFi</w:t>
      </w:r>
      <w:proofErr w:type="spellEnd"/>
      <w:r w:rsidRPr="00B76A73">
        <w:t xml:space="preserve"> Excel plugin to calculate historical discounts, yields, leverage, as of your valuation date automatically. Simply enter the tickers and valuation date in Excel - </w:t>
      </w:r>
      <w:proofErr w:type="spellStart"/>
      <w:r w:rsidRPr="00B76A73">
        <w:t>TagniFi</w:t>
      </w:r>
      <w:proofErr w:type="spellEnd"/>
      <w:r w:rsidRPr="00B76A73">
        <w:t xml:space="preserve"> does the rest.</w:t>
      </w:r>
      <w:r>
        <w:t xml:space="preserve"> </w:t>
      </w:r>
    </w:p>
    <w:p w14:paraId="26171B27" w14:textId="77777777" w:rsidR="002D4C10" w:rsidRDefault="002D4C10" w:rsidP="004C20AB">
      <w:pPr>
        <w:rPr>
          <w:b/>
          <w:bCs/>
        </w:rPr>
      </w:pPr>
    </w:p>
    <w:p w14:paraId="2C277A0B" w14:textId="099AA917" w:rsidR="003902D8" w:rsidRPr="00B76A73" w:rsidRDefault="003902D8" w:rsidP="003902D8">
      <w:r>
        <w:rPr>
          <w:b/>
          <w:bCs/>
          <w:noProof/>
        </w:rPr>
        <w:drawing>
          <wp:anchor distT="0" distB="0" distL="114300" distR="114300" simplePos="0" relativeHeight="251664896" behindDoc="0" locked="0" layoutInCell="1" allowOverlap="1" wp14:anchorId="16D6EC21" wp14:editId="7AC65E26">
            <wp:simplePos x="0" y="0"/>
            <wp:positionH relativeFrom="margin">
              <wp:posOffset>3759200</wp:posOffset>
            </wp:positionH>
            <wp:positionV relativeFrom="paragraph">
              <wp:posOffset>66675</wp:posOffset>
            </wp:positionV>
            <wp:extent cx="2182495" cy="1675130"/>
            <wp:effectExtent l="0" t="0" r="8255" b="1270"/>
            <wp:wrapSquare wrapText="bothSides"/>
            <wp:docPr id="618691689" name="Picture 31" descr="A graph of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91689" name="Picture 31" descr="A graph of different colored lines&#10;&#10;Description automatically generated"/>
                    <pic:cNvPicPr/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"/>
                    <a:stretch/>
                  </pic:blipFill>
                  <pic:spPr bwMode="auto">
                    <a:xfrm>
                      <a:off x="0" y="0"/>
                      <a:ext cx="2182495" cy="1675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</w:rPr>
        <w:t>Corporate Bond Data</w:t>
      </w:r>
      <w:r w:rsidRPr="00B76A73">
        <w:rPr>
          <w:b/>
          <w:bCs/>
        </w:rPr>
        <w:br/>
      </w:r>
      <w:r>
        <w:t xml:space="preserve">Use interest rates along any point of the yield curve for your debt valuation engagements as of your valuation date. View historical price and yield information for over 80,000 corporate </w:t>
      </w:r>
      <w:proofErr w:type="gramStart"/>
      <w:r>
        <w:t>bond</w:t>
      </w:r>
      <w:proofErr w:type="gramEnd"/>
      <w:r>
        <w:t xml:space="preserve"> along with their characteristics.</w:t>
      </w:r>
      <w:r w:rsidRPr="003902D8">
        <w:rPr>
          <w:b/>
          <w:bCs/>
          <w:noProof/>
        </w:rPr>
        <w:t xml:space="preserve"> </w:t>
      </w:r>
      <w:r w:rsidR="00AC2253" w:rsidRPr="00AC2253">
        <w:rPr>
          <w:noProof/>
        </w:rPr>
        <w:t>Search for bonds by rating to find guideline bonds for your analysis.</w:t>
      </w:r>
    </w:p>
    <w:p w14:paraId="06B6CD50" w14:textId="77777777" w:rsidR="003902D8" w:rsidRPr="004C20AB" w:rsidRDefault="003902D8" w:rsidP="004C20AB">
      <w:pPr>
        <w:rPr>
          <w:b/>
          <w:bCs/>
        </w:rPr>
      </w:pPr>
    </w:p>
    <w:sectPr w:rsidR="003902D8" w:rsidRPr="004C20AB" w:rsidSect="003676D6">
      <w:headerReference w:type="default" r:id="rId46"/>
      <w:footerReference w:type="default" r:id="rId47"/>
      <w:footerReference w:type="first" r:id="rId4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04FE1" w14:textId="77777777" w:rsidR="001237C6" w:rsidRDefault="001237C6" w:rsidP="00171C8E">
      <w:pPr>
        <w:spacing w:after="0" w:line="240" w:lineRule="auto"/>
      </w:pPr>
      <w:r>
        <w:separator/>
      </w:r>
    </w:p>
  </w:endnote>
  <w:endnote w:type="continuationSeparator" w:id="0">
    <w:p w14:paraId="60F37E9D" w14:textId="77777777" w:rsidR="001237C6" w:rsidRDefault="001237C6" w:rsidP="0017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5FE8" w14:textId="5CE396E5" w:rsidR="00B36811" w:rsidRDefault="00B36811">
    <w:pPr>
      <w:pStyle w:val="Footer"/>
    </w:pPr>
    <w:r>
      <w:t>© 202</w:t>
    </w:r>
    <w:r w:rsidR="00DD024A">
      <w:t>4</w:t>
    </w:r>
    <w:r>
      <w:t xml:space="preserve"> </w:t>
    </w:r>
    <w:proofErr w:type="spellStart"/>
    <w:r>
      <w:t>TagniFi</w:t>
    </w:r>
    <w:proofErr w:type="spellEnd"/>
    <w:r>
      <w:t>, LLC. All rights reserved.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CAF58" w14:textId="5EAC5F17" w:rsidR="00B36811" w:rsidRDefault="00B36811">
    <w:pPr>
      <w:pStyle w:val="Footer"/>
    </w:pPr>
    <w:r>
      <w:t>TagniFi.com</w:t>
    </w:r>
    <w:r>
      <w:tab/>
    </w:r>
    <w:r>
      <w:tab/>
      <w:t>800-TagniFi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123CD" w14:textId="77777777" w:rsidR="001237C6" w:rsidRDefault="001237C6" w:rsidP="00171C8E">
      <w:pPr>
        <w:spacing w:after="0" w:line="240" w:lineRule="auto"/>
      </w:pPr>
      <w:r>
        <w:separator/>
      </w:r>
    </w:p>
  </w:footnote>
  <w:footnote w:type="continuationSeparator" w:id="0">
    <w:p w14:paraId="1570B56C" w14:textId="77777777" w:rsidR="001237C6" w:rsidRDefault="001237C6" w:rsidP="00171C8E">
      <w:pPr>
        <w:spacing w:after="0" w:line="240" w:lineRule="auto"/>
      </w:pPr>
      <w:r>
        <w:continuationSeparator/>
      </w:r>
    </w:p>
  </w:footnote>
  <w:footnote w:id="1">
    <w:p w14:paraId="0A2FA1C7" w14:textId="1A073113" w:rsidR="00B36811" w:rsidRDefault="00B36811" w:rsidP="00EC7CB1">
      <w:pPr>
        <w:pStyle w:val="FootnoteText"/>
      </w:pPr>
      <w:r w:rsidRPr="000763E1">
        <w:rPr>
          <w:rStyle w:val="FootnoteReference"/>
          <w:sz w:val="16"/>
          <w:szCs w:val="16"/>
        </w:rPr>
        <w:footnoteRef/>
      </w:r>
      <w:r w:rsidRPr="000763E1">
        <w:rPr>
          <w:sz w:val="16"/>
          <w:szCs w:val="16"/>
        </w:rPr>
        <w:t xml:space="preserve"> </w:t>
      </w:r>
      <w:r w:rsidRPr="006B1EB1">
        <w:rPr>
          <w:rFonts w:cstheme="minorHAnsi"/>
          <w:color w:val="222222"/>
          <w:sz w:val="16"/>
          <w:szCs w:val="16"/>
          <w:shd w:val="clear" w:color="auto" w:fill="FFFFFF"/>
        </w:rPr>
        <w:t>Federal Reserve Bank of Philadelphia, Coincident Economic Activity Index for the United States [USPHCI],</w:t>
      </w:r>
      <w:r w:rsidRPr="00DA39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 </w:t>
      </w:r>
      <w:hyperlink r:id="rId1" w:history="1">
        <w:r w:rsidRPr="001B4FCC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https://fred.stlouisfed.org/series/USPHCI</w:t>
        </w:r>
      </w:hyperlink>
      <w:r w:rsidRPr="00DA39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7E3AB8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7A0A8A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DA39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2">
    <w:p w14:paraId="04EBBD96" w14:textId="758A5F61" w:rsidR="00B36811" w:rsidRPr="000322F4" w:rsidRDefault="00B36811">
      <w:pPr>
        <w:pStyle w:val="FootnoteText"/>
        <w:rPr>
          <w:sz w:val="16"/>
          <w:szCs w:val="16"/>
          <w:lang w:val="en-PH"/>
        </w:rPr>
      </w:pPr>
      <w:r w:rsidRPr="000322F4">
        <w:rPr>
          <w:rStyle w:val="FootnoteReference"/>
          <w:sz w:val="16"/>
          <w:szCs w:val="16"/>
        </w:rPr>
        <w:footnoteRef/>
      </w:r>
      <w:r w:rsidRPr="000322F4">
        <w:rPr>
          <w:sz w:val="16"/>
          <w:szCs w:val="16"/>
        </w:rPr>
        <w:t xml:space="preserve"> </w:t>
      </w:r>
      <w:r w:rsidRPr="006B1EB1">
        <w:rPr>
          <w:rFonts w:cstheme="minorHAnsi"/>
          <w:color w:val="222222"/>
          <w:sz w:val="16"/>
          <w:szCs w:val="16"/>
          <w:shd w:val="clear" w:color="auto" w:fill="FFFFFF"/>
        </w:rPr>
        <w:t>Board of Governors of the Federal Reserve System (US), Trade Weighted U.S. Dollar Index: Broad, Goods and Services [DTWEXBGS],</w:t>
      </w:r>
      <w:r w:rsidRPr="00DA39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 </w:t>
      </w:r>
      <w:hyperlink r:id="rId2" w:history="1">
        <w:r w:rsidRPr="00DA3959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https://fred.stlouisfed.org/series/DTWEXBGS</w:t>
        </w:r>
      </w:hyperlink>
      <w:r w:rsidRPr="00DA39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7E3AB8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7A0A8A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DA39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3">
    <w:p w14:paraId="517776FA" w14:textId="54DF69B4" w:rsidR="00B36811" w:rsidRPr="000763E1" w:rsidRDefault="00B36811" w:rsidP="000763E1">
      <w:pPr>
        <w:pStyle w:val="FootnoteText"/>
        <w:rPr>
          <w:rFonts w:cstheme="minorHAnsi"/>
          <w:sz w:val="16"/>
          <w:szCs w:val="16"/>
          <w:lang w:val="en-PH"/>
        </w:rPr>
      </w:pPr>
      <w:r w:rsidRPr="000763E1">
        <w:rPr>
          <w:rStyle w:val="FootnoteReference"/>
          <w:sz w:val="16"/>
          <w:szCs w:val="16"/>
        </w:rPr>
        <w:footnoteRef/>
      </w:r>
      <w:r w:rsidRPr="000763E1">
        <w:rPr>
          <w:sz w:val="16"/>
          <w:szCs w:val="16"/>
        </w:rPr>
        <w:t xml:space="preserve"> </w:t>
      </w:r>
      <w:r w:rsidRPr="000763E1">
        <w:rPr>
          <w:rFonts w:cstheme="minorHAnsi"/>
          <w:sz w:val="16"/>
          <w:szCs w:val="16"/>
          <w:lang w:val="en-PH"/>
        </w:rPr>
        <w:t>U.S. Bureau of Economic Analysis, Real Gross Domestic Product [GDPC1],</w:t>
      </w:r>
      <w:r w:rsidRPr="000763E1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3" w:history="1">
        <w:r w:rsidRPr="000763E1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https://fred.stlouisfed.org/series/GDPC1</w:t>
        </w:r>
      </w:hyperlink>
      <w:r w:rsidRPr="000763E1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DD024A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July 26</w:t>
      </w:r>
      <w:r w:rsidR="007A0A8A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0763E1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4">
    <w:p w14:paraId="1BE0CB36" w14:textId="0749DF09" w:rsidR="00C060D2" w:rsidRPr="000763E1" w:rsidRDefault="00C060D2" w:rsidP="00C060D2">
      <w:pPr>
        <w:pStyle w:val="FootnoteText"/>
        <w:rPr>
          <w:rFonts w:cstheme="minorHAnsi"/>
          <w:i/>
          <w:iCs/>
          <w:sz w:val="16"/>
          <w:szCs w:val="16"/>
        </w:rPr>
      </w:pPr>
      <w:r w:rsidRPr="000763E1">
        <w:rPr>
          <w:rStyle w:val="FootnoteReference"/>
          <w:rFonts w:cstheme="minorHAnsi"/>
          <w:sz w:val="16"/>
          <w:szCs w:val="16"/>
        </w:rPr>
        <w:footnoteRef/>
      </w:r>
      <w:r w:rsidRPr="000763E1">
        <w:rPr>
          <w:rFonts w:cstheme="minorHAnsi"/>
          <w:sz w:val="16"/>
          <w:szCs w:val="16"/>
        </w:rPr>
        <w:t xml:space="preserve"> U.S. Bureau of Economic Analysis, Contributions to percent change in real gross domestic product: Personal consumption expenditures [DPCERY2Q224SBEA], </w:t>
      </w:r>
      <w:r w:rsidRPr="000763E1">
        <w:rPr>
          <w:rFonts w:cstheme="minorHAnsi"/>
          <w:i/>
          <w:iCs/>
          <w:sz w:val="16"/>
          <w:szCs w:val="16"/>
        </w:rPr>
        <w:t xml:space="preserve">retrieved from FRED, Federal Reserve Bank of St. Louis; </w:t>
      </w:r>
      <w:hyperlink r:id="rId4" w:history="1">
        <w:r w:rsidRPr="000763E1">
          <w:rPr>
            <w:rStyle w:val="Hyperlink"/>
            <w:rFonts w:cstheme="minorHAnsi"/>
            <w:i/>
            <w:iCs/>
            <w:sz w:val="16"/>
            <w:szCs w:val="16"/>
          </w:rPr>
          <w:t>https://fred.stlouisfed.org/series/DPCERY2Q224SBEA</w:t>
        </w:r>
      </w:hyperlink>
      <w:r w:rsidRPr="000763E1">
        <w:rPr>
          <w:rFonts w:cstheme="minorHAnsi"/>
          <w:i/>
          <w:iCs/>
          <w:sz w:val="16"/>
          <w:szCs w:val="16"/>
        </w:rPr>
        <w:t xml:space="preserve">, </w:t>
      </w:r>
      <w:r w:rsidR="007F0F15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C36C62" w:rsidRPr="000763E1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</w:t>
      </w:r>
      <w:r w:rsidR="00775C7B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4</w:t>
      </w:r>
      <w:r w:rsidRPr="000763E1">
        <w:rPr>
          <w:rFonts w:cstheme="minorHAnsi"/>
          <w:i/>
          <w:iCs/>
          <w:sz w:val="16"/>
          <w:szCs w:val="16"/>
        </w:rPr>
        <w:t>.</w:t>
      </w:r>
    </w:p>
  </w:footnote>
  <w:footnote w:id="5">
    <w:p w14:paraId="379EADEB" w14:textId="3DAFD023" w:rsidR="00826D27" w:rsidRPr="000763E1" w:rsidRDefault="00826D27" w:rsidP="00826D27">
      <w:pPr>
        <w:pStyle w:val="FootnoteText"/>
        <w:rPr>
          <w:rFonts w:cstheme="minorHAnsi"/>
          <w:i/>
          <w:iCs/>
          <w:sz w:val="16"/>
          <w:szCs w:val="16"/>
        </w:rPr>
      </w:pPr>
      <w:r w:rsidRPr="000763E1">
        <w:rPr>
          <w:rStyle w:val="FootnoteReference"/>
          <w:rFonts w:cstheme="minorHAnsi"/>
          <w:sz w:val="16"/>
          <w:szCs w:val="16"/>
        </w:rPr>
        <w:footnoteRef/>
      </w:r>
      <w:r w:rsidRPr="000763E1">
        <w:rPr>
          <w:rFonts w:cstheme="minorHAnsi"/>
          <w:sz w:val="16"/>
          <w:szCs w:val="16"/>
        </w:rPr>
        <w:t xml:space="preserve"> U.S. Bureau of Economic Analysis, Contributions to percent change in real gross domestic product: Gross private domestic investment [A006RY2Q224SBEA], </w:t>
      </w:r>
      <w:r w:rsidRPr="000763E1">
        <w:rPr>
          <w:rFonts w:cstheme="minorHAnsi"/>
          <w:i/>
          <w:iCs/>
          <w:sz w:val="16"/>
          <w:szCs w:val="16"/>
        </w:rPr>
        <w:t xml:space="preserve">retrieved from FRED, Federal Reserve Bank of St. Louis; </w:t>
      </w:r>
      <w:hyperlink r:id="rId5" w:history="1">
        <w:r w:rsidRPr="000763E1">
          <w:rPr>
            <w:rStyle w:val="Hyperlink"/>
            <w:rFonts w:cstheme="minorHAnsi"/>
            <w:i/>
            <w:iCs/>
            <w:sz w:val="16"/>
            <w:szCs w:val="16"/>
          </w:rPr>
          <w:t>https://fred.stlouisfed.org/series/A006RY2Q224SBEA</w:t>
        </w:r>
      </w:hyperlink>
      <w:r w:rsidRPr="000763E1">
        <w:rPr>
          <w:rFonts w:cstheme="minorHAnsi"/>
          <w:i/>
          <w:iCs/>
          <w:sz w:val="16"/>
          <w:szCs w:val="16"/>
        </w:rPr>
        <w:t xml:space="preserve">, </w:t>
      </w:r>
      <w:r w:rsidR="007F0F15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Pr="000763E1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</w:t>
      </w:r>
      <w:r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4</w:t>
      </w:r>
      <w:r w:rsidRPr="000763E1">
        <w:rPr>
          <w:rFonts w:cstheme="minorHAnsi"/>
          <w:i/>
          <w:iCs/>
          <w:sz w:val="16"/>
          <w:szCs w:val="16"/>
        </w:rPr>
        <w:t>.</w:t>
      </w:r>
    </w:p>
  </w:footnote>
  <w:footnote w:id="6">
    <w:p w14:paraId="265F454B" w14:textId="0CAB3814" w:rsidR="00775C7B" w:rsidRPr="000763E1" w:rsidRDefault="00775C7B" w:rsidP="00775C7B">
      <w:pPr>
        <w:pStyle w:val="FootnoteText"/>
        <w:rPr>
          <w:rFonts w:cstheme="minorHAnsi"/>
          <w:sz w:val="16"/>
          <w:szCs w:val="16"/>
        </w:rPr>
      </w:pPr>
      <w:r w:rsidRPr="000763E1">
        <w:rPr>
          <w:rStyle w:val="FootnoteReference"/>
          <w:rFonts w:cstheme="minorHAnsi"/>
          <w:sz w:val="16"/>
          <w:szCs w:val="16"/>
        </w:rPr>
        <w:footnoteRef/>
      </w:r>
      <w:r w:rsidRPr="000763E1">
        <w:rPr>
          <w:rFonts w:cstheme="minorHAnsi"/>
          <w:sz w:val="16"/>
          <w:szCs w:val="16"/>
        </w:rPr>
        <w:t xml:space="preserve"> U.S. Bureau of Economic Analysis, Contributions to percent change in real gross domestic product: Government consumption expenditures and gross investment [A822RY2Q224SBEA], </w:t>
      </w:r>
      <w:r w:rsidRPr="000763E1">
        <w:rPr>
          <w:rFonts w:cstheme="minorHAnsi"/>
          <w:i/>
          <w:iCs/>
          <w:sz w:val="16"/>
          <w:szCs w:val="16"/>
        </w:rPr>
        <w:t xml:space="preserve">retrieved from FRED, Federal Reserve Bank of St. Louis; </w:t>
      </w:r>
      <w:hyperlink r:id="rId6" w:history="1">
        <w:r w:rsidRPr="000763E1">
          <w:rPr>
            <w:rStyle w:val="Hyperlink"/>
            <w:rFonts w:cstheme="minorHAnsi"/>
            <w:i/>
            <w:iCs/>
            <w:sz w:val="16"/>
            <w:szCs w:val="16"/>
          </w:rPr>
          <w:t>https://fred.stlouisfed.org/series/A822RY2Q224SBEA</w:t>
        </w:r>
      </w:hyperlink>
      <w:r w:rsidRPr="000763E1">
        <w:rPr>
          <w:rFonts w:cstheme="minorHAnsi"/>
          <w:i/>
          <w:iCs/>
          <w:sz w:val="16"/>
          <w:szCs w:val="16"/>
        </w:rPr>
        <w:t xml:space="preserve">, </w:t>
      </w:r>
      <w:r w:rsidR="007F0F15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</w:t>
      </w:r>
      <w:r w:rsidRPr="000763E1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202</w:t>
      </w:r>
      <w:r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4</w:t>
      </w:r>
      <w:r w:rsidRPr="000763E1">
        <w:rPr>
          <w:rFonts w:cstheme="minorHAnsi"/>
          <w:i/>
          <w:iCs/>
          <w:sz w:val="16"/>
          <w:szCs w:val="16"/>
        </w:rPr>
        <w:t>.</w:t>
      </w:r>
    </w:p>
  </w:footnote>
  <w:footnote w:id="7">
    <w:p w14:paraId="2FF20BFD" w14:textId="6923B4C5" w:rsidR="00775C7B" w:rsidRPr="000763E1" w:rsidRDefault="00775C7B" w:rsidP="00775C7B">
      <w:pPr>
        <w:pStyle w:val="FootnoteText"/>
        <w:rPr>
          <w:rFonts w:cstheme="minorHAnsi"/>
          <w:i/>
          <w:iCs/>
          <w:sz w:val="16"/>
          <w:szCs w:val="16"/>
        </w:rPr>
      </w:pPr>
      <w:r w:rsidRPr="000763E1">
        <w:rPr>
          <w:rStyle w:val="FootnoteReference"/>
          <w:rFonts w:cstheme="minorHAnsi"/>
          <w:sz w:val="16"/>
          <w:szCs w:val="16"/>
        </w:rPr>
        <w:footnoteRef/>
      </w:r>
      <w:r w:rsidRPr="000763E1">
        <w:rPr>
          <w:rFonts w:cstheme="minorHAnsi"/>
          <w:color w:val="222222"/>
          <w:sz w:val="16"/>
          <w:szCs w:val="16"/>
          <w:shd w:val="clear" w:color="auto" w:fill="FFFFFF"/>
        </w:rPr>
        <w:t xml:space="preserve"> </w:t>
      </w:r>
      <w:r w:rsidRPr="000763E1">
        <w:rPr>
          <w:rFonts w:cstheme="minorHAnsi"/>
          <w:sz w:val="16"/>
          <w:szCs w:val="16"/>
        </w:rPr>
        <w:t xml:space="preserve">U.S. </w:t>
      </w:r>
      <w:r w:rsidRPr="000763E1">
        <w:rPr>
          <w:rFonts w:cstheme="minorHAnsi"/>
          <w:sz w:val="16"/>
          <w:szCs w:val="16"/>
          <w:lang w:val="en-PH"/>
        </w:rPr>
        <w:t>Bureau o</w:t>
      </w:r>
      <w:r w:rsidRPr="000763E1">
        <w:rPr>
          <w:rFonts w:cstheme="minorHAnsi"/>
          <w:sz w:val="16"/>
          <w:szCs w:val="16"/>
        </w:rPr>
        <w:t xml:space="preserve">f Economic Analysis, Contributions to percent change in real gross domestic product: Net exports of goods and services [A019RY2Q224SBEA], </w:t>
      </w:r>
      <w:r w:rsidRPr="000763E1">
        <w:rPr>
          <w:rFonts w:cstheme="minorHAnsi"/>
          <w:i/>
          <w:iCs/>
          <w:sz w:val="16"/>
          <w:szCs w:val="16"/>
        </w:rPr>
        <w:t>retrieved from FRED, Federal Reserve Bank of St. Louis;</w:t>
      </w:r>
      <w:r w:rsidRPr="000763E1">
        <w:rPr>
          <w:rFonts w:cstheme="minorHAnsi"/>
          <w:i/>
          <w:iCs/>
          <w:color w:val="222222"/>
          <w:sz w:val="16"/>
          <w:szCs w:val="16"/>
          <w:shd w:val="clear" w:color="auto" w:fill="FFFFFF"/>
          <w:lang w:val="en-PH"/>
        </w:rPr>
        <w:t xml:space="preserve"> </w:t>
      </w:r>
      <w:hyperlink r:id="rId7" w:history="1">
        <w:r w:rsidRPr="000763E1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  <w:lang w:val="en-PH"/>
          </w:rPr>
          <w:t>https://fred.stlouisfed.org/series/A019RY2Q224SBEA</w:t>
        </w:r>
      </w:hyperlink>
      <w:r w:rsidRPr="000763E1">
        <w:rPr>
          <w:rFonts w:cstheme="minorHAnsi"/>
          <w:i/>
          <w:iCs/>
          <w:sz w:val="16"/>
          <w:szCs w:val="16"/>
        </w:rPr>
        <w:t xml:space="preserve">, </w:t>
      </w:r>
      <w:r w:rsidR="007F0F15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Pr="000763E1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</w:t>
      </w:r>
      <w:r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4</w:t>
      </w:r>
      <w:r w:rsidRPr="000763E1">
        <w:rPr>
          <w:rFonts w:cstheme="minorHAnsi"/>
          <w:i/>
          <w:iCs/>
          <w:sz w:val="16"/>
          <w:szCs w:val="16"/>
        </w:rPr>
        <w:t>.</w:t>
      </w:r>
    </w:p>
  </w:footnote>
  <w:footnote w:id="8">
    <w:p w14:paraId="0F596133" w14:textId="34FFDD93" w:rsidR="00100F15" w:rsidRDefault="00100F15" w:rsidP="00100F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0F15">
        <w:rPr>
          <w:sz w:val="16"/>
          <w:szCs w:val="16"/>
        </w:rPr>
        <w:t xml:space="preserve">Federal Reserve Bank of Philadelphia, The Livingston Survey </w:t>
      </w:r>
      <w:r w:rsidR="006A219A">
        <w:rPr>
          <w:sz w:val="16"/>
          <w:szCs w:val="16"/>
        </w:rPr>
        <w:t>December</w:t>
      </w:r>
      <w:r w:rsidR="00600E5F">
        <w:rPr>
          <w:sz w:val="16"/>
          <w:szCs w:val="16"/>
        </w:rPr>
        <w:t xml:space="preserve"> 2023</w:t>
      </w:r>
      <w:r w:rsidRPr="00100F15">
        <w:rPr>
          <w:sz w:val="16"/>
          <w:szCs w:val="16"/>
        </w:rPr>
        <w:t xml:space="preserve">, [economic release], retrieved from </w:t>
      </w:r>
      <w:hyperlink r:id="rId8" w:history="1">
        <w:r w:rsidR="00600E5F">
          <w:rPr>
            <w:rStyle w:val="Hyperlink"/>
            <w:sz w:val="16"/>
            <w:szCs w:val="16"/>
          </w:rPr>
          <w:t>https://www.philadelphiafed.org/surveys-and-data/real-time-data-research/livingston-survey</w:t>
        </w:r>
      </w:hyperlink>
      <w:r w:rsidRPr="00100F15">
        <w:rPr>
          <w:sz w:val="16"/>
          <w:szCs w:val="16"/>
        </w:rPr>
        <w:t xml:space="preserve">, </w:t>
      </w:r>
      <w:r w:rsidR="00551FA8">
        <w:rPr>
          <w:sz w:val="16"/>
          <w:szCs w:val="16"/>
        </w:rPr>
        <w:t>Jul 26</w:t>
      </w:r>
      <w:r w:rsidR="00992D1F">
        <w:rPr>
          <w:sz w:val="16"/>
          <w:szCs w:val="16"/>
        </w:rPr>
        <w:t>, 2024</w:t>
      </w:r>
      <w:r w:rsidRPr="00100F15">
        <w:rPr>
          <w:sz w:val="16"/>
          <w:szCs w:val="16"/>
        </w:rPr>
        <w:t>.</w:t>
      </w:r>
    </w:p>
  </w:footnote>
  <w:footnote w:id="9">
    <w:p w14:paraId="7FABCB6E" w14:textId="1489D691" w:rsidR="00B36811" w:rsidRPr="006A114D" w:rsidRDefault="00B36811" w:rsidP="00D03164">
      <w:pPr>
        <w:pStyle w:val="FootnoteText"/>
        <w:rPr>
          <w:lang w:val="en-PH"/>
        </w:rPr>
      </w:pPr>
      <w:r w:rsidRPr="000763E1">
        <w:rPr>
          <w:rStyle w:val="FootnoteReference"/>
          <w:sz w:val="16"/>
          <w:szCs w:val="16"/>
        </w:rPr>
        <w:footnoteRef/>
      </w:r>
      <w:r w:rsidRPr="000763E1">
        <w:rPr>
          <w:sz w:val="16"/>
          <w:szCs w:val="16"/>
        </w:rPr>
        <w:t xml:space="preserve"> </w:t>
      </w:r>
      <w:r w:rsidRPr="000763E1">
        <w:rPr>
          <w:sz w:val="16"/>
          <w:szCs w:val="16"/>
          <w:lang w:val="en-PH"/>
        </w:rPr>
        <w:t>Board of</w:t>
      </w:r>
      <w:r w:rsidRPr="00BF5CE2">
        <w:rPr>
          <w:sz w:val="16"/>
          <w:szCs w:val="16"/>
          <w:lang w:val="en-PH"/>
        </w:rPr>
        <w:t xml:space="preserve"> Governors of the Federal Reserve System (US), Industrial Production Index [INDPRO],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9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https://fred.stlouisfed.org/series/INDPRO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551FA8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015BAD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10">
    <w:p w14:paraId="036626D0" w14:textId="5972F9F3" w:rsidR="00B36811" w:rsidRPr="000763E1" w:rsidRDefault="00B36811" w:rsidP="007A05AD">
      <w:pPr>
        <w:pStyle w:val="FootnoteText"/>
        <w:rPr>
          <w:sz w:val="16"/>
          <w:szCs w:val="16"/>
        </w:rPr>
      </w:pPr>
      <w:r w:rsidRPr="000763E1">
        <w:rPr>
          <w:rStyle w:val="FootnoteReference"/>
          <w:sz w:val="16"/>
          <w:szCs w:val="16"/>
        </w:rPr>
        <w:footnoteRef/>
      </w:r>
      <w:r w:rsidRPr="000763E1">
        <w:rPr>
          <w:sz w:val="16"/>
          <w:szCs w:val="16"/>
          <w:lang w:val="en-PH"/>
        </w:rPr>
        <w:t xml:space="preserve"> Board of Governors of the Federal Reserve System (US), Capacity Utilization, Manufacturing (NAICS), </w:t>
      </w:r>
      <w:r w:rsidRPr="000763E1">
        <w:rPr>
          <w:i/>
          <w:iCs/>
          <w:sz w:val="16"/>
          <w:szCs w:val="16"/>
          <w:lang w:val="en-PH"/>
        </w:rPr>
        <w:t xml:space="preserve">retrieved from FRED, Federal Reserve Bank of St. Louis; </w:t>
      </w:r>
      <w:hyperlink r:id="rId10" w:history="1">
        <w:r w:rsidRPr="000763E1">
          <w:rPr>
            <w:rStyle w:val="Hyperlink"/>
            <w:i/>
            <w:iCs/>
            <w:sz w:val="16"/>
            <w:szCs w:val="16"/>
            <w:lang w:val="en-PH"/>
          </w:rPr>
          <w:t>https://fred.stlouisfed.org/series/MCUMFN</w:t>
        </w:r>
      </w:hyperlink>
      <w:r w:rsidRPr="000763E1">
        <w:rPr>
          <w:i/>
          <w:iCs/>
          <w:sz w:val="16"/>
          <w:szCs w:val="16"/>
          <w:lang w:val="en-PH"/>
        </w:rPr>
        <w:t xml:space="preserve">, </w:t>
      </w:r>
      <w:r w:rsidR="00E2036D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C36C62" w:rsidRPr="000763E1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</w:t>
      </w:r>
      <w:r w:rsidR="00101EED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4</w:t>
      </w:r>
      <w:r w:rsidR="006B1EB1" w:rsidRPr="000763E1">
        <w:rPr>
          <w:i/>
          <w:iCs/>
          <w:sz w:val="16"/>
          <w:szCs w:val="16"/>
          <w:lang w:val="en-PH"/>
        </w:rPr>
        <w:t>.</w:t>
      </w:r>
    </w:p>
  </w:footnote>
  <w:footnote w:id="11">
    <w:p w14:paraId="5D03BFAC" w14:textId="7A76A742" w:rsidR="00B36811" w:rsidRPr="000763E1" w:rsidRDefault="00B36811" w:rsidP="00952E0A">
      <w:pPr>
        <w:pStyle w:val="FootnoteText"/>
        <w:rPr>
          <w:rFonts w:ascii="Times New Roman" w:eastAsia="Times New Roman" w:hAnsi="Times New Roman" w:cs="Times New Roman"/>
          <w:sz w:val="16"/>
          <w:szCs w:val="16"/>
        </w:rPr>
      </w:pPr>
      <w:r w:rsidRPr="000763E1">
        <w:rPr>
          <w:rStyle w:val="FootnoteReference"/>
          <w:sz w:val="16"/>
          <w:szCs w:val="16"/>
        </w:rPr>
        <w:footnoteRef/>
      </w:r>
      <w:r w:rsidRPr="000763E1">
        <w:rPr>
          <w:sz w:val="16"/>
          <w:szCs w:val="16"/>
        </w:rPr>
        <w:t xml:space="preserve"> </w:t>
      </w:r>
      <w:r w:rsidRPr="000763E1">
        <w:rPr>
          <w:sz w:val="16"/>
          <w:szCs w:val="16"/>
          <w:lang w:val="en-PH"/>
        </w:rPr>
        <w:t xml:space="preserve">Board of Governors of the Federal Reserve System (US), Federal Funds Effective Rate [FEDFUNDS], </w:t>
      </w:r>
      <w:r w:rsidRPr="000763E1">
        <w:rPr>
          <w:i/>
          <w:iCs/>
          <w:sz w:val="16"/>
          <w:szCs w:val="16"/>
          <w:lang w:val="en-PH"/>
        </w:rPr>
        <w:t xml:space="preserve">retrieved from FRED, Federal Reserve Bank of St. Louis; </w:t>
      </w:r>
      <w:hyperlink r:id="rId11" w:history="1">
        <w:r w:rsidRPr="000763E1">
          <w:rPr>
            <w:rStyle w:val="Hyperlink"/>
            <w:i/>
            <w:iCs/>
            <w:sz w:val="16"/>
            <w:szCs w:val="16"/>
            <w:lang w:val="en-PH"/>
          </w:rPr>
          <w:t>https://fred.stlouisfed.org/series/FEDFUNDS</w:t>
        </w:r>
      </w:hyperlink>
      <w:r w:rsidRPr="000763E1">
        <w:rPr>
          <w:i/>
          <w:iCs/>
          <w:sz w:val="16"/>
          <w:szCs w:val="16"/>
          <w:lang w:val="en-PH"/>
        </w:rPr>
        <w:t xml:space="preserve">, </w:t>
      </w:r>
      <w:r w:rsidR="00E2036D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101EED" w:rsidRPr="000763E1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</w:t>
      </w:r>
      <w:r w:rsidR="00101EED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4</w:t>
      </w:r>
      <w:r w:rsidRPr="000763E1">
        <w:rPr>
          <w:i/>
          <w:iCs/>
          <w:sz w:val="16"/>
          <w:szCs w:val="16"/>
          <w:lang w:val="en-PH"/>
        </w:rPr>
        <w:t>.</w:t>
      </w:r>
    </w:p>
  </w:footnote>
  <w:footnote w:id="12">
    <w:p w14:paraId="2BE1B367" w14:textId="351AC183" w:rsidR="00B36811" w:rsidRPr="00E64295" w:rsidRDefault="00B36811">
      <w:pPr>
        <w:pStyle w:val="FootnoteText"/>
        <w:rPr>
          <w:sz w:val="16"/>
          <w:szCs w:val="16"/>
        </w:rPr>
      </w:pPr>
      <w:r w:rsidRPr="000763E1">
        <w:rPr>
          <w:rStyle w:val="FootnoteReference"/>
          <w:sz w:val="16"/>
          <w:szCs w:val="16"/>
        </w:rPr>
        <w:footnoteRef/>
      </w:r>
      <w:r w:rsidRPr="000763E1">
        <w:rPr>
          <w:sz w:val="16"/>
          <w:szCs w:val="16"/>
        </w:rPr>
        <w:t xml:space="preserve"> </w:t>
      </w:r>
      <w:r w:rsidRPr="00E64295">
        <w:rPr>
          <w:sz w:val="16"/>
          <w:szCs w:val="16"/>
          <w:lang w:val="en-PH"/>
        </w:rPr>
        <w:t>Selected Interest Rates Instruments, Yields in percent per annum,</w:t>
      </w:r>
      <w:r w:rsidRPr="00E64295">
        <w:rPr>
          <w:i/>
          <w:iCs/>
          <w:sz w:val="16"/>
          <w:szCs w:val="16"/>
          <w:lang w:val="en-PH"/>
        </w:rPr>
        <w:t xml:space="preserve"> retrieved from FRED, Federal Reserve Bank of St. Louis; </w:t>
      </w:r>
      <w:hyperlink r:id="rId12" w:history="1">
        <w:r w:rsidR="00D53455">
          <w:rPr>
            <w:rStyle w:val="Hyperlink"/>
            <w:sz w:val="16"/>
            <w:szCs w:val="16"/>
          </w:rPr>
          <w:t>https://fred.stlouisfed.org/release/tables?rid=18&amp;eid=289&amp;od=2024-06-28#</w:t>
        </w:r>
      </w:hyperlink>
      <w:r w:rsidRPr="00E64295">
        <w:rPr>
          <w:i/>
          <w:iCs/>
          <w:sz w:val="16"/>
          <w:szCs w:val="16"/>
          <w:lang w:val="en-PH"/>
        </w:rPr>
        <w:t xml:space="preserve">, </w:t>
      </w:r>
      <w:r w:rsidR="00D53455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101EED" w:rsidRPr="000763E1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</w:t>
      </w:r>
      <w:r w:rsidR="00101EED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4</w:t>
      </w:r>
      <w:r w:rsidRPr="00E64295">
        <w:rPr>
          <w:i/>
          <w:iCs/>
          <w:sz w:val="16"/>
          <w:szCs w:val="16"/>
          <w:lang w:val="en-PH"/>
        </w:rPr>
        <w:t>.</w:t>
      </w:r>
    </w:p>
  </w:footnote>
  <w:footnote w:id="13">
    <w:p w14:paraId="5D342EB9" w14:textId="77DBB95C" w:rsidR="003A4C56" w:rsidRPr="00BF5CE2" w:rsidRDefault="003A4C56" w:rsidP="003A4C56">
      <w:pPr>
        <w:pStyle w:val="FootnoteText"/>
        <w:rPr>
          <w:sz w:val="16"/>
          <w:szCs w:val="16"/>
          <w:lang w:val="en-PH"/>
        </w:rPr>
      </w:pPr>
      <w:r w:rsidRPr="003A4C56">
        <w:rPr>
          <w:rStyle w:val="FootnoteReference"/>
        </w:rPr>
        <w:footnoteRef/>
      </w:r>
      <w:r w:rsidRPr="003A4C56">
        <w:t xml:space="preserve"> </w:t>
      </w:r>
      <w:r w:rsidRPr="005E1BD2">
        <w:rPr>
          <w:sz w:val="16"/>
          <w:szCs w:val="16"/>
          <w:lang w:val="en-PH"/>
        </w:rPr>
        <w:t xml:space="preserve">Board of Governors of the Federal Reserve System (US), Federal Funds Target Range - Upper Limit [DFEDTARU], </w:t>
      </w:r>
      <w:r w:rsidRPr="005E1BD2">
        <w:rPr>
          <w:i/>
          <w:iCs/>
          <w:sz w:val="16"/>
          <w:szCs w:val="16"/>
          <w:lang w:val="en-PH"/>
        </w:rPr>
        <w:t xml:space="preserve">retrieved from FRED, Federal Reserve Bank of St. Louis; </w:t>
      </w:r>
      <w:hyperlink r:id="rId13" w:history="1">
        <w:r w:rsidRPr="005E1BD2">
          <w:rPr>
            <w:rStyle w:val="Hyperlink"/>
            <w:i/>
            <w:iCs/>
            <w:sz w:val="16"/>
            <w:szCs w:val="16"/>
            <w:lang w:val="en-PH"/>
          </w:rPr>
          <w:t>https://fred.stlouisfed.org/series/DFEDTARU</w:t>
        </w:r>
      </w:hyperlink>
      <w:r w:rsidRPr="005E1BD2">
        <w:rPr>
          <w:i/>
          <w:iCs/>
          <w:sz w:val="16"/>
          <w:szCs w:val="16"/>
          <w:lang w:val="en-PH"/>
        </w:rPr>
        <w:t xml:space="preserve">, </w:t>
      </w:r>
      <w:r w:rsidR="005B34DB">
        <w:rPr>
          <w:i/>
          <w:iCs/>
          <w:sz w:val="16"/>
          <w:szCs w:val="16"/>
          <w:lang w:val="en-PH"/>
        </w:rPr>
        <w:t>Jul 26</w:t>
      </w:r>
      <w:r w:rsidR="00101EED">
        <w:rPr>
          <w:i/>
          <w:iCs/>
          <w:sz w:val="16"/>
          <w:szCs w:val="16"/>
          <w:lang w:val="en-PH"/>
        </w:rPr>
        <w:t>, 2024</w:t>
      </w:r>
      <w:r w:rsidRPr="005E1BD2">
        <w:rPr>
          <w:sz w:val="16"/>
          <w:szCs w:val="16"/>
          <w:lang w:val="en-PH"/>
        </w:rPr>
        <w:t>.</w:t>
      </w:r>
    </w:p>
  </w:footnote>
  <w:footnote w:id="14">
    <w:p w14:paraId="5D92A033" w14:textId="64843C73" w:rsidR="00B36811" w:rsidRPr="004759DB" w:rsidRDefault="00B36811">
      <w:pPr>
        <w:pStyle w:val="FootnoteText"/>
        <w:rPr>
          <w:lang w:val="en-PH"/>
        </w:rPr>
      </w:pPr>
      <w:r w:rsidRPr="00BF5CE2">
        <w:rPr>
          <w:rStyle w:val="FootnoteReference"/>
          <w:sz w:val="16"/>
          <w:szCs w:val="16"/>
        </w:rPr>
        <w:footnoteRef/>
      </w:r>
      <w:r w:rsidRPr="00BF5CE2">
        <w:rPr>
          <w:sz w:val="16"/>
          <w:szCs w:val="16"/>
        </w:rPr>
        <w:t xml:space="preserve"> </w:t>
      </w:r>
      <w:r w:rsidRPr="00BF5CE2">
        <w:rPr>
          <w:sz w:val="16"/>
          <w:szCs w:val="16"/>
          <w:lang w:val="en-PH"/>
        </w:rPr>
        <w:t>Board of Governors of the Federal Reserve System (US), 10-Year Treasury Constant Maturity Rate [DGS10],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14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https://fred.stlouisfed.org/series/DGS10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CD53CD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710A31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15">
    <w:p w14:paraId="29E4EDD1" w14:textId="15D5DA64" w:rsidR="00B36811" w:rsidRPr="00BF5CE2" w:rsidRDefault="00B36811">
      <w:pPr>
        <w:pStyle w:val="FootnoteText"/>
        <w:rPr>
          <w:sz w:val="16"/>
          <w:szCs w:val="16"/>
          <w:lang w:val="en-PH"/>
        </w:rPr>
      </w:pPr>
      <w:r w:rsidRPr="00BF5CE2">
        <w:rPr>
          <w:rStyle w:val="FootnoteReference"/>
          <w:sz w:val="16"/>
          <w:szCs w:val="16"/>
        </w:rPr>
        <w:footnoteRef/>
      </w:r>
      <w:r w:rsidRPr="00BF5CE2">
        <w:rPr>
          <w:sz w:val="16"/>
          <w:szCs w:val="16"/>
        </w:rPr>
        <w:t xml:space="preserve"> </w:t>
      </w:r>
      <w:r w:rsidR="00263EBD" w:rsidRPr="00263EBD">
        <w:rPr>
          <w:sz w:val="16"/>
          <w:szCs w:val="16"/>
          <w:lang w:val="en-PH"/>
        </w:rPr>
        <w:t xml:space="preserve">Moody’s, Moody's Seasoned Baa Corporate Bond Yield [DBAA], </w:t>
      </w:r>
      <w:r w:rsidR="00263EBD" w:rsidRPr="00263EBD">
        <w:rPr>
          <w:i/>
          <w:iCs/>
          <w:sz w:val="16"/>
          <w:szCs w:val="16"/>
          <w:lang w:val="en-PH"/>
        </w:rPr>
        <w:t xml:space="preserve">retrieved from FRED, Federal Reserve Bank of St. Louis; </w:t>
      </w:r>
      <w:hyperlink r:id="rId15" w:history="1">
        <w:r w:rsidR="00263EBD" w:rsidRPr="00263EBD">
          <w:rPr>
            <w:rStyle w:val="Hyperlink"/>
            <w:i/>
            <w:iCs/>
            <w:sz w:val="16"/>
            <w:szCs w:val="16"/>
            <w:lang w:val="en-PH"/>
          </w:rPr>
          <w:t>https://fred.stlouisfed.org/series/DBAA</w:t>
        </w:r>
      </w:hyperlink>
      <w:r w:rsidR="00263EBD" w:rsidRPr="00263EBD">
        <w:rPr>
          <w:i/>
          <w:iCs/>
          <w:sz w:val="16"/>
          <w:szCs w:val="16"/>
          <w:lang w:val="en-PH"/>
        </w:rPr>
        <w:t xml:space="preserve">, </w:t>
      </w:r>
      <w:r w:rsidR="00CD53CD">
        <w:rPr>
          <w:i/>
          <w:iCs/>
          <w:sz w:val="16"/>
          <w:szCs w:val="16"/>
          <w:lang w:val="en-PH"/>
        </w:rPr>
        <w:t>Jul 26</w:t>
      </w:r>
      <w:r w:rsidR="00710A31">
        <w:rPr>
          <w:i/>
          <w:iCs/>
          <w:sz w:val="16"/>
          <w:szCs w:val="16"/>
          <w:lang w:val="en-PH"/>
        </w:rPr>
        <w:t>, 2024</w:t>
      </w:r>
      <w:r w:rsidR="00263EBD" w:rsidRPr="00263EBD">
        <w:rPr>
          <w:i/>
          <w:iCs/>
          <w:sz w:val="16"/>
          <w:szCs w:val="16"/>
          <w:lang w:val="en-PH"/>
        </w:rPr>
        <w:t>.</w:t>
      </w:r>
    </w:p>
  </w:footnote>
  <w:footnote w:id="16">
    <w:p w14:paraId="6012CE06" w14:textId="5BA089CB" w:rsidR="00B36811" w:rsidRPr="00263EBD" w:rsidRDefault="00B36811">
      <w:pPr>
        <w:pStyle w:val="FootnoteText"/>
        <w:rPr>
          <w:i/>
          <w:iCs/>
        </w:rPr>
      </w:pPr>
      <w:r w:rsidRPr="009D42AA">
        <w:rPr>
          <w:rStyle w:val="FootnoteReference"/>
          <w:sz w:val="16"/>
          <w:szCs w:val="16"/>
        </w:rPr>
        <w:footnoteRef/>
      </w:r>
      <w:r w:rsidRPr="009D42AA">
        <w:rPr>
          <w:rStyle w:val="FootnoteReference"/>
          <w:sz w:val="16"/>
          <w:szCs w:val="16"/>
        </w:rPr>
        <w:t xml:space="preserve"> </w:t>
      </w:r>
      <w:r w:rsidR="00263EBD" w:rsidRPr="00263EBD">
        <w:rPr>
          <w:sz w:val="16"/>
          <w:szCs w:val="16"/>
          <w:lang w:val="en-PH"/>
        </w:rPr>
        <w:t xml:space="preserve">Moody’s, Moody's Seasoned </w:t>
      </w:r>
      <w:proofErr w:type="spellStart"/>
      <w:r w:rsidR="00263EBD" w:rsidRPr="00263EBD">
        <w:rPr>
          <w:sz w:val="16"/>
          <w:szCs w:val="16"/>
          <w:lang w:val="en-PH"/>
        </w:rPr>
        <w:t>Aaa</w:t>
      </w:r>
      <w:proofErr w:type="spellEnd"/>
      <w:r w:rsidR="00263EBD" w:rsidRPr="00263EBD">
        <w:rPr>
          <w:sz w:val="16"/>
          <w:szCs w:val="16"/>
          <w:lang w:val="en-PH"/>
        </w:rPr>
        <w:t xml:space="preserve"> Corporate Bond Yield [DAAA], </w:t>
      </w:r>
      <w:r w:rsidR="00263EBD" w:rsidRPr="00263EBD">
        <w:rPr>
          <w:i/>
          <w:iCs/>
          <w:sz w:val="16"/>
          <w:szCs w:val="16"/>
          <w:lang w:val="en-PH"/>
        </w:rPr>
        <w:t xml:space="preserve">retrieved from FRED, Federal Reserve Bank of St. Louis; </w:t>
      </w:r>
      <w:hyperlink r:id="rId16" w:history="1">
        <w:r w:rsidR="00263EBD" w:rsidRPr="00263EBD">
          <w:rPr>
            <w:rStyle w:val="Hyperlink"/>
            <w:i/>
            <w:iCs/>
            <w:sz w:val="16"/>
            <w:szCs w:val="16"/>
            <w:lang w:val="en-PH"/>
          </w:rPr>
          <w:t>https://fred.stlouisfed.org/series/DAAA</w:t>
        </w:r>
      </w:hyperlink>
      <w:r w:rsidR="00263EBD" w:rsidRPr="00263EBD">
        <w:rPr>
          <w:i/>
          <w:iCs/>
          <w:sz w:val="16"/>
          <w:szCs w:val="16"/>
          <w:lang w:val="en-PH"/>
        </w:rPr>
        <w:t xml:space="preserve">, </w:t>
      </w:r>
      <w:r w:rsidR="00CD53CD">
        <w:rPr>
          <w:i/>
          <w:iCs/>
          <w:sz w:val="16"/>
          <w:szCs w:val="16"/>
          <w:lang w:val="en-PH"/>
        </w:rPr>
        <w:t>Jul 26</w:t>
      </w:r>
      <w:r w:rsidR="00710A31">
        <w:rPr>
          <w:i/>
          <w:iCs/>
          <w:sz w:val="16"/>
          <w:szCs w:val="16"/>
          <w:lang w:val="en-PH"/>
        </w:rPr>
        <w:t>, 2024</w:t>
      </w:r>
      <w:r w:rsidR="00263EBD" w:rsidRPr="00263EBD">
        <w:rPr>
          <w:i/>
          <w:iCs/>
          <w:sz w:val="16"/>
          <w:szCs w:val="16"/>
          <w:lang w:val="en-PH"/>
        </w:rPr>
        <w:t>.</w:t>
      </w:r>
    </w:p>
  </w:footnote>
  <w:footnote w:id="17">
    <w:p w14:paraId="66B25A11" w14:textId="302FA48D" w:rsidR="00B36811" w:rsidRDefault="00B368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5CE2">
        <w:rPr>
          <w:sz w:val="16"/>
          <w:szCs w:val="16"/>
          <w:lang w:val="en-PH"/>
        </w:rPr>
        <w:t>U.S. Bureau of Labor Statistics, Civilian Unemployment Rate [UNRATE],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17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https://fred.stlouisfed.org/series/UNRATE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7A3FE0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3620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18">
    <w:p w14:paraId="72ADA4A0" w14:textId="6B8F6376" w:rsidR="007B4191" w:rsidRPr="007B4191" w:rsidRDefault="007B4191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D2357">
        <w:rPr>
          <w:sz w:val="16"/>
          <w:szCs w:val="16"/>
        </w:rPr>
        <w:t xml:space="preserve">U.S. Bureau of Labor Statistics, Civilian Labor Force Level [CLF16OV], </w:t>
      </w:r>
      <w:r w:rsidRPr="000D2357">
        <w:rPr>
          <w:i/>
          <w:iCs/>
          <w:sz w:val="16"/>
          <w:szCs w:val="16"/>
        </w:rPr>
        <w:t xml:space="preserve">retrieved from FRED, Federal Reserve Bank of St. Louis; </w:t>
      </w:r>
      <w:hyperlink r:id="rId18" w:history="1">
        <w:r w:rsidRPr="000D2357">
          <w:rPr>
            <w:rStyle w:val="Hyperlink"/>
            <w:i/>
            <w:iCs/>
            <w:sz w:val="16"/>
            <w:szCs w:val="16"/>
          </w:rPr>
          <w:t>https://fred.stlouisfed.org/series/CLF16OV</w:t>
        </w:r>
      </w:hyperlink>
      <w:r w:rsidRPr="000D2357">
        <w:rPr>
          <w:i/>
          <w:iCs/>
          <w:sz w:val="16"/>
          <w:szCs w:val="16"/>
        </w:rPr>
        <w:t xml:space="preserve">, </w:t>
      </w:r>
      <w:r w:rsidR="007A3FE0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3620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0D2357">
        <w:rPr>
          <w:i/>
          <w:iCs/>
          <w:sz w:val="16"/>
          <w:szCs w:val="16"/>
        </w:rPr>
        <w:t>.</w:t>
      </w:r>
    </w:p>
  </w:footnote>
  <w:footnote w:id="19">
    <w:p w14:paraId="0E3463A9" w14:textId="67716EE9" w:rsidR="006859BA" w:rsidRPr="006859BA" w:rsidRDefault="006859BA" w:rsidP="000D2357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6859BA">
        <w:rPr>
          <w:sz w:val="16"/>
          <w:szCs w:val="16"/>
        </w:rPr>
        <w:t xml:space="preserve">U.S. Bureau of Labor Statistics, Labor Force Participation Rate [CIVPART], </w:t>
      </w:r>
      <w:r w:rsidRPr="006859BA">
        <w:rPr>
          <w:i/>
          <w:iCs/>
          <w:sz w:val="16"/>
          <w:szCs w:val="16"/>
        </w:rPr>
        <w:t xml:space="preserve">retrieved from FRED, Federal Reserve Bank of St. Louis; </w:t>
      </w:r>
      <w:hyperlink r:id="rId19" w:history="1">
        <w:r w:rsidRPr="006859BA">
          <w:rPr>
            <w:rStyle w:val="Hyperlink"/>
            <w:i/>
            <w:iCs/>
            <w:sz w:val="16"/>
            <w:szCs w:val="16"/>
          </w:rPr>
          <w:t>https://fred.stlouisfed.org/series/CIVPART</w:t>
        </w:r>
      </w:hyperlink>
      <w:r w:rsidRPr="006859BA">
        <w:rPr>
          <w:i/>
          <w:iCs/>
          <w:sz w:val="16"/>
          <w:szCs w:val="16"/>
        </w:rPr>
        <w:t xml:space="preserve">, </w:t>
      </w:r>
      <w:r w:rsidR="007A3FE0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3620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6859BA">
        <w:rPr>
          <w:i/>
          <w:iCs/>
          <w:sz w:val="16"/>
          <w:szCs w:val="16"/>
        </w:rPr>
        <w:t>.</w:t>
      </w:r>
    </w:p>
  </w:footnote>
  <w:footnote w:id="20">
    <w:p w14:paraId="6C60FCE5" w14:textId="320AE11C" w:rsidR="00D029B3" w:rsidRPr="00D029B3" w:rsidRDefault="00D029B3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D029B3">
        <w:rPr>
          <w:sz w:val="16"/>
          <w:szCs w:val="16"/>
        </w:rPr>
        <w:t xml:space="preserve">U.S. Bureau of Labor Statistics, </w:t>
      </w:r>
      <w:proofErr w:type="gramStart"/>
      <w:r w:rsidRPr="00D029B3">
        <w:rPr>
          <w:sz w:val="16"/>
          <w:szCs w:val="16"/>
        </w:rPr>
        <w:t>Quits</w:t>
      </w:r>
      <w:proofErr w:type="gramEnd"/>
      <w:r w:rsidRPr="00D029B3">
        <w:rPr>
          <w:sz w:val="16"/>
          <w:szCs w:val="16"/>
        </w:rPr>
        <w:t xml:space="preserve">: Total Nonfarm [JTSQUL], </w:t>
      </w:r>
      <w:r w:rsidRPr="00D029B3">
        <w:rPr>
          <w:i/>
          <w:iCs/>
          <w:sz w:val="16"/>
          <w:szCs w:val="16"/>
        </w:rPr>
        <w:t xml:space="preserve">retrieved from FRED, Federal Reserve Bank of St. Louis; </w:t>
      </w:r>
      <w:hyperlink r:id="rId20" w:history="1">
        <w:r w:rsidRPr="00D029B3">
          <w:rPr>
            <w:rStyle w:val="Hyperlink"/>
            <w:i/>
            <w:iCs/>
            <w:sz w:val="16"/>
            <w:szCs w:val="16"/>
          </w:rPr>
          <w:t>https://fred.stlouisfed.org/series/JTSQUL</w:t>
        </w:r>
      </w:hyperlink>
      <w:r w:rsidRPr="00D029B3">
        <w:rPr>
          <w:i/>
          <w:iCs/>
          <w:sz w:val="16"/>
          <w:szCs w:val="16"/>
        </w:rPr>
        <w:t xml:space="preserve">, </w:t>
      </w:r>
      <w:r w:rsidR="007A3FE0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3620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="00A74430" w:rsidRPr="006859BA">
        <w:rPr>
          <w:i/>
          <w:iCs/>
          <w:sz w:val="16"/>
          <w:szCs w:val="16"/>
        </w:rPr>
        <w:t>.</w:t>
      </w:r>
    </w:p>
  </w:footnote>
  <w:footnote w:id="21">
    <w:p w14:paraId="646109C7" w14:textId="4B1C791A" w:rsidR="007A4A4B" w:rsidRDefault="007A4A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4A4B">
        <w:rPr>
          <w:sz w:val="16"/>
          <w:szCs w:val="16"/>
        </w:rPr>
        <w:t xml:space="preserve">U.S. Bureau of Labor Statistics, Job Openings: Total Nonfarm [JTSJOL], </w:t>
      </w:r>
      <w:r w:rsidRPr="007A4A4B">
        <w:rPr>
          <w:i/>
          <w:iCs/>
          <w:sz w:val="16"/>
          <w:szCs w:val="16"/>
        </w:rPr>
        <w:t xml:space="preserve">retrieved from FRED, Federal Reserve Bank of St. Louis; </w:t>
      </w:r>
      <w:hyperlink r:id="rId21" w:history="1">
        <w:r w:rsidRPr="00CD6686">
          <w:rPr>
            <w:rStyle w:val="Hyperlink"/>
            <w:i/>
            <w:iCs/>
            <w:sz w:val="16"/>
            <w:szCs w:val="16"/>
          </w:rPr>
          <w:t>https://fred.stlouisfed.org/series/JTSJOL</w:t>
        </w:r>
      </w:hyperlink>
      <w:r w:rsidRPr="007A4A4B">
        <w:rPr>
          <w:i/>
          <w:iCs/>
          <w:sz w:val="16"/>
          <w:szCs w:val="16"/>
        </w:rPr>
        <w:t xml:space="preserve">, </w:t>
      </w:r>
      <w:r w:rsidR="007A3FE0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3620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>
        <w:rPr>
          <w:i/>
          <w:iCs/>
          <w:sz w:val="16"/>
          <w:szCs w:val="16"/>
        </w:rPr>
        <w:t>.</w:t>
      </w:r>
    </w:p>
  </w:footnote>
  <w:footnote w:id="22">
    <w:p w14:paraId="181B2D4A" w14:textId="4F88E5F4" w:rsidR="00B36811" w:rsidRDefault="00B368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5CE2">
        <w:rPr>
          <w:sz w:val="16"/>
          <w:szCs w:val="16"/>
          <w:lang w:val="en-PH"/>
        </w:rPr>
        <w:t>U.S. Bureau of Labor Statistics</w:t>
      </w:r>
      <w:r w:rsidRPr="009D7CB0">
        <w:t xml:space="preserve"> </w:t>
      </w:r>
      <w:r w:rsidRPr="009D7CB0">
        <w:rPr>
          <w:sz w:val="16"/>
          <w:szCs w:val="16"/>
          <w:lang w:val="en-PH"/>
        </w:rPr>
        <w:t xml:space="preserve">Total Unemployed, Plus All Persons Marginally Attached to the Labor Force, Plus Total Employed Part Time for Economic Reasons, as a Percent of the Civilian Labor Force Plus All Persons Marginally Attached to the Labor Force (U-6) </w:t>
      </w:r>
      <w:r>
        <w:rPr>
          <w:sz w:val="16"/>
          <w:szCs w:val="16"/>
          <w:lang w:val="en-PH"/>
        </w:rPr>
        <w:t>[</w:t>
      </w:r>
      <w:r w:rsidRPr="009D7CB0">
        <w:rPr>
          <w:sz w:val="16"/>
          <w:szCs w:val="16"/>
          <w:lang w:val="en-PH"/>
        </w:rPr>
        <w:t>U6RATE</w:t>
      </w:r>
      <w:r>
        <w:rPr>
          <w:sz w:val="16"/>
          <w:szCs w:val="16"/>
          <w:lang w:val="en-PH"/>
        </w:rPr>
        <w:t>]</w:t>
      </w:r>
      <w:r w:rsidRPr="00BF5CE2">
        <w:rPr>
          <w:sz w:val="16"/>
          <w:szCs w:val="16"/>
          <w:lang w:val="en-PH"/>
        </w:rPr>
        <w:t>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22" w:history="1">
        <w:r w:rsidRPr="00D541A5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https://fred.stlouisfed.org/series/U6RATE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E37ACE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3620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23">
    <w:p w14:paraId="041DBB1A" w14:textId="5F2DF501" w:rsidR="00B36811" w:rsidRDefault="00B368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5CE2">
        <w:rPr>
          <w:sz w:val="16"/>
          <w:szCs w:val="16"/>
          <w:lang w:val="en-PH"/>
        </w:rPr>
        <w:t>U.S. Bureau of Labor Statistics, All Employees: Total Nonfarm Payrolls [PAYEMS],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</w:t>
      </w:r>
      <w:r w:rsidRPr="002024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retrieved from FRED, Federal Reserve Bank of St. Louis; </w:t>
      </w:r>
      <w:hyperlink r:id="rId23" w:history="1">
        <w:r w:rsidRPr="002024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https://fred.stlouisfed.org/series/PAYEMS</w:t>
        </w:r>
      </w:hyperlink>
      <w:r w:rsidRPr="002024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E37ACE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3620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2024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24">
    <w:p w14:paraId="7DB2BDE1" w14:textId="24C70AF0" w:rsidR="00B36811" w:rsidRDefault="00B368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5CE2">
        <w:rPr>
          <w:sz w:val="16"/>
          <w:szCs w:val="16"/>
          <w:lang w:val="en-PH"/>
        </w:rPr>
        <w:t>U.S. Bureau of Labor Statistics, Consumer Price Index for All Urban Consumers: All Items [CPIAUCSL],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24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https://fred.stlouisfed.org/series/CPIAUCSL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D53455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8D5F3E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25">
    <w:p w14:paraId="739A6C3B" w14:textId="6DB56325" w:rsidR="00EF1F20" w:rsidRPr="00EF1F20" w:rsidRDefault="00EF1F20">
      <w:pPr>
        <w:pStyle w:val="FootnoteText"/>
        <w:rPr>
          <w:sz w:val="16"/>
          <w:szCs w:val="16"/>
          <w:lang w:val="en-PH"/>
        </w:rPr>
      </w:pPr>
      <w:r>
        <w:rPr>
          <w:rStyle w:val="FootnoteReference"/>
        </w:rPr>
        <w:footnoteRef/>
      </w:r>
      <w:r>
        <w:t xml:space="preserve"> </w:t>
      </w:r>
      <w:r w:rsidRPr="00EF1F20">
        <w:rPr>
          <w:sz w:val="16"/>
          <w:szCs w:val="16"/>
          <w:lang w:val="en-PH"/>
        </w:rPr>
        <w:t xml:space="preserve">U.S. Bureau of Labor Statistics, Consumer Price Index for All Urban Consumers: All Items Less Energy in U.S. City Average [CPILEGSL], </w:t>
      </w:r>
      <w:r w:rsidRPr="00EF1F20">
        <w:rPr>
          <w:i/>
          <w:iCs/>
          <w:sz w:val="16"/>
          <w:szCs w:val="16"/>
          <w:lang w:val="en-PH"/>
        </w:rPr>
        <w:t xml:space="preserve">retrieved from FRED, Federal Reserve Bank of St. Louis; </w:t>
      </w:r>
      <w:hyperlink r:id="rId25" w:history="1">
        <w:r w:rsidRPr="00EF1F20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https://fred.stlouisfed.org/series/CPILEGSL</w:t>
        </w:r>
      </w:hyperlink>
      <w:r w:rsidRPr="00EF1F20">
        <w:rPr>
          <w:i/>
          <w:iCs/>
          <w:sz w:val="16"/>
          <w:szCs w:val="16"/>
          <w:lang w:val="en-PH"/>
        </w:rPr>
        <w:t>,</w:t>
      </w:r>
      <w:r w:rsidR="009124CB">
        <w:rPr>
          <w:i/>
          <w:iCs/>
          <w:sz w:val="16"/>
          <w:szCs w:val="16"/>
          <w:lang w:val="en-PH"/>
        </w:rPr>
        <w:t xml:space="preserve"> </w:t>
      </w:r>
      <w:r w:rsidR="00D53455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8D5F3E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EF1F20">
        <w:rPr>
          <w:sz w:val="16"/>
          <w:szCs w:val="16"/>
          <w:lang w:val="en-PH"/>
        </w:rPr>
        <w:t>.</w:t>
      </w:r>
    </w:p>
  </w:footnote>
  <w:footnote w:id="26">
    <w:p w14:paraId="46D1616A" w14:textId="6D9BAA1A" w:rsidR="00B36811" w:rsidRPr="003A2900" w:rsidRDefault="00B36811" w:rsidP="003A2900">
      <w:pPr>
        <w:pStyle w:val="FootnoteText"/>
        <w:rPr>
          <w:rFonts w:ascii="Times New Roman" w:eastAsia="Times New Roman" w:hAnsi="Times New Roman" w:cs="Times New Roman"/>
          <w:szCs w:val="24"/>
        </w:rPr>
      </w:pPr>
      <w:r w:rsidRPr="003A2900">
        <w:rPr>
          <w:vertAlign w:val="superscript"/>
          <w:lang w:val="en-PH"/>
        </w:rPr>
        <w:footnoteRef/>
      </w:r>
      <w:r w:rsidRPr="003A2900">
        <w:rPr>
          <w:vertAlign w:val="superscript"/>
          <w:lang w:val="en-PH"/>
        </w:rPr>
        <w:t xml:space="preserve"> </w:t>
      </w:r>
      <w:r w:rsidRPr="003A2900">
        <w:rPr>
          <w:sz w:val="16"/>
          <w:szCs w:val="16"/>
          <w:lang w:val="en-PH"/>
        </w:rPr>
        <w:t xml:space="preserve">U.S. Bureau of Labor Statistics, Average Price: Gasoline, Unleaded Regular (Cost per Gallon/3.785 Liters) in U.S. City Average [APU000074714], </w:t>
      </w:r>
      <w:r w:rsidRPr="003A2900">
        <w:rPr>
          <w:i/>
          <w:iCs/>
          <w:sz w:val="16"/>
          <w:szCs w:val="16"/>
          <w:lang w:val="en-PH"/>
        </w:rPr>
        <w:t xml:space="preserve">retrieved from FRED, Federal Reserve Bank of St. Louis; </w:t>
      </w:r>
      <w:hyperlink r:id="rId26" w:history="1">
        <w:r w:rsidRPr="006859BA">
          <w:rPr>
            <w:rStyle w:val="Hyperlink"/>
            <w:i/>
            <w:iCs/>
            <w:sz w:val="16"/>
            <w:szCs w:val="16"/>
            <w:lang w:val="en-PH"/>
          </w:rPr>
          <w:t>https://fred.stlouisfed.org/series/APU000074714</w:t>
        </w:r>
      </w:hyperlink>
      <w:r w:rsidRPr="006859BA">
        <w:rPr>
          <w:i/>
          <w:iCs/>
          <w:sz w:val="16"/>
          <w:szCs w:val="16"/>
          <w:lang w:val="en-PH"/>
        </w:rPr>
        <w:t xml:space="preserve">, </w:t>
      </w:r>
      <w:r w:rsidR="00D53455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8D5F3E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6859BA">
        <w:rPr>
          <w:i/>
          <w:iCs/>
          <w:sz w:val="16"/>
          <w:szCs w:val="16"/>
          <w:lang w:val="en-PH"/>
        </w:rPr>
        <w:t>.</w:t>
      </w:r>
    </w:p>
  </w:footnote>
  <w:footnote w:id="27">
    <w:p w14:paraId="0C7EB8BC" w14:textId="49ECA000" w:rsidR="00B36811" w:rsidRDefault="00B368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5CE2">
        <w:rPr>
          <w:sz w:val="16"/>
          <w:szCs w:val="16"/>
          <w:lang w:val="en-PH"/>
        </w:rPr>
        <w:t>U.S. Bureau of Labor Statistics, Producer Price Index for All Commodities [PPIACO],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27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https://fred.stlouisfed.org/series/PPIACO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3361F5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893395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28">
    <w:p w14:paraId="1E8CCC61" w14:textId="6AE99E72" w:rsidR="00B36811" w:rsidRDefault="00B36811" w:rsidP="00661AA7">
      <w:pPr>
        <w:pStyle w:val="FootnoteText"/>
      </w:pPr>
      <w:r>
        <w:rPr>
          <w:rStyle w:val="FootnoteReference"/>
        </w:rPr>
        <w:footnoteRef/>
      </w:r>
      <w:r w:rsidRPr="009B52AF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Federal Reserve Bank of St. Louis</w:t>
      </w:r>
      <w:r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Pr="009B52AF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5-Year Breakeven Inflation Rate</w:t>
      </w:r>
      <w:r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[T5YIE</w:t>
      </w:r>
      <w:r w:rsidRPr="000322F4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], retrieved from FRED, Federal Reserve Bank of St. Louis; </w:t>
      </w:r>
      <w:hyperlink r:id="rId28" w:history="1">
        <w:r w:rsidRPr="001B4FCC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https://fred.stlouisfed.org/series/T5YIE</w:t>
        </w:r>
      </w:hyperlink>
      <w:r w:rsidRPr="000322F4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3361F5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893395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0322F4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29">
    <w:p w14:paraId="1C900108" w14:textId="2AA480BB" w:rsidR="00B36811" w:rsidRPr="000322F4" w:rsidRDefault="00B36811" w:rsidP="0074137C">
      <w:pPr>
        <w:pStyle w:val="FootnoteText"/>
        <w:rPr>
          <w:rFonts w:cstheme="minorHAnsi"/>
          <w:sz w:val="16"/>
          <w:szCs w:val="16"/>
          <w:lang w:val="en-PH"/>
        </w:rPr>
      </w:pPr>
      <w:r w:rsidRPr="000322F4">
        <w:rPr>
          <w:rStyle w:val="FootnoteReference"/>
          <w:rFonts w:cstheme="minorHAnsi"/>
          <w:sz w:val="16"/>
          <w:szCs w:val="16"/>
        </w:rPr>
        <w:footnoteRef/>
      </w:r>
      <w:r w:rsidRPr="000322F4">
        <w:rPr>
          <w:rFonts w:cstheme="minorHAnsi"/>
          <w:sz w:val="16"/>
          <w:szCs w:val="16"/>
        </w:rPr>
        <w:t xml:space="preserve"> </w:t>
      </w:r>
      <w:r w:rsidR="00F72263" w:rsidRPr="00F72263">
        <w:rPr>
          <w:rFonts w:cstheme="minorHAnsi"/>
          <w:color w:val="222222"/>
          <w:sz w:val="16"/>
          <w:szCs w:val="16"/>
          <w:shd w:val="clear" w:color="auto" w:fill="FFFFFF"/>
        </w:rPr>
        <w:t>U.S. Energy Information Administration, Crude Oil Prices: West Texas Intermediate (WTI) - Cushing, Oklahoma [DCOILWTICO],</w:t>
      </w:r>
      <w:r w:rsidR="00F72263" w:rsidRPr="00F72263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 </w:t>
      </w:r>
      <w:hyperlink r:id="rId29" w:history="1">
        <w:r w:rsidR="00EC2B2F" w:rsidRPr="00E05DB5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https://fred.stlouisfed.org/series/DCOILWTICO</w:t>
        </w:r>
      </w:hyperlink>
      <w:r w:rsidR="00F72263" w:rsidRPr="00F72263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DC5224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July 26</w:t>
      </w:r>
      <w:r w:rsidR="0030772B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0322F4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30">
    <w:p w14:paraId="11221A52" w14:textId="7215E48D" w:rsidR="00B36811" w:rsidRPr="00BF5CE2" w:rsidRDefault="00B36811">
      <w:pPr>
        <w:pStyle w:val="FootnoteText"/>
        <w:rPr>
          <w:sz w:val="16"/>
          <w:szCs w:val="16"/>
          <w:lang w:val="en-PH"/>
        </w:rPr>
      </w:pPr>
      <w:r w:rsidRPr="00BF5CE2">
        <w:rPr>
          <w:rStyle w:val="FootnoteReference"/>
          <w:sz w:val="16"/>
          <w:szCs w:val="16"/>
        </w:rPr>
        <w:footnoteRef/>
      </w:r>
      <w:r w:rsidRPr="00BF5CE2">
        <w:rPr>
          <w:sz w:val="16"/>
          <w:szCs w:val="16"/>
        </w:rPr>
        <w:t xml:space="preserve"> </w:t>
      </w:r>
      <w:r w:rsidRPr="00BF5CE2">
        <w:rPr>
          <w:sz w:val="16"/>
          <w:szCs w:val="16"/>
          <w:lang w:val="en-PH"/>
        </w:rPr>
        <w:t>U.S. Bureau of the Census, Housing Starts: Total: New Privately Owned Housing Units Started [HOUST],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30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https://fred.stlouisfed.org/series/HOUST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6002CC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902563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31">
    <w:p w14:paraId="6A794CBD" w14:textId="2E733C12" w:rsidR="00B36811" w:rsidRPr="00250313" w:rsidRDefault="00B36811">
      <w:pPr>
        <w:pStyle w:val="FootnoteText"/>
        <w:rPr>
          <w:lang w:val="en-PH"/>
        </w:rPr>
      </w:pPr>
      <w:r w:rsidRPr="00BF5CE2">
        <w:rPr>
          <w:rStyle w:val="FootnoteReference"/>
          <w:sz w:val="16"/>
          <w:szCs w:val="16"/>
        </w:rPr>
        <w:footnoteRef/>
      </w:r>
      <w:r w:rsidRPr="00BF5CE2">
        <w:rPr>
          <w:sz w:val="16"/>
          <w:szCs w:val="16"/>
        </w:rPr>
        <w:t xml:space="preserve"> </w:t>
      </w:r>
      <w:r w:rsidRPr="00BF5CE2">
        <w:rPr>
          <w:sz w:val="16"/>
          <w:szCs w:val="16"/>
          <w:lang w:val="en-PH"/>
        </w:rPr>
        <w:t>Freddie Mac, 30-Year Fixed Rate Mortgage Average in the United States [MORTGAGE30US],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31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https://fred.stlouisfed.org/series/MORTGAGE30US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6002CC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121D6D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32">
    <w:p w14:paraId="48E5411D" w14:textId="0A4535C9" w:rsidR="00B36811" w:rsidRPr="00BF5CE2" w:rsidRDefault="00B36811">
      <w:pPr>
        <w:pStyle w:val="FootnoteText"/>
        <w:rPr>
          <w:sz w:val="16"/>
          <w:szCs w:val="16"/>
          <w:lang w:val="en-PH"/>
        </w:rPr>
      </w:pPr>
      <w:r w:rsidRPr="00BF5CE2">
        <w:rPr>
          <w:rStyle w:val="FootnoteReference"/>
          <w:sz w:val="16"/>
          <w:szCs w:val="16"/>
        </w:rPr>
        <w:footnoteRef/>
      </w:r>
      <w:r w:rsidRPr="00BF5CE2">
        <w:rPr>
          <w:sz w:val="16"/>
          <w:szCs w:val="16"/>
        </w:rPr>
        <w:t xml:space="preserve"> </w:t>
      </w:r>
      <w:r w:rsidRPr="00BF5CE2">
        <w:rPr>
          <w:sz w:val="16"/>
          <w:szCs w:val="16"/>
          <w:lang w:val="en-PH"/>
        </w:rPr>
        <w:t>S&amp;P Dow Jones Indices LLC, S&amp;P/Case-Shiller 20-City Composite Home Price Index [SPCS20RSA],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32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https://fred.stlouisfed.org/series/SPCS20RSA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4A13E8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121D6D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33">
    <w:p w14:paraId="3C84FE4A" w14:textId="11B30A07" w:rsidR="00B36811" w:rsidRPr="00BF5CE2" w:rsidRDefault="00B36811">
      <w:pPr>
        <w:pStyle w:val="FootnoteText"/>
        <w:rPr>
          <w:sz w:val="16"/>
          <w:szCs w:val="16"/>
          <w:lang w:val="en-PH"/>
        </w:rPr>
      </w:pPr>
      <w:r w:rsidRPr="00BF5CE2">
        <w:rPr>
          <w:rStyle w:val="FootnoteReference"/>
          <w:sz w:val="16"/>
          <w:szCs w:val="16"/>
        </w:rPr>
        <w:footnoteRef/>
      </w:r>
      <w:r w:rsidRPr="00BF5CE2">
        <w:rPr>
          <w:sz w:val="16"/>
          <w:szCs w:val="16"/>
          <w:lang w:val="en-PH"/>
        </w:rPr>
        <w:t xml:space="preserve"> U.S. Bureau of Economic Analysis, Personal Consumption Expenditures [PCE],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33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https://fred.stlouisfed.org/series/PCE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4A13E8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121D6D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34">
    <w:p w14:paraId="08E11874" w14:textId="296FED79" w:rsidR="00B36811" w:rsidRPr="00933E80" w:rsidRDefault="00B36811">
      <w:pPr>
        <w:pStyle w:val="FootnoteText"/>
        <w:rPr>
          <w:lang w:val="en-PH"/>
        </w:rPr>
      </w:pPr>
      <w:r w:rsidRPr="00BF5CE2">
        <w:rPr>
          <w:rStyle w:val="FootnoteReference"/>
          <w:sz w:val="16"/>
          <w:szCs w:val="16"/>
        </w:rPr>
        <w:footnoteRef/>
      </w:r>
      <w:r w:rsidRPr="00BF5CE2">
        <w:rPr>
          <w:sz w:val="16"/>
          <w:szCs w:val="16"/>
        </w:rPr>
        <w:t xml:space="preserve"> </w:t>
      </w:r>
      <w:r w:rsidRPr="00BF5CE2">
        <w:rPr>
          <w:sz w:val="16"/>
          <w:szCs w:val="16"/>
          <w:lang w:val="en-PH"/>
        </w:rPr>
        <w:t>U.S. Bureau of Economic Analysis, Light Weight Vehicle Sales: Autos and Light Trucks [ALTSALES</w:t>
      </w:r>
      <w:bookmarkStart w:id="0" w:name="_Hlk79177981"/>
      <w:r w:rsidRPr="00BF5CE2">
        <w:rPr>
          <w:sz w:val="16"/>
          <w:szCs w:val="16"/>
          <w:lang w:val="en-PH"/>
        </w:rPr>
        <w:t>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bookmarkEnd w:id="0"/>
      <w:r>
        <w:fldChar w:fldCharType="begin"/>
      </w:r>
      <w:r>
        <w:instrText xml:space="preserve"> HYPERLINK "https://fred.stlouisfed.org/series/ALTSALES" </w:instrText>
      </w:r>
      <w:r>
        <w:fldChar w:fldCharType="separate"/>
      </w:r>
      <w:r w:rsidRPr="00BF5CE2">
        <w:rPr>
          <w:rStyle w:val="Hyperlink"/>
          <w:rFonts w:cstheme="minorHAnsi"/>
          <w:i/>
          <w:iCs/>
          <w:sz w:val="16"/>
          <w:szCs w:val="16"/>
          <w:shd w:val="clear" w:color="auto" w:fill="FFFFFF"/>
        </w:rPr>
        <w:t>https://fred.stlouisfed.org/series/ALTSALES</w:t>
      </w:r>
      <w:r>
        <w:rPr>
          <w:rStyle w:val="Hyperlink"/>
          <w:rFonts w:cstheme="minorHAnsi"/>
          <w:i/>
          <w:iCs/>
          <w:sz w:val="16"/>
          <w:szCs w:val="16"/>
          <w:shd w:val="clear" w:color="auto" w:fill="FFFFFF"/>
        </w:rPr>
        <w:fldChar w:fldCharType="end"/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4A13E8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870BFD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35">
    <w:p w14:paraId="1FBBD940" w14:textId="3AC5A098" w:rsidR="00B36811" w:rsidRPr="00D822BB" w:rsidRDefault="00B36811" w:rsidP="00B92952">
      <w:pPr>
        <w:pStyle w:val="FootnoteText"/>
        <w:rPr>
          <w:sz w:val="16"/>
          <w:szCs w:val="16"/>
          <w:lang w:val="en-PH"/>
        </w:rPr>
      </w:pPr>
      <w:r w:rsidRPr="00D822BB">
        <w:rPr>
          <w:rStyle w:val="FootnoteReference"/>
          <w:sz w:val="16"/>
          <w:szCs w:val="16"/>
        </w:rPr>
        <w:footnoteRef/>
      </w:r>
      <w:r w:rsidRPr="00D822BB">
        <w:rPr>
          <w:rStyle w:val="FootnoteReference"/>
          <w:sz w:val="16"/>
          <w:szCs w:val="16"/>
        </w:rPr>
        <w:t xml:space="preserve"> </w:t>
      </w:r>
      <w:r>
        <w:rPr>
          <w:rFonts w:ascii="Lucida Sans" w:eastAsia="Times New Roman" w:hAnsi="Lucida Sans" w:cs="Times New Roman"/>
          <w:color w:val="333333"/>
          <w:sz w:val="18"/>
          <w:szCs w:val="18"/>
          <w:shd w:val="clear" w:color="auto" w:fill="FFFFFF"/>
        </w:rPr>
        <w:t>U</w:t>
      </w:r>
      <w:r w:rsidRPr="00D822BB">
        <w:rPr>
          <w:sz w:val="16"/>
          <w:szCs w:val="16"/>
          <w:lang w:val="en-PH"/>
        </w:rPr>
        <w:t xml:space="preserve">.S. Bureau of Labor Statistics, Consumer Price Index for All Urban Consumers: New Vehicles in U.S. City Average [CUUR0000SETA01], </w:t>
      </w:r>
      <w:r w:rsidRPr="00D822BB">
        <w:rPr>
          <w:i/>
          <w:iCs/>
          <w:sz w:val="16"/>
          <w:szCs w:val="16"/>
          <w:lang w:val="en-PH"/>
        </w:rPr>
        <w:t xml:space="preserve">retrieved from FRED, </w:t>
      </w:r>
      <w:r w:rsidRPr="00B9295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Federal</w:t>
      </w:r>
      <w:r w:rsidRPr="00D822BB">
        <w:rPr>
          <w:i/>
          <w:iCs/>
          <w:sz w:val="16"/>
          <w:szCs w:val="16"/>
          <w:lang w:val="en-PH"/>
        </w:rPr>
        <w:t xml:space="preserve"> Reserve Bank of St. Louis; </w:t>
      </w:r>
      <w:hyperlink r:id="rId34" w:history="1">
        <w:r w:rsidRPr="00D822BB">
          <w:rPr>
            <w:rStyle w:val="Hyperlink"/>
            <w:i/>
            <w:iCs/>
            <w:sz w:val="16"/>
            <w:szCs w:val="16"/>
            <w:lang w:val="en-PH"/>
          </w:rPr>
          <w:t>https://fred.stlouisfed.org/series/CUUR0000SETA01</w:t>
        </w:r>
      </w:hyperlink>
      <w:r w:rsidRPr="00D822BB">
        <w:rPr>
          <w:i/>
          <w:iCs/>
          <w:sz w:val="16"/>
          <w:szCs w:val="16"/>
          <w:lang w:val="en-PH"/>
        </w:rPr>
        <w:t xml:space="preserve">, </w:t>
      </w:r>
      <w:r w:rsidR="004A13E8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870BFD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D822BB">
        <w:rPr>
          <w:i/>
          <w:iCs/>
          <w:sz w:val="16"/>
          <w:szCs w:val="16"/>
          <w:lang w:val="en-PH"/>
        </w:rPr>
        <w:t>.</w:t>
      </w:r>
    </w:p>
  </w:footnote>
  <w:footnote w:id="36">
    <w:p w14:paraId="1D43F300" w14:textId="7506E4C8" w:rsidR="00B36811" w:rsidRDefault="00B368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1626">
        <w:rPr>
          <w:sz w:val="16"/>
          <w:szCs w:val="16"/>
        </w:rPr>
        <w:t>U.S. Bureau of Labor Statistics</w:t>
      </w:r>
      <w:r>
        <w:rPr>
          <w:sz w:val="16"/>
          <w:szCs w:val="16"/>
        </w:rPr>
        <w:t xml:space="preserve">, </w:t>
      </w:r>
      <w:r w:rsidRPr="00611626">
        <w:rPr>
          <w:sz w:val="16"/>
          <w:szCs w:val="16"/>
        </w:rPr>
        <w:t>Consumer Price Index for All Urban Consumers: Used Cars and Trucks in U.S. City Average</w:t>
      </w:r>
      <w:r>
        <w:rPr>
          <w:sz w:val="16"/>
          <w:szCs w:val="16"/>
        </w:rPr>
        <w:t xml:space="preserve"> [</w:t>
      </w:r>
      <w:r w:rsidRPr="00611626">
        <w:rPr>
          <w:sz w:val="16"/>
          <w:szCs w:val="16"/>
        </w:rPr>
        <w:t>CUSR0000SETA02</w:t>
      </w:r>
      <w:r>
        <w:rPr>
          <w:sz w:val="16"/>
          <w:szCs w:val="16"/>
        </w:rPr>
        <w:t>],</w:t>
      </w:r>
      <w:r w:rsidRPr="00611626">
        <w:rPr>
          <w:sz w:val="16"/>
          <w:szCs w:val="16"/>
        </w:rPr>
        <w:t xml:space="preserve"> </w:t>
      </w:r>
      <w:r w:rsidRPr="00D822BB">
        <w:rPr>
          <w:i/>
          <w:iCs/>
          <w:sz w:val="16"/>
          <w:szCs w:val="16"/>
        </w:rPr>
        <w:t xml:space="preserve">retrieved from FRED, Federal Reserve Bank of St. Louis; </w:t>
      </w:r>
      <w:hyperlink r:id="rId35" w:history="1">
        <w:r w:rsidRPr="00D822BB">
          <w:rPr>
            <w:rStyle w:val="Hyperlink"/>
            <w:i/>
            <w:iCs/>
            <w:sz w:val="16"/>
            <w:szCs w:val="16"/>
          </w:rPr>
          <w:t>https://fred.stlouisfed.org/series/CUSR0000SETA02</w:t>
        </w:r>
      </w:hyperlink>
      <w:r>
        <w:t xml:space="preserve">, </w:t>
      </w:r>
      <w:r w:rsidR="004A13E8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870BFD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37">
    <w:p w14:paraId="10C86738" w14:textId="4A6ABF70" w:rsidR="00B36811" w:rsidRPr="004A13E8" w:rsidRDefault="00B36811">
      <w:pPr>
        <w:pStyle w:val="FootnoteText"/>
        <w:rPr>
          <w:i/>
          <w:iCs/>
          <w:sz w:val="16"/>
          <w:szCs w:val="16"/>
          <w:lang w:val="en-PH"/>
        </w:rPr>
      </w:pPr>
      <w:r w:rsidRPr="00364347">
        <w:rPr>
          <w:rStyle w:val="FootnoteReference"/>
        </w:rPr>
        <w:footnoteRef/>
      </w:r>
      <w:r w:rsidRPr="00364347">
        <w:rPr>
          <w:rStyle w:val="FootnoteReference"/>
        </w:rPr>
        <w:t xml:space="preserve"> </w:t>
      </w:r>
      <w:r w:rsidRPr="00364347">
        <w:rPr>
          <w:i/>
          <w:iCs/>
          <w:sz w:val="16"/>
          <w:szCs w:val="16"/>
          <w:lang w:val="en-PH"/>
        </w:rPr>
        <w:t xml:space="preserve">University of Michigan, University of Michigan: Consumer Sentiment [UMCSENT], retrieved from FRED, Federal Reserve Bank of St. Louis; </w:t>
      </w:r>
      <w:hyperlink r:id="rId36" w:history="1">
        <w:r w:rsidRPr="00364347">
          <w:rPr>
            <w:rStyle w:val="Hyperlink"/>
            <w:i/>
            <w:iCs/>
            <w:sz w:val="16"/>
            <w:szCs w:val="16"/>
            <w:lang w:val="en-PH"/>
          </w:rPr>
          <w:t>https://fred.stlouisfed.org/series/UMCSENT</w:t>
        </w:r>
      </w:hyperlink>
      <w:r w:rsidRPr="00364347">
        <w:rPr>
          <w:i/>
          <w:iCs/>
          <w:sz w:val="16"/>
          <w:szCs w:val="16"/>
          <w:lang w:val="en-PH"/>
        </w:rPr>
        <w:t xml:space="preserve">, </w:t>
      </w:r>
      <w:r w:rsidR="004A13E8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870BFD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364347">
        <w:rPr>
          <w:i/>
          <w:iCs/>
          <w:sz w:val="16"/>
          <w:szCs w:val="16"/>
          <w:lang w:val="en-PH"/>
        </w:rPr>
        <w:t>.</w:t>
      </w:r>
    </w:p>
  </w:footnote>
  <w:footnote w:id="38">
    <w:p w14:paraId="3F1FF8E5" w14:textId="652FC76C" w:rsidR="006168CD" w:rsidRDefault="006168CD">
      <w:pPr>
        <w:pStyle w:val="FootnoteText"/>
      </w:pPr>
      <w:r>
        <w:rPr>
          <w:rStyle w:val="FootnoteReference"/>
        </w:rPr>
        <w:footnoteRef/>
      </w:r>
      <w:r w:rsidRPr="006168CD">
        <w:rPr>
          <w:i/>
          <w:iCs/>
          <w:sz w:val="16"/>
          <w:szCs w:val="16"/>
        </w:rPr>
        <w:t xml:space="preserve"> Ice Data Indices, LLC, ICE </w:t>
      </w:r>
      <w:proofErr w:type="spellStart"/>
      <w:r w:rsidRPr="006168CD">
        <w:rPr>
          <w:i/>
          <w:iCs/>
          <w:sz w:val="16"/>
          <w:szCs w:val="16"/>
        </w:rPr>
        <w:t>BofA</w:t>
      </w:r>
      <w:proofErr w:type="spellEnd"/>
      <w:r w:rsidRPr="006168CD">
        <w:rPr>
          <w:i/>
          <w:iCs/>
          <w:sz w:val="16"/>
          <w:szCs w:val="16"/>
        </w:rPr>
        <w:t xml:space="preserve"> US Corporate Index Total Return Index Value [BAMLCC0A0CMTRIV], retrieved from FRED, Federal Reserve Bank of St. Louis; </w:t>
      </w:r>
      <w:hyperlink r:id="rId37" w:history="1">
        <w:r w:rsidRPr="001D0CFB">
          <w:rPr>
            <w:rStyle w:val="Hyperlink"/>
            <w:i/>
            <w:iCs/>
            <w:sz w:val="16"/>
            <w:szCs w:val="16"/>
          </w:rPr>
          <w:t>https://fred.stlouisfed.org/series/BAMLCC0A0CMTRIV</w:t>
        </w:r>
      </w:hyperlink>
      <w:r w:rsidRPr="006168CD">
        <w:rPr>
          <w:i/>
          <w:iCs/>
          <w:sz w:val="16"/>
          <w:szCs w:val="16"/>
        </w:rPr>
        <w:t>, Jul 31, 2024.</w:t>
      </w:r>
    </w:p>
  </w:footnote>
  <w:footnote w:id="39">
    <w:p w14:paraId="7AF7AE2B" w14:textId="259631AD" w:rsidR="006168CD" w:rsidRDefault="006168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68CD">
        <w:rPr>
          <w:i/>
          <w:iCs/>
          <w:sz w:val="16"/>
          <w:szCs w:val="16"/>
        </w:rPr>
        <w:t xml:space="preserve">Ice Data Indices, LLC, ICE </w:t>
      </w:r>
      <w:proofErr w:type="spellStart"/>
      <w:r w:rsidRPr="006168CD">
        <w:rPr>
          <w:i/>
          <w:iCs/>
          <w:sz w:val="16"/>
          <w:szCs w:val="16"/>
        </w:rPr>
        <w:t>BofA</w:t>
      </w:r>
      <w:proofErr w:type="spellEnd"/>
      <w:r w:rsidRPr="006168CD">
        <w:rPr>
          <w:i/>
          <w:iCs/>
          <w:sz w:val="16"/>
          <w:szCs w:val="16"/>
        </w:rPr>
        <w:t xml:space="preserve"> US High Yield Index Total Return Index Value [BAMLHYH0A0HYM2TRIV], retrieved from FRED, Federal Reserve Bank of St. Louis; </w:t>
      </w:r>
      <w:hyperlink r:id="rId38" w:history="1">
        <w:r w:rsidRPr="001D0CFB">
          <w:rPr>
            <w:rStyle w:val="Hyperlink"/>
            <w:i/>
            <w:iCs/>
            <w:sz w:val="16"/>
            <w:szCs w:val="16"/>
          </w:rPr>
          <w:t>https://fred.stlouisfed.org/series/BAMLHYH0A0HYM2TRIV</w:t>
        </w:r>
      </w:hyperlink>
      <w:r w:rsidRPr="006168CD">
        <w:rPr>
          <w:i/>
          <w:iCs/>
          <w:sz w:val="16"/>
          <w:szCs w:val="16"/>
        </w:rPr>
        <w:t>, Jul 31, 2024</w:t>
      </w:r>
    </w:p>
  </w:footnote>
  <w:footnote w:id="40">
    <w:p w14:paraId="3E58D959" w14:textId="198F5156" w:rsidR="00B36811" w:rsidRPr="00364347" w:rsidRDefault="00B36811">
      <w:pPr>
        <w:pStyle w:val="FootnoteText"/>
        <w:rPr>
          <w:i/>
          <w:iCs/>
          <w:sz w:val="16"/>
          <w:szCs w:val="16"/>
        </w:rPr>
      </w:pPr>
      <w:r w:rsidRPr="00364347">
        <w:rPr>
          <w:rStyle w:val="FootnoteReference"/>
        </w:rPr>
        <w:footnoteRef/>
      </w:r>
      <w:r w:rsidRPr="00364347">
        <w:rPr>
          <w:rStyle w:val="FootnoteReference"/>
        </w:rPr>
        <w:t xml:space="preserve"> </w:t>
      </w:r>
      <w:r w:rsidRPr="00364347">
        <w:rPr>
          <w:i/>
          <w:iCs/>
          <w:sz w:val="16"/>
          <w:szCs w:val="16"/>
        </w:rPr>
        <w:t xml:space="preserve">Chicago Board Options Exchange, CBOE Volatility Index: VIX [VIXCLS], retrieved from FRED, Federal Reserve Bank of St. Louis; </w:t>
      </w:r>
      <w:hyperlink r:id="rId39" w:history="1">
        <w:r w:rsidRPr="00364347">
          <w:rPr>
            <w:rStyle w:val="Hyperlink"/>
            <w:i/>
            <w:iCs/>
            <w:sz w:val="16"/>
            <w:szCs w:val="16"/>
          </w:rPr>
          <w:t>https://fred.stlouisfed.org/series/VIXCLS</w:t>
        </w:r>
      </w:hyperlink>
      <w:r w:rsidRPr="00364347">
        <w:rPr>
          <w:i/>
          <w:iCs/>
          <w:sz w:val="16"/>
          <w:szCs w:val="16"/>
        </w:rPr>
        <w:t xml:space="preserve">, </w:t>
      </w:r>
      <w:r w:rsidR="003B0886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FC0092">
        <w:rPr>
          <w:i/>
          <w:iCs/>
          <w:sz w:val="16"/>
          <w:szCs w:val="16"/>
        </w:rPr>
        <w:t>, 2024</w:t>
      </w:r>
      <w:r w:rsidRPr="00364347">
        <w:rPr>
          <w:i/>
          <w:iCs/>
          <w:sz w:val="16"/>
          <w:szCs w:val="16"/>
        </w:rPr>
        <w:t>.</w:t>
      </w:r>
    </w:p>
  </w:footnote>
  <w:footnote w:id="41">
    <w:p w14:paraId="0A7146B1" w14:textId="77777777" w:rsidR="00832F79" w:rsidRPr="005D3CEF" w:rsidRDefault="00832F79" w:rsidP="00832F79">
      <w:pPr>
        <w:pStyle w:val="FootnoteText"/>
        <w:rPr>
          <w:sz w:val="16"/>
          <w:szCs w:val="16"/>
          <w:lang w:val="en-PH"/>
        </w:rPr>
      </w:pPr>
      <w:r w:rsidRPr="005D3CEF">
        <w:rPr>
          <w:rStyle w:val="FootnoteReference"/>
          <w:sz w:val="16"/>
          <w:szCs w:val="16"/>
        </w:rPr>
        <w:footnoteRef/>
      </w:r>
      <w:r w:rsidRPr="005D3CEF">
        <w:rPr>
          <w:sz w:val="16"/>
          <w:szCs w:val="16"/>
        </w:rPr>
        <w:t xml:space="preserve"> </w:t>
      </w:r>
      <w:r w:rsidRPr="00364347">
        <w:rPr>
          <w:i/>
          <w:iCs/>
          <w:sz w:val="16"/>
          <w:szCs w:val="16"/>
        </w:rPr>
        <w:t>Federal Reserve Bank of St. Louis</w:t>
      </w:r>
      <w:r w:rsidRPr="00364347">
        <w:rPr>
          <w:i/>
          <w:iCs/>
          <w:sz w:val="16"/>
          <w:szCs w:val="16"/>
          <w:lang w:val="en-PH"/>
        </w:rPr>
        <w:t>, FOMC Summary of Economic Projections for the Personal Consumption Expenditures Inflation Rate, Central Tendency, Midpoint [PCECTPICTM],</w:t>
      </w:r>
      <w:r w:rsidRPr="0036434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40" w:history="1">
        <w:r w:rsidRPr="00364347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https://fred.stlouisfed.org/series/PCECTPICTM</w:t>
        </w:r>
      </w:hyperlink>
      <w:r w:rsidRPr="0036434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26, 2024</w:t>
      </w:r>
      <w:r w:rsidRPr="0036434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42">
    <w:p w14:paraId="7E4047B5" w14:textId="77777777" w:rsidR="00832F79" w:rsidRPr="00BF5CE2" w:rsidRDefault="00832F79" w:rsidP="00832F79">
      <w:pPr>
        <w:pStyle w:val="FootnoteText"/>
        <w:rPr>
          <w:lang w:val="en-PH"/>
        </w:rPr>
      </w:pPr>
      <w:r w:rsidRPr="002B29C7">
        <w:rPr>
          <w:rStyle w:val="FootnoteReference"/>
          <w:sz w:val="16"/>
          <w:szCs w:val="16"/>
        </w:rPr>
        <w:footnoteRef/>
      </w:r>
      <w:r w:rsidRPr="002B29C7">
        <w:rPr>
          <w:sz w:val="16"/>
          <w:szCs w:val="16"/>
        </w:rPr>
        <w:t xml:space="preserve"> </w:t>
      </w:r>
      <w:r w:rsidRPr="00364347">
        <w:rPr>
          <w:i/>
          <w:iCs/>
          <w:sz w:val="16"/>
          <w:szCs w:val="16"/>
        </w:rPr>
        <w:t>Federal Reserve Bank of St. Louis</w:t>
      </w:r>
      <w:r w:rsidRPr="00364347">
        <w:rPr>
          <w:i/>
          <w:iCs/>
          <w:sz w:val="16"/>
          <w:szCs w:val="16"/>
          <w:lang w:val="en-PH"/>
        </w:rPr>
        <w:t>, FOMC Summary of Economic Projections for the Growth Rate of Real Gross Domestic Product [GDPC1CTM],</w:t>
      </w:r>
      <w:r w:rsidRPr="0036434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</w:t>
      </w:r>
      <w:r w:rsidRPr="002B29C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ieved from FRED, Federal Reserve Bank of St. Louis; </w:t>
      </w:r>
      <w:hyperlink r:id="rId41" w:history="1">
        <w:r w:rsidRPr="00DF1D66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https://fred.stlouisfed.org/series/GDPC1CTM</w:t>
        </w:r>
      </w:hyperlink>
      <w:r w:rsidRPr="002B29C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</w:t>
      </w:r>
      <w:r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</w:t>
      </w:r>
      <w:bookmarkStart w:id="1" w:name="OLE_LINK1"/>
      <w:bookmarkStart w:id="2" w:name="OLE_LINK2"/>
      <w:r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bookmarkEnd w:id="1"/>
      <w:bookmarkEnd w:id="2"/>
      <w:r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2B29C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43">
    <w:p w14:paraId="4A7DBD07" w14:textId="7B2234DA" w:rsidR="00B36811" w:rsidRPr="00E72196" w:rsidRDefault="00B36811" w:rsidP="0049182B">
      <w:pPr>
        <w:pStyle w:val="FootnoteText"/>
        <w:jc w:val="both"/>
        <w:rPr>
          <w:lang w:val="en-PH"/>
        </w:rPr>
      </w:pPr>
      <w:r>
        <w:rPr>
          <w:rStyle w:val="FootnoteReference"/>
        </w:rPr>
        <w:footnoteRef/>
      </w:r>
      <w:r>
        <w:t xml:space="preserve"> </w:t>
      </w:r>
      <w:r w:rsidRPr="00364347">
        <w:rPr>
          <w:i/>
          <w:iCs/>
          <w:sz w:val="16"/>
          <w:szCs w:val="16"/>
        </w:rPr>
        <w:t>Federal Reserve Bank of St. Louis</w:t>
      </w:r>
      <w:r w:rsidRPr="00364347">
        <w:rPr>
          <w:i/>
          <w:iCs/>
          <w:sz w:val="16"/>
          <w:szCs w:val="16"/>
          <w:lang w:val="en-PH"/>
        </w:rPr>
        <w:t>, FOMC Summary of Economic Projections for the Civilian Unemployment Rate, Central Tendency, Midpoint</w:t>
      </w:r>
      <w:r>
        <w:rPr>
          <w:i/>
          <w:iCs/>
          <w:sz w:val="16"/>
          <w:szCs w:val="16"/>
          <w:lang w:val="en-PH"/>
        </w:rPr>
        <w:t xml:space="preserve"> </w:t>
      </w:r>
      <w:r w:rsidRPr="00364347">
        <w:rPr>
          <w:i/>
          <w:iCs/>
          <w:sz w:val="16"/>
          <w:szCs w:val="16"/>
          <w:lang w:val="en-PH"/>
        </w:rPr>
        <w:t>[UNRATECTM],</w:t>
      </w:r>
      <w:r w:rsidRPr="0036434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</w:t>
      </w:r>
      <w:r w:rsidRPr="005D3CEF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eved from FRED, Federal Reserve Bank of St. Louis; </w:t>
      </w:r>
      <w:hyperlink r:id="rId42" w:history="1">
        <w:r w:rsidRPr="00DF1D66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https://fred.stlouisfed.org/series/UNRATECTM</w:t>
        </w:r>
      </w:hyperlink>
      <w:r w:rsidRPr="005D3CEF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3B0886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="007D52ED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 2024</w:t>
      </w:r>
      <w:r w:rsidRPr="005D3CEF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44">
    <w:p w14:paraId="599EAE80" w14:textId="7C8D8B36" w:rsidR="00715CFF" w:rsidRDefault="00715C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15CFF">
        <w:rPr>
          <w:i/>
          <w:iCs/>
          <w:sz w:val="16"/>
          <w:szCs w:val="16"/>
        </w:rPr>
        <w:t>U.S. Federal Open Market Committee and Federal Reserve Bank of St. Louis, FOMC Summary of Economic Projections for the Fed Funds Rate, Range, Midpoint [</w:t>
      </w:r>
      <w:r w:rsidR="003C5B24" w:rsidRPr="003C5B24">
        <w:rPr>
          <w:i/>
          <w:iCs/>
          <w:sz w:val="16"/>
          <w:szCs w:val="16"/>
        </w:rPr>
        <w:t>FEDTARCTM</w:t>
      </w:r>
      <w:r w:rsidRPr="00715CFF">
        <w:rPr>
          <w:i/>
          <w:iCs/>
          <w:sz w:val="16"/>
          <w:szCs w:val="16"/>
        </w:rPr>
        <w:t xml:space="preserve">], retrieved from FRED, Federal Reserve Bank of St. Louis; </w:t>
      </w:r>
      <w:hyperlink r:id="rId43" w:history="1">
        <w:r w:rsidR="003C5B24" w:rsidRPr="008229B7">
          <w:rPr>
            <w:rStyle w:val="Hyperlink"/>
            <w:i/>
            <w:iCs/>
            <w:sz w:val="16"/>
            <w:szCs w:val="16"/>
          </w:rPr>
          <w:t>https://fred.stlouisfed.org/series/FEDTARCTM</w:t>
        </w:r>
      </w:hyperlink>
      <w:r w:rsidRPr="00715CFF">
        <w:rPr>
          <w:i/>
          <w:iCs/>
          <w:sz w:val="16"/>
          <w:szCs w:val="16"/>
        </w:rPr>
        <w:t xml:space="preserve">, </w:t>
      </w:r>
      <w:r w:rsidR="003B0886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Jul 26</w:t>
      </w:r>
      <w:r w:rsidRPr="00715CFF">
        <w:rPr>
          <w:i/>
          <w:iCs/>
          <w:sz w:val="16"/>
          <w:szCs w:val="16"/>
        </w:rPr>
        <w:t>,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5FE7" w14:textId="77777777" w:rsidR="00B36811" w:rsidRPr="00460436" w:rsidRDefault="00B36811" w:rsidP="00460436">
    <w:pPr>
      <w:pStyle w:val="Header"/>
      <w:jc w:val="right"/>
      <w:rPr>
        <w:rStyle w:val="IntenseEmphasis"/>
      </w:rPr>
    </w:pPr>
    <w:r w:rsidRPr="00460436">
      <w:rPr>
        <w:rStyle w:val="IntenseEmphasis"/>
      </w:rPr>
      <w:t>Quarterly Economic 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F2D28"/>
    <w:multiLevelType w:val="hybridMultilevel"/>
    <w:tmpl w:val="3CC4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54B19"/>
    <w:multiLevelType w:val="hybridMultilevel"/>
    <w:tmpl w:val="82C2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907BB"/>
    <w:multiLevelType w:val="hybridMultilevel"/>
    <w:tmpl w:val="A0F67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018"/>
    <w:multiLevelType w:val="hybridMultilevel"/>
    <w:tmpl w:val="62A6E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85586">
    <w:abstractNumId w:val="1"/>
  </w:num>
  <w:num w:numId="2" w16cid:durableId="398282987">
    <w:abstractNumId w:val="2"/>
  </w:num>
  <w:num w:numId="3" w16cid:durableId="1758331900">
    <w:abstractNumId w:val="0"/>
  </w:num>
  <w:num w:numId="4" w16cid:durableId="244415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11"/>
    <w:rsid w:val="0000055B"/>
    <w:rsid w:val="000017CB"/>
    <w:rsid w:val="00001B20"/>
    <w:rsid w:val="000022F6"/>
    <w:rsid w:val="00003713"/>
    <w:rsid w:val="000048BB"/>
    <w:rsid w:val="00004C3C"/>
    <w:rsid w:val="00005111"/>
    <w:rsid w:val="0001000F"/>
    <w:rsid w:val="00014CBA"/>
    <w:rsid w:val="00015329"/>
    <w:rsid w:val="00015A79"/>
    <w:rsid w:val="00015BAD"/>
    <w:rsid w:val="00021EA4"/>
    <w:rsid w:val="00022BB4"/>
    <w:rsid w:val="00023FB9"/>
    <w:rsid w:val="000240BE"/>
    <w:rsid w:val="000248D0"/>
    <w:rsid w:val="00024E64"/>
    <w:rsid w:val="00025568"/>
    <w:rsid w:val="0002602B"/>
    <w:rsid w:val="0002760A"/>
    <w:rsid w:val="00027E1E"/>
    <w:rsid w:val="00030ECA"/>
    <w:rsid w:val="0003136B"/>
    <w:rsid w:val="00031DA4"/>
    <w:rsid w:val="00032178"/>
    <w:rsid w:val="000322F4"/>
    <w:rsid w:val="00033B75"/>
    <w:rsid w:val="000345F7"/>
    <w:rsid w:val="000346C8"/>
    <w:rsid w:val="00035810"/>
    <w:rsid w:val="00035F0C"/>
    <w:rsid w:val="00035F9F"/>
    <w:rsid w:val="000360A6"/>
    <w:rsid w:val="0003611B"/>
    <w:rsid w:val="0004025D"/>
    <w:rsid w:val="0004306B"/>
    <w:rsid w:val="0004341A"/>
    <w:rsid w:val="00043F5D"/>
    <w:rsid w:val="00046A04"/>
    <w:rsid w:val="00047034"/>
    <w:rsid w:val="00047E74"/>
    <w:rsid w:val="00050BF6"/>
    <w:rsid w:val="0005198D"/>
    <w:rsid w:val="00052F94"/>
    <w:rsid w:val="0005394D"/>
    <w:rsid w:val="00053E46"/>
    <w:rsid w:val="00056A46"/>
    <w:rsid w:val="00056DC1"/>
    <w:rsid w:val="0005726F"/>
    <w:rsid w:val="00057711"/>
    <w:rsid w:val="00060AA5"/>
    <w:rsid w:val="00061DAA"/>
    <w:rsid w:val="000644DB"/>
    <w:rsid w:val="000650B3"/>
    <w:rsid w:val="00065E14"/>
    <w:rsid w:val="0007056A"/>
    <w:rsid w:val="00071875"/>
    <w:rsid w:val="00071A81"/>
    <w:rsid w:val="00071B80"/>
    <w:rsid w:val="0007242E"/>
    <w:rsid w:val="00072C36"/>
    <w:rsid w:val="000738AD"/>
    <w:rsid w:val="00074123"/>
    <w:rsid w:val="000742F7"/>
    <w:rsid w:val="0007515A"/>
    <w:rsid w:val="000755E2"/>
    <w:rsid w:val="00075FA5"/>
    <w:rsid w:val="000763E1"/>
    <w:rsid w:val="00076744"/>
    <w:rsid w:val="00076850"/>
    <w:rsid w:val="000773EC"/>
    <w:rsid w:val="000807FF"/>
    <w:rsid w:val="000841DA"/>
    <w:rsid w:val="00084604"/>
    <w:rsid w:val="00084608"/>
    <w:rsid w:val="00084C45"/>
    <w:rsid w:val="00086DBA"/>
    <w:rsid w:val="000874E3"/>
    <w:rsid w:val="00090A7B"/>
    <w:rsid w:val="00090DA6"/>
    <w:rsid w:val="00091209"/>
    <w:rsid w:val="00091282"/>
    <w:rsid w:val="0009284F"/>
    <w:rsid w:val="00093D9A"/>
    <w:rsid w:val="00093EF4"/>
    <w:rsid w:val="0009699C"/>
    <w:rsid w:val="00097402"/>
    <w:rsid w:val="000A0001"/>
    <w:rsid w:val="000A06BD"/>
    <w:rsid w:val="000A0FCA"/>
    <w:rsid w:val="000A1224"/>
    <w:rsid w:val="000A239B"/>
    <w:rsid w:val="000A2C4B"/>
    <w:rsid w:val="000A3240"/>
    <w:rsid w:val="000A3EA3"/>
    <w:rsid w:val="000A4F8E"/>
    <w:rsid w:val="000A6B19"/>
    <w:rsid w:val="000A79DC"/>
    <w:rsid w:val="000B0583"/>
    <w:rsid w:val="000B0B86"/>
    <w:rsid w:val="000B42F9"/>
    <w:rsid w:val="000B43C0"/>
    <w:rsid w:val="000B487C"/>
    <w:rsid w:val="000B4F85"/>
    <w:rsid w:val="000B5DA2"/>
    <w:rsid w:val="000B6226"/>
    <w:rsid w:val="000B6EBB"/>
    <w:rsid w:val="000C09E2"/>
    <w:rsid w:val="000C117B"/>
    <w:rsid w:val="000C1495"/>
    <w:rsid w:val="000C19DD"/>
    <w:rsid w:val="000C2DE9"/>
    <w:rsid w:val="000C2E7D"/>
    <w:rsid w:val="000C371B"/>
    <w:rsid w:val="000C56BE"/>
    <w:rsid w:val="000C62E8"/>
    <w:rsid w:val="000C69FF"/>
    <w:rsid w:val="000C6EEB"/>
    <w:rsid w:val="000C71C7"/>
    <w:rsid w:val="000C722D"/>
    <w:rsid w:val="000D1815"/>
    <w:rsid w:val="000D2357"/>
    <w:rsid w:val="000D3995"/>
    <w:rsid w:val="000D47AB"/>
    <w:rsid w:val="000D4973"/>
    <w:rsid w:val="000D4AF1"/>
    <w:rsid w:val="000D503C"/>
    <w:rsid w:val="000D5719"/>
    <w:rsid w:val="000D646D"/>
    <w:rsid w:val="000D66EE"/>
    <w:rsid w:val="000D75AF"/>
    <w:rsid w:val="000D76D6"/>
    <w:rsid w:val="000D7BDC"/>
    <w:rsid w:val="000E0282"/>
    <w:rsid w:val="000E0FA4"/>
    <w:rsid w:val="000E1968"/>
    <w:rsid w:val="000E1BAA"/>
    <w:rsid w:val="000E3192"/>
    <w:rsid w:val="000E38BE"/>
    <w:rsid w:val="000E44F9"/>
    <w:rsid w:val="000E5482"/>
    <w:rsid w:val="000E5860"/>
    <w:rsid w:val="000E6060"/>
    <w:rsid w:val="000E6A61"/>
    <w:rsid w:val="000F02FB"/>
    <w:rsid w:val="000F147D"/>
    <w:rsid w:val="000F1648"/>
    <w:rsid w:val="000F277D"/>
    <w:rsid w:val="000F2C3D"/>
    <w:rsid w:val="000F3008"/>
    <w:rsid w:val="000F477E"/>
    <w:rsid w:val="000F4AC6"/>
    <w:rsid w:val="000F59FF"/>
    <w:rsid w:val="000F7F33"/>
    <w:rsid w:val="00100023"/>
    <w:rsid w:val="001009B9"/>
    <w:rsid w:val="00100DF8"/>
    <w:rsid w:val="00100F15"/>
    <w:rsid w:val="00101EED"/>
    <w:rsid w:val="00102080"/>
    <w:rsid w:val="0010260B"/>
    <w:rsid w:val="00102CFC"/>
    <w:rsid w:val="00103455"/>
    <w:rsid w:val="0010377C"/>
    <w:rsid w:val="00104E65"/>
    <w:rsid w:val="00105413"/>
    <w:rsid w:val="001057AF"/>
    <w:rsid w:val="001058D4"/>
    <w:rsid w:val="00105A55"/>
    <w:rsid w:val="00107AB4"/>
    <w:rsid w:val="001102E3"/>
    <w:rsid w:val="001116CA"/>
    <w:rsid w:val="00111911"/>
    <w:rsid w:val="00111974"/>
    <w:rsid w:val="00112619"/>
    <w:rsid w:val="00113292"/>
    <w:rsid w:val="00113C90"/>
    <w:rsid w:val="001149CD"/>
    <w:rsid w:val="00114EE2"/>
    <w:rsid w:val="00115717"/>
    <w:rsid w:val="00116B91"/>
    <w:rsid w:val="00117BB0"/>
    <w:rsid w:val="00121A39"/>
    <w:rsid w:val="00121D6D"/>
    <w:rsid w:val="00121E2F"/>
    <w:rsid w:val="001224FC"/>
    <w:rsid w:val="00122842"/>
    <w:rsid w:val="001235D8"/>
    <w:rsid w:val="001237C6"/>
    <w:rsid w:val="00125685"/>
    <w:rsid w:val="001277B9"/>
    <w:rsid w:val="00130055"/>
    <w:rsid w:val="00131885"/>
    <w:rsid w:val="00131A14"/>
    <w:rsid w:val="00132201"/>
    <w:rsid w:val="001328AD"/>
    <w:rsid w:val="00134A21"/>
    <w:rsid w:val="00134DA5"/>
    <w:rsid w:val="00137248"/>
    <w:rsid w:val="00140712"/>
    <w:rsid w:val="00140763"/>
    <w:rsid w:val="00140B44"/>
    <w:rsid w:val="00140FEE"/>
    <w:rsid w:val="00142197"/>
    <w:rsid w:val="00142F71"/>
    <w:rsid w:val="001451F8"/>
    <w:rsid w:val="001460CC"/>
    <w:rsid w:val="001475FF"/>
    <w:rsid w:val="0015037B"/>
    <w:rsid w:val="00150655"/>
    <w:rsid w:val="001511FF"/>
    <w:rsid w:val="00152215"/>
    <w:rsid w:val="00152A01"/>
    <w:rsid w:val="00153FBB"/>
    <w:rsid w:val="00154420"/>
    <w:rsid w:val="001545F2"/>
    <w:rsid w:val="00155E5F"/>
    <w:rsid w:val="00155E88"/>
    <w:rsid w:val="001564FF"/>
    <w:rsid w:val="00156E24"/>
    <w:rsid w:val="00156FE4"/>
    <w:rsid w:val="0015736C"/>
    <w:rsid w:val="001575D2"/>
    <w:rsid w:val="0016088B"/>
    <w:rsid w:val="00160C1F"/>
    <w:rsid w:val="00162E77"/>
    <w:rsid w:val="00163F37"/>
    <w:rsid w:val="001642E0"/>
    <w:rsid w:val="00164566"/>
    <w:rsid w:val="00166778"/>
    <w:rsid w:val="0016688A"/>
    <w:rsid w:val="00166C08"/>
    <w:rsid w:val="00166F90"/>
    <w:rsid w:val="00171C8E"/>
    <w:rsid w:val="00172307"/>
    <w:rsid w:val="001726E0"/>
    <w:rsid w:val="001737B6"/>
    <w:rsid w:val="00173FBF"/>
    <w:rsid w:val="001744C6"/>
    <w:rsid w:val="0017465F"/>
    <w:rsid w:val="00174B44"/>
    <w:rsid w:val="00174BCD"/>
    <w:rsid w:val="00174CC3"/>
    <w:rsid w:val="001750D1"/>
    <w:rsid w:val="001756EC"/>
    <w:rsid w:val="0017576B"/>
    <w:rsid w:val="00175A46"/>
    <w:rsid w:val="00176C00"/>
    <w:rsid w:val="00176C0F"/>
    <w:rsid w:val="00176F91"/>
    <w:rsid w:val="001773AA"/>
    <w:rsid w:val="0018096F"/>
    <w:rsid w:val="00180CA9"/>
    <w:rsid w:val="001819E6"/>
    <w:rsid w:val="00182738"/>
    <w:rsid w:val="001829D2"/>
    <w:rsid w:val="00183B61"/>
    <w:rsid w:val="00186318"/>
    <w:rsid w:val="00186873"/>
    <w:rsid w:val="001868CB"/>
    <w:rsid w:val="00186B0E"/>
    <w:rsid w:val="00187669"/>
    <w:rsid w:val="00193436"/>
    <w:rsid w:val="001945EC"/>
    <w:rsid w:val="0019513E"/>
    <w:rsid w:val="00195B12"/>
    <w:rsid w:val="001A21D2"/>
    <w:rsid w:val="001A3FBA"/>
    <w:rsid w:val="001A4F9E"/>
    <w:rsid w:val="001A5EDF"/>
    <w:rsid w:val="001A6B4E"/>
    <w:rsid w:val="001A6C20"/>
    <w:rsid w:val="001A6C86"/>
    <w:rsid w:val="001B0C58"/>
    <w:rsid w:val="001B1490"/>
    <w:rsid w:val="001B1D5E"/>
    <w:rsid w:val="001B4B76"/>
    <w:rsid w:val="001B4D24"/>
    <w:rsid w:val="001B5152"/>
    <w:rsid w:val="001C0418"/>
    <w:rsid w:val="001C0F2A"/>
    <w:rsid w:val="001C1070"/>
    <w:rsid w:val="001C1077"/>
    <w:rsid w:val="001C1454"/>
    <w:rsid w:val="001C14A1"/>
    <w:rsid w:val="001C2541"/>
    <w:rsid w:val="001C2553"/>
    <w:rsid w:val="001C38B9"/>
    <w:rsid w:val="001C5F4E"/>
    <w:rsid w:val="001C7617"/>
    <w:rsid w:val="001D0773"/>
    <w:rsid w:val="001D097E"/>
    <w:rsid w:val="001D7D8D"/>
    <w:rsid w:val="001E04F8"/>
    <w:rsid w:val="001E1516"/>
    <w:rsid w:val="001E15B0"/>
    <w:rsid w:val="001E203A"/>
    <w:rsid w:val="001E26E8"/>
    <w:rsid w:val="001E42A6"/>
    <w:rsid w:val="001E483E"/>
    <w:rsid w:val="001E6FCC"/>
    <w:rsid w:val="001E7445"/>
    <w:rsid w:val="001E7D9C"/>
    <w:rsid w:val="001F297B"/>
    <w:rsid w:val="001F4E3D"/>
    <w:rsid w:val="001F7970"/>
    <w:rsid w:val="0020145F"/>
    <w:rsid w:val="002024E2"/>
    <w:rsid w:val="0020274B"/>
    <w:rsid w:val="00203609"/>
    <w:rsid w:val="00204969"/>
    <w:rsid w:val="00204D9D"/>
    <w:rsid w:val="00207E89"/>
    <w:rsid w:val="002106AF"/>
    <w:rsid w:val="002108BA"/>
    <w:rsid w:val="00210DB1"/>
    <w:rsid w:val="0021341A"/>
    <w:rsid w:val="0021377C"/>
    <w:rsid w:val="0021465B"/>
    <w:rsid w:val="00217AD5"/>
    <w:rsid w:val="00217D2A"/>
    <w:rsid w:val="00220B63"/>
    <w:rsid w:val="002216F6"/>
    <w:rsid w:val="002218BC"/>
    <w:rsid w:val="002219B5"/>
    <w:rsid w:val="0022226D"/>
    <w:rsid w:val="0022416D"/>
    <w:rsid w:val="00224BBF"/>
    <w:rsid w:val="002257C5"/>
    <w:rsid w:val="0022724A"/>
    <w:rsid w:val="002301AB"/>
    <w:rsid w:val="002308A9"/>
    <w:rsid w:val="00230D29"/>
    <w:rsid w:val="00231BB2"/>
    <w:rsid w:val="00231FA3"/>
    <w:rsid w:val="00232336"/>
    <w:rsid w:val="00234C71"/>
    <w:rsid w:val="00234E76"/>
    <w:rsid w:val="00234F94"/>
    <w:rsid w:val="00235B28"/>
    <w:rsid w:val="002361FB"/>
    <w:rsid w:val="002366E1"/>
    <w:rsid w:val="00236B68"/>
    <w:rsid w:val="00237901"/>
    <w:rsid w:val="00237E71"/>
    <w:rsid w:val="002406D9"/>
    <w:rsid w:val="00240A38"/>
    <w:rsid w:val="0024113D"/>
    <w:rsid w:val="002435D7"/>
    <w:rsid w:val="00243E85"/>
    <w:rsid w:val="00244369"/>
    <w:rsid w:val="00244C4D"/>
    <w:rsid w:val="00245903"/>
    <w:rsid w:val="00245B33"/>
    <w:rsid w:val="002502D5"/>
    <w:rsid w:val="00250313"/>
    <w:rsid w:val="00251456"/>
    <w:rsid w:val="002516C6"/>
    <w:rsid w:val="00251B04"/>
    <w:rsid w:val="002521FF"/>
    <w:rsid w:val="0025222E"/>
    <w:rsid w:val="00252A9B"/>
    <w:rsid w:val="002530D7"/>
    <w:rsid w:val="00254176"/>
    <w:rsid w:val="0025469C"/>
    <w:rsid w:val="00254F79"/>
    <w:rsid w:val="00255530"/>
    <w:rsid w:val="00255C11"/>
    <w:rsid w:val="00255C32"/>
    <w:rsid w:val="0025666D"/>
    <w:rsid w:val="00257944"/>
    <w:rsid w:val="002608F3"/>
    <w:rsid w:val="00260D17"/>
    <w:rsid w:val="00261A6E"/>
    <w:rsid w:val="0026329B"/>
    <w:rsid w:val="00263EBD"/>
    <w:rsid w:val="00265131"/>
    <w:rsid w:val="0026599C"/>
    <w:rsid w:val="00270E9D"/>
    <w:rsid w:val="002731EF"/>
    <w:rsid w:val="00273406"/>
    <w:rsid w:val="00273DCA"/>
    <w:rsid w:val="002743DC"/>
    <w:rsid w:val="0027585A"/>
    <w:rsid w:val="002759A7"/>
    <w:rsid w:val="002775DB"/>
    <w:rsid w:val="002803D6"/>
    <w:rsid w:val="002817E1"/>
    <w:rsid w:val="00281B1D"/>
    <w:rsid w:val="00281E64"/>
    <w:rsid w:val="0028237E"/>
    <w:rsid w:val="0028240F"/>
    <w:rsid w:val="00282C6E"/>
    <w:rsid w:val="00283D6F"/>
    <w:rsid w:val="002857FD"/>
    <w:rsid w:val="00285D03"/>
    <w:rsid w:val="00285F67"/>
    <w:rsid w:val="00291763"/>
    <w:rsid w:val="00291E5B"/>
    <w:rsid w:val="00291FFB"/>
    <w:rsid w:val="0029246D"/>
    <w:rsid w:val="00292B24"/>
    <w:rsid w:val="002930DF"/>
    <w:rsid w:val="00294A8D"/>
    <w:rsid w:val="00294C2F"/>
    <w:rsid w:val="00296BEB"/>
    <w:rsid w:val="002972D2"/>
    <w:rsid w:val="00297653"/>
    <w:rsid w:val="002978F9"/>
    <w:rsid w:val="002A0B80"/>
    <w:rsid w:val="002A14C5"/>
    <w:rsid w:val="002A375D"/>
    <w:rsid w:val="002A3CB2"/>
    <w:rsid w:val="002A45E8"/>
    <w:rsid w:val="002A496C"/>
    <w:rsid w:val="002A72F6"/>
    <w:rsid w:val="002A764F"/>
    <w:rsid w:val="002B0DF1"/>
    <w:rsid w:val="002B16D0"/>
    <w:rsid w:val="002B29C7"/>
    <w:rsid w:val="002B2BBA"/>
    <w:rsid w:val="002B2F86"/>
    <w:rsid w:val="002B4308"/>
    <w:rsid w:val="002B5EF5"/>
    <w:rsid w:val="002B5FDA"/>
    <w:rsid w:val="002B6581"/>
    <w:rsid w:val="002C0E92"/>
    <w:rsid w:val="002C0EC8"/>
    <w:rsid w:val="002C1F64"/>
    <w:rsid w:val="002C240B"/>
    <w:rsid w:val="002C261D"/>
    <w:rsid w:val="002C2BD9"/>
    <w:rsid w:val="002C3C67"/>
    <w:rsid w:val="002C429F"/>
    <w:rsid w:val="002C5E52"/>
    <w:rsid w:val="002C601A"/>
    <w:rsid w:val="002C69A4"/>
    <w:rsid w:val="002D17D6"/>
    <w:rsid w:val="002D4C10"/>
    <w:rsid w:val="002D5CC3"/>
    <w:rsid w:val="002D660A"/>
    <w:rsid w:val="002D7154"/>
    <w:rsid w:val="002D78A5"/>
    <w:rsid w:val="002E0DC9"/>
    <w:rsid w:val="002E0F29"/>
    <w:rsid w:val="002E2644"/>
    <w:rsid w:val="002E3213"/>
    <w:rsid w:val="002E3647"/>
    <w:rsid w:val="002E3E26"/>
    <w:rsid w:val="002E4494"/>
    <w:rsid w:val="002E58CF"/>
    <w:rsid w:val="002E6FDE"/>
    <w:rsid w:val="002E782B"/>
    <w:rsid w:val="002E7ACF"/>
    <w:rsid w:val="002F0CDA"/>
    <w:rsid w:val="002F1660"/>
    <w:rsid w:val="002F1B2A"/>
    <w:rsid w:val="002F1B4B"/>
    <w:rsid w:val="002F1C7B"/>
    <w:rsid w:val="002F3682"/>
    <w:rsid w:val="002F3ADD"/>
    <w:rsid w:val="002F3CE6"/>
    <w:rsid w:val="002F4629"/>
    <w:rsid w:val="002F57B6"/>
    <w:rsid w:val="002F6282"/>
    <w:rsid w:val="002F63F8"/>
    <w:rsid w:val="002F6613"/>
    <w:rsid w:val="002F7404"/>
    <w:rsid w:val="002F7417"/>
    <w:rsid w:val="003028B3"/>
    <w:rsid w:val="00303DA5"/>
    <w:rsid w:val="00304B4E"/>
    <w:rsid w:val="003058BA"/>
    <w:rsid w:val="00306A79"/>
    <w:rsid w:val="00306B1D"/>
    <w:rsid w:val="00306EFA"/>
    <w:rsid w:val="003071CD"/>
    <w:rsid w:val="0030772B"/>
    <w:rsid w:val="00307A87"/>
    <w:rsid w:val="00307DB0"/>
    <w:rsid w:val="003105D7"/>
    <w:rsid w:val="00310C14"/>
    <w:rsid w:val="00310DDA"/>
    <w:rsid w:val="0031179D"/>
    <w:rsid w:val="00311E77"/>
    <w:rsid w:val="00313A4E"/>
    <w:rsid w:val="00314985"/>
    <w:rsid w:val="0031517B"/>
    <w:rsid w:val="003167AC"/>
    <w:rsid w:val="00316CBD"/>
    <w:rsid w:val="00316E8F"/>
    <w:rsid w:val="00317448"/>
    <w:rsid w:val="003175DC"/>
    <w:rsid w:val="003218DD"/>
    <w:rsid w:val="00321912"/>
    <w:rsid w:val="00321AA2"/>
    <w:rsid w:val="00322C58"/>
    <w:rsid w:val="00323C75"/>
    <w:rsid w:val="003240BB"/>
    <w:rsid w:val="00326225"/>
    <w:rsid w:val="00327700"/>
    <w:rsid w:val="0033052C"/>
    <w:rsid w:val="0033144B"/>
    <w:rsid w:val="003316E9"/>
    <w:rsid w:val="00331CF3"/>
    <w:rsid w:val="00332197"/>
    <w:rsid w:val="00332C5D"/>
    <w:rsid w:val="00333466"/>
    <w:rsid w:val="0033429E"/>
    <w:rsid w:val="00334DE4"/>
    <w:rsid w:val="0033537B"/>
    <w:rsid w:val="003361F5"/>
    <w:rsid w:val="00336F2C"/>
    <w:rsid w:val="003376CD"/>
    <w:rsid w:val="00337BD8"/>
    <w:rsid w:val="00340262"/>
    <w:rsid w:val="00340B8A"/>
    <w:rsid w:val="003411C1"/>
    <w:rsid w:val="00341282"/>
    <w:rsid w:val="003412DA"/>
    <w:rsid w:val="003414E7"/>
    <w:rsid w:val="00346350"/>
    <w:rsid w:val="00346E54"/>
    <w:rsid w:val="0034740B"/>
    <w:rsid w:val="003477B7"/>
    <w:rsid w:val="00347962"/>
    <w:rsid w:val="003479C3"/>
    <w:rsid w:val="00350673"/>
    <w:rsid w:val="003509E7"/>
    <w:rsid w:val="003531E6"/>
    <w:rsid w:val="00353F0A"/>
    <w:rsid w:val="00354195"/>
    <w:rsid w:val="00354414"/>
    <w:rsid w:val="00354FA1"/>
    <w:rsid w:val="00355105"/>
    <w:rsid w:val="0035542E"/>
    <w:rsid w:val="0036005A"/>
    <w:rsid w:val="00360100"/>
    <w:rsid w:val="00361E70"/>
    <w:rsid w:val="00362059"/>
    <w:rsid w:val="00362202"/>
    <w:rsid w:val="00363E78"/>
    <w:rsid w:val="00364347"/>
    <w:rsid w:val="003643F8"/>
    <w:rsid w:val="00365036"/>
    <w:rsid w:val="00365998"/>
    <w:rsid w:val="0036641E"/>
    <w:rsid w:val="003676D6"/>
    <w:rsid w:val="00370D64"/>
    <w:rsid w:val="003711BF"/>
    <w:rsid w:val="00371414"/>
    <w:rsid w:val="00372F3C"/>
    <w:rsid w:val="00373A3D"/>
    <w:rsid w:val="00374F21"/>
    <w:rsid w:val="00376778"/>
    <w:rsid w:val="003802E7"/>
    <w:rsid w:val="003812D0"/>
    <w:rsid w:val="0038144F"/>
    <w:rsid w:val="00381A81"/>
    <w:rsid w:val="00382C86"/>
    <w:rsid w:val="003836A8"/>
    <w:rsid w:val="00384A65"/>
    <w:rsid w:val="00385105"/>
    <w:rsid w:val="00386023"/>
    <w:rsid w:val="00387C82"/>
    <w:rsid w:val="003902D8"/>
    <w:rsid w:val="0039196F"/>
    <w:rsid w:val="00391D3A"/>
    <w:rsid w:val="003926DD"/>
    <w:rsid w:val="00392D01"/>
    <w:rsid w:val="00393B78"/>
    <w:rsid w:val="0039421C"/>
    <w:rsid w:val="00394236"/>
    <w:rsid w:val="00395B3E"/>
    <w:rsid w:val="00396639"/>
    <w:rsid w:val="00396933"/>
    <w:rsid w:val="00396E51"/>
    <w:rsid w:val="0039711B"/>
    <w:rsid w:val="0039736B"/>
    <w:rsid w:val="00397F57"/>
    <w:rsid w:val="003A0447"/>
    <w:rsid w:val="003A0B8A"/>
    <w:rsid w:val="003A2900"/>
    <w:rsid w:val="003A3763"/>
    <w:rsid w:val="003A390C"/>
    <w:rsid w:val="003A3D8A"/>
    <w:rsid w:val="003A4B97"/>
    <w:rsid w:val="003A4BCC"/>
    <w:rsid w:val="003A4C56"/>
    <w:rsid w:val="003A679B"/>
    <w:rsid w:val="003B0615"/>
    <w:rsid w:val="003B0886"/>
    <w:rsid w:val="003B0B22"/>
    <w:rsid w:val="003B2A9D"/>
    <w:rsid w:val="003B2BFB"/>
    <w:rsid w:val="003B3369"/>
    <w:rsid w:val="003B4D22"/>
    <w:rsid w:val="003B62E2"/>
    <w:rsid w:val="003C1A72"/>
    <w:rsid w:val="003C1F24"/>
    <w:rsid w:val="003C2173"/>
    <w:rsid w:val="003C345B"/>
    <w:rsid w:val="003C3E65"/>
    <w:rsid w:val="003C4023"/>
    <w:rsid w:val="003C4CAF"/>
    <w:rsid w:val="003C5B24"/>
    <w:rsid w:val="003D112A"/>
    <w:rsid w:val="003D1D39"/>
    <w:rsid w:val="003D3C51"/>
    <w:rsid w:val="003D4159"/>
    <w:rsid w:val="003D47A7"/>
    <w:rsid w:val="003D52B8"/>
    <w:rsid w:val="003D5D19"/>
    <w:rsid w:val="003E18DF"/>
    <w:rsid w:val="003E282E"/>
    <w:rsid w:val="003E2CCE"/>
    <w:rsid w:val="003E3039"/>
    <w:rsid w:val="003E3E2D"/>
    <w:rsid w:val="003E4ACB"/>
    <w:rsid w:val="003E5CFB"/>
    <w:rsid w:val="003E62D6"/>
    <w:rsid w:val="003E7BFF"/>
    <w:rsid w:val="003F007D"/>
    <w:rsid w:val="003F0456"/>
    <w:rsid w:val="003F0EE9"/>
    <w:rsid w:val="003F14BE"/>
    <w:rsid w:val="003F24A9"/>
    <w:rsid w:val="003F2FE7"/>
    <w:rsid w:val="003F37CF"/>
    <w:rsid w:val="003F469F"/>
    <w:rsid w:val="003F4CDB"/>
    <w:rsid w:val="003F5061"/>
    <w:rsid w:val="003F604C"/>
    <w:rsid w:val="004005A4"/>
    <w:rsid w:val="00401A65"/>
    <w:rsid w:val="0040204A"/>
    <w:rsid w:val="0040211C"/>
    <w:rsid w:val="00403355"/>
    <w:rsid w:val="00404E89"/>
    <w:rsid w:val="0040653A"/>
    <w:rsid w:val="00407A82"/>
    <w:rsid w:val="00410DE8"/>
    <w:rsid w:val="0041138E"/>
    <w:rsid w:val="00411404"/>
    <w:rsid w:val="00411A4C"/>
    <w:rsid w:val="00412532"/>
    <w:rsid w:val="00412C1A"/>
    <w:rsid w:val="004134F4"/>
    <w:rsid w:val="00413EE3"/>
    <w:rsid w:val="00413F0F"/>
    <w:rsid w:val="00416054"/>
    <w:rsid w:val="00421F60"/>
    <w:rsid w:val="00422961"/>
    <w:rsid w:val="0042476E"/>
    <w:rsid w:val="00424E74"/>
    <w:rsid w:val="004266AE"/>
    <w:rsid w:val="00426A6A"/>
    <w:rsid w:val="00427110"/>
    <w:rsid w:val="0042719D"/>
    <w:rsid w:val="00427312"/>
    <w:rsid w:val="0042797E"/>
    <w:rsid w:val="0043016A"/>
    <w:rsid w:val="00430522"/>
    <w:rsid w:val="004306FA"/>
    <w:rsid w:val="004330C8"/>
    <w:rsid w:val="004335C3"/>
    <w:rsid w:val="004406C3"/>
    <w:rsid w:val="00440FEB"/>
    <w:rsid w:val="00442163"/>
    <w:rsid w:val="00442565"/>
    <w:rsid w:val="00442A7A"/>
    <w:rsid w:val="00442BF6"/>
    <w:rsid w:val="00442D2A"/>
    <w:rsid w:val="00443A15"/>
    <w:rsid w:val="00445A11"/>
    <w:rsid w:val="00446C08"/>
    <w:rsid w:val="004476DE"/>
    <w:rsid w:val="00447A7B"/>
    <w:rsid w:val="00447E7F"/>
    <w:rsid w:val="00447F8B"/>
    <w:rsid w:val="00450276"/>
    <w:rsid w:val="004506CC"/>
    <w:rsid w:val="0045095D"/>
    <w:rsid w:val="0045097E"/>
    <w:rsid w:val="00450F1A"/>
    <w:rsid w:val="004513EB"/>
    <w:rsid w:val="00451755"/>
    <w:rsid w:val="00451F5B"/>
    <w:rsid w:val="00452720"/>
    <w:rsid w:val="004531BD"/>
    <w:rsid w:val="004534D1"/>
    <w:rsid w:val="00453708"/>
    <w:rsid w:val="00453738"/>
    <w:rsid w:val="00454F4B"/>
    <w:rsid w:val="00455043"/>
    <w:rsid w:val="0045550A"/>
    <w:rsid w:val="00455D78"/>
    <w:rsid w:val="0045641F"/>
    <w:rsid w:val="004564C6"/>
    <w:rsid w:val="00456741"/>
    <w:rsid w:val="004567EF"/>
    <w:rsid w:val="00457E1D"/>
    <w:rsid w:val="00460436"/>
    <w:rsid w:val="00460DE2"/>
    <w:rsid w:val="00460E43"/>
    <w:rsid w:val="00463560"/>
    <w:rsid w:val="00466612"/>
    <w:rsid w:val="00466861"/>
    <w:rsid w:val="00467365"/>
    <w:rsid w:val="00467AB1"/>
    <w:rsid w:val="004709B0"/>
    <w:rsid w:val="00473D2E"/>
    <w:rsid w:val="00474AE7"/>
    <w:rsid w:val="004759DB"/>
    <w:rsid w:val="004778D8"/>
    <w:rsid w:val="0048128D"/>
    <w:rsid w:val="0048403A"/>
    <w:rsid w:val="004846E4"/>
    <w:rsid w:val="00484D87"/>
    <w:rsid w:val="00485093"/>
    <w:rsid w:val="004903C9"/>
    <w:rsid w:val="004907DA"/>
    <w:rsid w:val="00490AFD"/>
    <w:rsid w:val="0049134B"/>
    <w:rsid w:val="0049180E"/>
    <w:rsid w:val="0049182B"/>
    <w:rsid w:val="00491B4B"/>
    <w:rsid w:val="00491F40"/>
    <w:rsid w:val="00493CF1"/>
    <w:rsid w:val="004940F1"/>
    <w:rsid w:val="00494933"/>
    <w:rsid w:val="00495F77"/>
    <w:rsid w:val="004965CE"/>
    <w:rsid w:val="00496E13"/>
    <w:rsid w:val="004A0649"/>
    <w:rsid w:val="004A0947"/>
    <w:rsid w:val="004A0ABB"/>
    <w:rsid w:val="004A13E8"/>
    <w:rsid w:val="004A4BD1"/>
    <w:rsid w:val="004A66D6"/>
    <w:rsid w:val="004A707E"/>
    <w:rsid w:val="004B047B"/>
    <w:rsid w:val="004B2BFB"/>
    <w:rsid w:val="004B2DF4"/>
    <w:rsid w:val="004B3923"/>
    <w:rsid w:val="004B3B5E"/>
    <w:rsid w:val="004B3D9F"/>
    <w:rsid w:val="004B5284"/>
    <w:rsid w:val="004B5394"/>
    <w:rsid w:val="004B6D7A"/>
    <w:rsid w:val="004B76BB"/>
    <w:rsid w:val="004B782C"/>
    <w:rsid w:val="004B7D92"/>
    <w:rsid w:val="004C1749"/>
    <w:rsid w:val="004C17A1"/>
    <w:rsid w:val="004C20AB"/>
    <w:rsid w:val="004C3365"/>
    <w:rsid w:val="004C587A"/>
    <w:rsid w:val="004C6B76"/>
    <w:rsid w:val="004C7928"/>
    <w:rsid w:val="004D0515"/>
    <w:rsid w:val="004D099A"/>
    <w:rsid w:val="004D1BCA"/>
    <w:rsid w:val="004D1C9D"/>
    <w:rsid w:val="004D1DA4"/>
    <w:rsid w:val="004D3A04"/>
    <w:rsid w:val="004D55FD"/>
    <w:rsid w:val="004E1574"/>
    <w:rsid w:val="004E2AB3"/>
    <w:rsid w:val="004E2B1A"/>
    <w:rsid w:val="004E2C09"/>
    <w:rsid w:val="004E3393"/>
    <w:rsid w:val="004E3F0B"/>
    <w:rsid w:val="004E4723"/>
    <w:rsid w:val="004E4A45"/>
    <w:rsid w:val="004E4B6F"/>
    <w:rsid w:val="004E5A1B"/>
    <w:rsid w:val="004E5EC0"/>
    <w:rsid w:val="004E7265"/>
    <w:rsid w:val="004F1136"/>
    <w:rsid w:val="004F1527"/>
    <w:rsid w:val="004F2735"/>
    <w:rsid w:val="004F307A"/>
    <w:rsid w:val="004F330B"/>
    <w:rsid w:val="004F3ADA"/>
    <w:rsid w:val="004F3E9A"/>
    <w:rsid w:val="004F4F4F"/>
    <w:rsid w:val="004F55C9"/>
    <w:rsid w:val="004F65CE"/>
    <w:rsid w:val="004F67A9"/>
    <w:rsid w:val="004F73C7"/>
    <w:rsid w:val="00502627"/>
    <w:rsid w:val="00502B32"/>
    <w:rsid w:val="00502F8D"/>
    <w:rsid w:val="00504F45"/>
    <w:rsid w:val="00507645"/>
    <w:rsid w:val="00507B5A"/>
    <w:rsid w:val="00510A29"/>
    <w:rsid w:val="005117CA"/>
    <w:rsid w:val="005125AE"/>
    <w:rsid w:val="005127D3"/>
    <w:rsid w:val="00515DB3"/>
    <w:rsid w:val="00515E9D"/>
    <w:rsid w:val="00516EDD"/>
    <w:rsid w:val="005200CA"/>
    <w:rsid w:val="0052077C"/>
    <w:rsid w:val="00521F1D"/>
    <w:rsid w:val="005232D6"/>
    <w:rsid w:val="005233AB"/>
    <w:rsid w:val="0052479C"/>
    <w:rsid w:val="00525C1B"/>
    <w:rsid w:val="005261C1"/>
    <w:rsid w:val="00530B69"/>
    <w:rsid w:val="00530EFD"/>
    <w:rsid w:val="00532A06"/>
    <w:rsid w:val="005356B5"/>
    <w:rsid w:val="00536317"/>
    <w:rsid w:val="00536754"/>
    <w:rsid w:val="00536AD4"/>
    <w:rsid w:val="00536B00"/>
    <w:rsid w:val="00536ED9"/>
    <w:rsid w:val="005378C5"/>
    <w:rsid w:val="00537FF8"/>
    <w:rsid w:val="00540D2B"/>
    <w:rsid w:val="00541D29"/>
    <w:rsid w:val="005425D7"/>
    <w:rsid w:val="00542F5A"/>
    <w:rsid w:val="00544623"/>
    <w:rsid w:val="0054689C"/>
    <w:rsid w:val="005469DE"/>
    <w:rsid w:val="005475F2"/>
    <w:rsid w:val="0055033B"/>
    <w:rsid w:val="005505E0"/>
    <w:rsid w:val="005505E5"/>
    <w:rsid w:val="005508D0"/>
    <w:rsid w:val="00550C7C"/>
    <w:rsid w:val="00551864"/>
    <w:rsid w:val="00551B4D"/>
    <w:rsid w:val="00551CFE"/>
    <w:rsid w:val="00551FA8"/>
    <w:rsid w:val="00554121"/>
    <w:rsid w:val="005554F5"/>
    <w:rsid w:val="0055555A"/>
    <w:rsid w:val="005563D4"/>
    <w:rsid w:val="00556560"/>
    <w:rsid w:val="0055673A"/>
    <w:rsid w:val="00556EAD"/>
    <w:rsid w:val="00557239"/>
    <w:rsid w:val="005573A8"/>
    <w:rsid w:val="00562033"/>
    <w:rsid w:val="00562791"/>
    <w:rsid w:val="00562B39"/>
    <w:rsid w:val="0056320C"/>
    <w:rsid w:val="00564781"/>
    <w:rsid w:val="005650CD"/>
    <w:rsid w:val="005662B5"/>
    <w:rsid w:val="00567138"/>
    <w:rsid w:val="00570005"/>
    <w:rsid w:val="00570346"/>
    <w:rsid w:val="00571BD4"/>
    <w:rsid w:val="00572F03"/>
    <w:rsid w:val="005734C4"/>
    <w:rsid w:val="0057468C"/>
    <w:rsid w:val="00575923"/>
    <w:rsid w:val="00576484"/>
    <w:rsid w:val="00576E9B"/>
    <w:rsid w:val="0057783F"/>
    <w:rsid w:val="005779B7"/>
    <w:rsid w:val="00577C8E"/>
    <w:rsid w:val="005807C6"/>
    <w:rsid w:val="00580F92"/>
    <w:rsid w:val="005828F0"/>
    <w:rsid w:val="0058330E"/>
    <w:rsid w:val="00583BEE"/>
    <w:rsid w:val="00584B8E"/>
    <w:rsid w:val="00587C5A"/>
    <w:rsid w:val="00587D0C"/>
    <w:rsid w:val="00590141"/>
    <w:rsid w:val="00590322"/>
    <w:rsid w:val="005917C1"/>
    <w:rsid w:val="00591A62"/>
    <w:rsid w:val="005933D9"/>
    <w:rsid w:val="00594B4A"/>
    <w:rsid w:val="005954B1"/>
    <w:rsid w:val="00595D8A"/>
    <w:rsid w:val="005979DD"/>
    <w:rsid w:val="005A0EC4"/>
    <w:rsid w:val="005A30E0"/>
    <w:rsid w:val="005A5095"/>
    <w:rsid w:val="005A5F06"/>
    <w:rsid w:val="005A693F"/>
    <w:rsid w:val="005A6F5B"/>
    <w:rsid w:val="005B08A9"/>
    <w:rsid w:val="005B1168"/>
    <w:rsid w:val="005B1ACA"/>
    <w:rsid w:val="005B2ED9"/>
    <w:rsid w:val="005B34DB"/>
    <w:rsid w:val="005B40E5"/>
    <w:rsid w:val="005B4719"/>
    <w:rsid w:val="005B67F4"/>
    <w:rsid w:val="005B7A7E"/>
    <w:rsid w:val="005C021F"/>
    <w:rsid w:val="005C0423"/>
    <w:rsid w:val="005C0A6E"/>
    <w:rsid w:val="005C0D2D"/>
    <w:rsid w:val="005C2215"/>
    <w:rsid w:val="005C22CA"/>
    <w:rsid w:val="005C2F47"/>
    <w:rsid w:val="005C31E9"/>
    <w:rsid w:val="005C493F"/>
    <w:rsid w:val="005C532B"/>
    <w:rsid w:val="005C6411"/>
    <w:rsid w:val="005C6CD5"/>
    <w:rsid w:val="005C6F0D"/>
    <w:rsid w:val="005C70FC"/>
    <w:rsid w:val="005C771E"/>
    <w:rsid w:val="005D022C"/>
    <w:rsid w:val="005D06C9"/>
    <w:rsid w:val="005D1E0A"/>
    <w:rsid w:val="005D1E7F"/>
    <w:rsid w:val="005D3CEF"/>
    <w:rsid w:val="005D3F1A"/>
    <w:rsid w:val="005D3FB8"/>
    <w:rsid w:val="005D43B8"/>
    <w:rsid w:val="005D5553"/>
    <w:rsid w:val="005D6316"/>
    <w:rsid w:val="005D6C8F"/>
    <w:rsid w:val="005D6F41"/>
    <w:rsid w:val="005E19C2"/>
    <w:rsid w:val="005E1BD2"/>
    <w:rsid w:val="005E306A"/>
    <w:rsid w:val="005E3622"/>
    <w:rsid w:val="005E475B"/>
    <w:rsid w:val="005E56AE"/>
    <w:rsid w:val="005E67EF"/>
    <w:rsid w:val="005E747C"/>
    <w:rsid w:val="005E797B"/>
    <w:rsid w:val="005E7A94"/>
    <w:rsid w:val="005F07E9"/>
    <w:rsid w:val="005F1D7F"/>
    <w:rsid w:val="005F344C"/>
    <w:rsid w:val="005F38D2"/>
    <w:rsid w:val="005F5744"/>
    <w:rsid w:val="005F5E70"/>
    <w:rsid w:val="006002CC"/>
    <w:rsid w:val="00600AF9"/>
    <w:rsid w:val="00600E5F"/>
    <w:rsid w:val="00600E90"/>
    <w:rsid w:val="00602441"/>
    <w:rsid w:val="00603BFF"/>
    <w:rsid w:val="006055F4"/>
    <w:rsid w:val="00605F4E"/>
    <w:rsid w:val="006068F7"/>
    <w:rsid w:val="00610140"/>
    <w:rsid w:val="0061080D"/>
    <w:rsid w:val="00610894"/>
    <w:rsid w:val="00611626"/>
    <w:rsid w:val="00611F45"/>
    <w:rsid w:val="0061200D"/>
    <w:rsid w:val="006126A7"/>
    <w:rsid w:val="00612E76"/>
    <w:rsid w:val="006130EE"/>
    <w:rsid w:val="00613599"/>
    <w:rsid w:val="006148A4"/>
    <w:rsid w:val="00615B70"/>
    <w:rsid w:val="006167DB"/>
    <w:rsid w:val="006168CD"/>
    <w:rsid w:val="00617DFF"/>
    <w:rsid w:val="00617E5C"/>
    <w:rsid w:val="00620094"/>
    <w:rsid w:val="00620252"/>
    <w:rsid w:val="00621173"/>
    <w:rsid w:val="0062162D"/>
    <w:rsid w:val="00622313"/>
    <w:rsid w:val="00622D23"/>
    <w:rsid w:val="0062363E"/>
    <w:rsid w:val="00623672"/>
    <w:rsid w:val="0062444A"/>
    <w:rsid w:val="00624840"/>
    <w:rsid w:val="00624AEF"/>
    <w:rsid w:val="0062659E"/>
    <w:rsid w:val="00626DAC"/>
    <w:rsid w:val="0062704B"/>
    <w:rsid w:val="00627C19"/>
    <w:rsid w:val="00627DE7"/>
    <w:rsid w:val="006314B9"/>
    <w:rsid w:val="00631555"/>
    <w:rsid w:val="00632532"/>
    <w:rsid w:val="00632A78"/>
    <w:rsid w:val="00632E2D"/>
    <w:rsid w:val="00632F4E"/>
    <w:rsid w:val="006331A2"/>
    <w:rsid w:val="006342D9"/>
    <w:rsid w:val="00634658"/>
    <w:rsid w:val="00634787"/>
    <w:rsid w:val="00635C43"/>
    <w:rsid w:val="00635EAA"/>
    <w:rsid w:val="006364F6"/>
    <w:rsid w:val="00640C9C"/>
    <w:rsid w:val="00640DD5"/>
    <w:rsid w:val="00641A51"/>
    <w:rsid w:val="00643797"/>
    <w:rsid w:val="006439EA"/>
    <w:rsid w:val="00643C6C"/>
    <w:rsid w:val="00643FBF"/>
    <w:rsid w:val="006449AC"/>
    <w:rsid w:val="006451FA"/>
    <w:rsid w:val="0064538F"/>
    <w:rsid w:val="00645899"/>
    <w:rsid w:val="00650430"/>
    <w:rsid w:val="00650582"/>
    <w:rsid w:val="00651AC2"/>
    <w:rsid w:val="006528B7"/>
    <w:rsid w:val="00654A68"/>
    <w:rsid w:val="00654B02"/>
    <w:rsid w:val="006553D1"/>
    <w:rsid w:val="006575D2"/>
    <w:rsid w:val="00657642"/>
    <w:rsid w:val="00660739"/>
    <w:rsid w:val="00660A13"/>
    <w:rsid w:val="00660C7A"/>
    <w:rsid w:val="00660C8A"/>
    <w:rsid w:val="006619DC"/>
    <w:rsid w:val="00661AA7"/>
    <w:rsid w:val="00662828"/>
    <w:rsid w:val="00662F16"/>
    <w:rsid w:val="006630E1"/>
    <w:rsid w:val="006635EE"/>
    <w:rsid w:val="006646E8"/>
    <w:rsid w:val="006663D0"/>
    <w:rsid w:val="00670FB1"/>
    <w:rsid w:val="0067215A"/>
    <w:rsid w:val="00673A89"/>
    <w:rsid w:val="00674475"/>
    <w:rsid w:val="0067456E"/>
    <w:rsid w:val="006748EE"/>
    <w:rsid w:val="00675122"/>
    <w:rsid w:val="00675F26"/>
    <w:rsid w:val="006816F7"/>
    <w:rsid w:val="00682ADE"/>
    <w:rsid w:val="00682B7E"/>
    <w:rsid w:val="00685277"/>
    <w:rsid w:val="006859BA"/>
    <w:rsid w:val="006908FA"/>
    <w:rsid w:val="00690C93"/>
    <w:rsid w:val="0069122E"/>
    <w:rsid w:val="0069186C"/>
    <w:rsid w:val="00691D14"/>
    <w:rsid w:val="00691F6E"/>
    <w:rsid w:val="00691FBD"/>
    <w:rsid w:val="00694585"/>
    <w:rsid w:val="006945AA"/>
    <w:rsid w:val="00694624"/>
    <w:rsid w:val="00695441"/>
    <w:rsid w:val="00695980"/>
    <w:rsid w:val="00696388"/>
    <w:rsid w:val="006970E9"/>
    <w:rsid w:val="00697A66"/>
    <w:rsid w:val="006A01A0"/>
    <w:rsid w:val="006A05B4"/>
    <w:rsid w:val="006A0819"/>
    <w:rsid w:val="006A114D"/>
    <w:rsid w:val="006A219A"/>
    <w:rsid w:val="006A3F6C"/>
    <w:rsid w:val="006A5321"/>
    <w:rsid w:val="006A62EE"/>
    <w:rsid w:val="006A656A"/>
    <w:rsid w:val="006A687C"/>
    <w:rsid w:val="006A6BFF"/>
    <w:rsid w:val="006B166E"/>
    <w:rsid w:val="006B19C3"/>
    <w:rsid w:val="006B1EB1"/>
    <w:rsid w:val="006B25BB"/>
    <w:rsid w:val="006B361C"/>
    <w:rsid w:val="006B394A"/>
    <w:rsid w:val="006B3D25"/>
    <w:rsid w:val="006B44DA"/>
    <w:rsid w:val="006B48FA"/>
    <w:rsid w:val="006B792C"/>
    <w:rsid w:val="006C08FA"/>
    <w:rsid w:val="006C1321"/>
    <w:rsid w:val="006C1965"/>
    <w:rsid w:val="006C28D8"/>
    <w:rsid w:val="006C2AC0"/>
    <w:rsid w:val="006C2DAB"/>
    <w:rsid w:val="006C534C"/>
    <w:rsid w:val="006C5DCC"/>
    <w:rsid w:val="006C6752"/>
    <w:rsid w:val="006C7116"/>
    <w:rsid w:val="006C7B04"/>
    <w:rsid w:val="006C7BEF"/>
    <w:rsid w:val="006D2660"/>
    <w:rsid w:val="006D2D37"/>
    <w:rsid w:val="006D2D96"/>
    <w:rsid w:val="006D3687"/>
    <w:rsid w:val="006D3877"/>
    <w:rsid w:val="006D3964"/>
    <w:rsid w:val="006D451B"/>
    <w:rsid w:val="006D4E8F"/>
    <w:rsid w:val="006D518C"/>
    <w:rsid w:val="006D579F"/>
    <w:rsid w:val="006D705D"/>
    <w:rsid w:val="006E0830"/>
    <w:rsid w:val="006E4B4F"/>
    <w:rsid w:val="006E5760"/>
    <w:rsid w:val="006E608A"/>
    <w:rsid w:val="006E621A"/>
    <w:rsid w:val="006E69A7"/>
    <w:rsid w:val="006E6EAA"/>
    <w:rsid w:val="006F060A"/>
    <w:rsid w:val="006F0678"/>
    <w:rsid w:val="006F154C"/>
    <w:rsid w:val="006F1876"/>
    <w:rsid w:val="006F1B14"/>
    <w:rsid w:val="006F370F"/>
    <w:rsid w:val="006F3E36"/>
    <w:rsid w:val="006F49C7"/>
    <w:rsid w:val="006F4DB7"/>
    <w:rsid w:val="006F58B0"/>
    <w:rsid w:val="006F6733"/>
    <w:rsid w:val="006F67DF"/>
    <w:rsid w:val="006F7760"/>
    <w:rsid w:val="006F7E2D"/>
    <w:rsid w:val="006F7FB2"/>
    <w:rsid w:val="00700166"/>
    <w:rsid w:val="0070151C"/>
    <w:rsid w:val="00701D95"/>
    <w:rsid w:val="007030F0"/>
    <w:rsid w:val="00703D80"/>
    <w:rsid w:val="00703FBD"/>
    <w:rsid w:val="007062B8"/>
    <w:rsid w:val="0070780D"/>
    <w:rsid w:val="00707B5E"/>
    <w:rsid w:val="007102D3"/>
    <w:rsid w:val="00710A31"/>
    <w:rsid w:val="00710F19"/>
    <w:rsid w:val="007110AF"/>
    <w:rsid w:val="00714B74"/>
    <w:rsid w:val="00715CFF"/>
    <w:rsid w:val="00720495"/>
    <w:rsid w:val="00720E64"/>
    <w:rsid w:val="00720F25"/>
    <w:rsid w:val="00722380"/>
    <w:rsid w:val="00723B51"/>
    <w:rsid w:val="00724C08"/>
    <w:rsid w:val="0072697B"/>
    <w:rsid w:val="00730BC7"/>
    <w:rsid w:val="00730C3D"/>
    <w:rsid w:val="007329E1"/>
    <w:rsid w:val="0073598E"/>
    <w:rsid w:val="00735CBB"/>
    <w:rsid w:val="007361CC"/>
    <w:rsid w:val="00737D58"/>
    <w:rsid w:val="00740863"/>
    <w:rsid w:val="007410C6"/>
    <w:rsid w:val="0074137C"/>
    <w:rsid w:val="00741DA8"/>
    <w:rsid w:val="00742ADB"/>
    <w:rsid w:val="00742E84"/>
    <w:rsid w:val="00743651"/>
    <w:rsid w:val="00743683"/>
    <w:rsid w:val="00743A12"/>
    <w:rsid w:val="00746558"/>
    <w:rsid w:val="007477D7"/>
    <w:rsid w:val="00753854"/>
    <w:rsid w:val="0075479C"/>
    <w:rsid w:val="00754C29"/>
    <w:rsid w:val="007550F3"/>
    <w:rsid w:val="00755B70"/>
    <w:rsid w:val="00756248"/>
    <w:rsid w:val="007564AA"/>
    <w:rsid w:val="00756A49"/>
    <w:rsid w:val="00757148"/>
    <w:rsid w:val="007602B9"/>
    <w:rsid w:val="007618D6"/>
    <w:rsid w:val="00761D36"/>
    <w:rsid w:val="0076272C"/>
    <w:rsid w:val="00762921"/>
    <w:rsid w:val="007635CE"/>
    <w:rsid w:val="00764284"/>
    <w:rsid w:val="00764632"/>
    <w:rsid w:val="00764EB1"/>
    <w:rsid w:val="007655EC"/>
    <w:rsid w:val="0076678E"/>
    <w:rsid w:val="0076714B"/>
    <w:rsid w:val="0076717F"/>
    <w:rsid w:val="007679B8"/>
    <w:rsid w:val="0077027E"/>
    <w:rsid w:val="00770759"/>
    <w:rsid w:val="00771CA2"/>
    <w:rsid w:val="00772342"/>
    <w:rsid w:val="00772987"/>
    <w:rsid w:val="00773616"/>
    <w:rsid w:val="007736DF"/>
    <w:rsid w:val="00773AC4"/>
    <w:rsid w:val="00773B5B"/>
    <w:rsid w:val="00773E0E"/>
    <w:rsid w:val="007740D3"/>
    <w:rsid w:val="0077416E"/>
    <w:rsid w:val="00774E67"/>
    <w:rsid w:val="00775C7B"/>
    <w:rsid w:val="007765F6"/>
    <w:rsid w:val="007768C7"/>
    <w:rsid w:val="00776A56"/>
    <w:rsid w:val="00777D25"/>
    <w:rsid w:val="007807DE"/>
    <w:rsid w:val="00781FE2"/>
    <w:rsid w:val="00782F5F"/>
    <w:rsid w:val="00783BA9"/>
    <w:rsid w:val="0078488C"/>
    <w:rsid w:val="007870C8"/>
    <w:rsid w:val="007875DE"/>
    <w:rsid w:val="0079068A"/>
    <w:rsid w:val="0079151F"/>
    <w:rsid w:val="00791B32"/>
    <w:rsid w:val="00791F5C"/>
    <w:rsid w:val="007929C4"/>
    <w:rsid w:val="007929DB"/>
    <w:rsid w:val="00792E5D"/>
    <w:rsid w:val="007939CA"/>
    <w:rsid w:val="00795053"/>
    <w:rsid w:val="00795569"/>
    <w:rsid w:val="00795ECE"/>
    <w:rsid w:val="0079609A"/>
    <w:rsid w:val="007962F0"/>
    <w:rsid w:val="00796EC8"/>
    <w:rsid w:val="007A0574"/>
    <w:rsid w:val="007A05AD"/>
    <w:rsid w:val="007A0A8A"/>
    <w:rsid w:val="007A0E93"/>
    <w:rsid w:val="007A1052"/>
    <w:rsid w:val="007A3FE0"/>
    <w:rsid w:val="007A46C7"/>
    <w:rsid w:val="007A4896"/>
    <w:rsid w:val="007A4A4B"/>
    <w:rsid w:val="007A5255"/>
    <w:rsid w:val="007A6F60"/>
    <w:rsid w:val="007A770A"/>
    <w:rsid w:val="007A7FCF"/>
    <w:rsid w:val="007B08DC"/>
    <w:rsid w:val="007B0B25"/>
    <w:rsid w:val="007B0C0E"/>
    <w:rsid w:val="007B0FB5"/>
    <w:rsid w:val="007B132C"/>
    <w:rsid w:val="007B143F"/>
    <w:rsid w:val="007B178B"/>
    <w:rsid w:val="007B3A9E"/>
    <w:rsid w:val="007B4191"/>
    <w:rsid w:val="007B5780"/>
    <w:rsid w:val="007B5CA1"/>
    <w:rsid w:val="007B69AE"/>
    <w:rsid w:val="007B70CF"/>
    <w:rsid w:val="007B7D73"/>
    <w:rsid w:val="007C1E79"/>
    <w:rsid w:val="007C25F4"/>
    <w:rsid w:val="007C29E7"/>
    <w:rsid w:val="007C4944"/>
    <w:rsid w:val="007C54CB"/>
    <w:rsid w:val="007C5517"/>
    <w:rsid w:val="007C659E"/>
    <w:rsid w:val="007D3E70"/>
    <w:rsid w:val="007D42CD"/>
    <w:rsid w:val="007D4FF9"/>
    <w:rsid w:val="007D52ED"/>
    <w:rsid w:val="007E1BB9"/>
    <w:rsid w:val="007E21C0"/>
    <w:rsid w:val="007E321E"/>
    <w:rsid w:val="007E3AB8"/>
    <w:rsid w:val="007E3ED3"/>
    <w:rsid w:val="007E45F6"/>
    <w:rsid w:val="007E4E9D"/>
    <w:rsid w:val="007E4EA0"/>
    <w:rsid w:val="007E5B14"/>
    <w:rsid w:val="007E7320"/>
    <w:rsid w:val="007E76B7"/>
    <w:rsid w:val="007F0376"/>
    <w:rsid w:val="007F04AE"/>
    <w:rsid w:val="007F0F15"/>
    <w:rsid w:val="007F1968"/>
    <w:rsid w:val="007F34A5"/>
    <w:rsid w:val="007F3F41"/>
    <w:rsid w:val="007F49B3"/>
    <w:rsid w:val="007F58C3"/>
    <w:rsid w:val="007F590E"/>
    <w:rsid w:val="007F5A38"/>
    <w:rsid w:val="007F5D12"/>
    <w:rsid w:val="007F67C3"/>
    <w:rsid w:val="0080028D"/>
    <w:rsid w:val="0080052B"/>
    <w:rsid w:val="00802507"/>
    <w:rsid w:val="008048AD"/>
    <w:rsid w:val="00805C12"/>
    <w:rsid w:val="0080666E"/>
    <w:rsid w:val="00811606"/>
    <w:rsid w:val="00811FA7"/>
    <w:rsid w:val="008129B2"/>
    <w:rsid w:val="00813396"/>
    <w:rsid w:val="008143E8"/>
    <w:rsid w:val="00814BB2"/>
    <w:rsid w:val="00814E45"/>
    <w:rsid w:val="008155BA"/>
    <w:rsid w:val="008162B7"/>
    <w:rsid w:val="00816313"/>
    <w:rsid w:val="00816355"/>
    <w:rsid w:val="00816C0F"/>
    <w:rsid w:val="0081792D"/>
    <w:rsid w:val="00817CD9"/>
    <w:rsid w:val="00821578"/>
    <w:rsid w:val="00822038"/>
    <w:rsid w:val="00822897"/>
    <w:rsid w:val="00822A02"/>
    <w:rsid w:val="00823A4E"/>
    <w:rsid w:val="00823E2B"/>
    <w:rsid w:val="00826AE7"/>
    <w:rsid w:val="00826D27"/>
    <w:rsid w:val="00826F0B"/>
    <w:rsid w:val="00827600"/>
    <w:rsid w:val="00830D32"/>
    <w:rsid w:val="00831041"/>
    <w:rsid w:val="0083191F"/>
    <w:rsid w:val="00831E7B"/>
    <w:rsid w:val="00832F79"/>
    <w:rsid w:val="008339F4"/>
    <w:rsid w:val="00833A07"/>
    <w:rsid w:val="00835434"/>
    <w:rsid w:val="00835D2E"/>
    <w:rsid w:val="00835D9E"/>
    <w:rsid w:val="00836176"/>
    <w:rsid w:val="00836E7F"/>
    <w:rsid w:val="00837DF2"/>
    <w:rsid w:val="00842094"/>
    <w:rsid w:val="00842A68"/>
    <w:rsid w:val="00844523"/>
    <w:rsid w:val="0084463F"/>
    <w:rsid w:val="00844A75"/>
    <w:rsid w:val="0084528D"/>
    <w:rsid w:val="00845B35"/>
    <w:rsid w:val="00850A64"/>
    <w:rsid w:val="00852478"/>
    <w:rsid w:val="00855A46"/>
    <w:rsid w:val="00855C4E"/>
    <w:rsid w:val="008564EA"/>
    <w:rsid w:val="00857079"/>
    <w:rsid w:val="00860631"/>
    <w:rsid w:val="00860777"/>
    <w:rsid w:val="00860D54"/>
    <w:rsid w:val="00860EAF"/>
    <w:rsid w:val="008636F9"/>
    <w:rsid w:val="0086476C"/>
    <w:rsid w:val="00865CE8"/>
    <w:rsid w:val="008664EB"/>
    <w:rsid w:val="00867D68"/>
    <w:rsid w:val="00870469"/>
    <w:rsid w:val="00870BFD"/>
    <w:rsid w:val="008723E8"/>
    <w:rsid w:val="00873466"/>
    <w:rsid w:val="008744EA"/>
    <w:rsid w:val="00874DE9"/>
    <w:rsid w:val="00875F25"/>
    <w:rsid w:val="0087715C"/>
    <w:rsid w:val="00877689"/>
    <w:rsid w:val="008778A9"/>
    <w:rsid w:val="00877D3C"/>
    <w:rsid w:val="00877F82"/>
    <w:rsid w:val="00880496"/>
    <w:rsid w:val="00882483"/>
    <w:rsid w:val="00882E60"/>
    <w:rsid w:val="00882F96"/>
    <w:rsid w:val="008844A2"/>
    <w:rsid w:val="008845A9"/>
    <w:rsid w:val="008860FC"/>
    <w:rsid w:val="008862EF"/>
    <w:rsid w:val="00886D3A"/>
    <w:rsid w:val="008874C1"/>
    <w:rsid w:val="00890513"/>
    <w:rsid w:val="0089070C"/>
    <w:rsid w:val="00890B68"/>
    <w:rsid w:val="008925BC"/>
    <w:rsid w:val="0089260E"/>
    <w:rsid w:val="00892D49"/>
    <w:rsid w:val="008932A3"/>
    <w:rsid w:val="00893395"/>
    <w:rsid w:val="00893CB8"/>
    <w:rsid w:val="00894434"/>
    <w:rsid w:val="00894CA7"/>
    <w:rsid w:val="00894FB2"/>
    <w:rsid w:val="00895002"/>
    <w:rsid w:val="00895BD8"/>
    <w:rsid w:val="00895DF1"/>
    <w:rsid w:val="0089655B"/>
    <w:rsid w:val="00896C0D"/>
    <w:rsid w:val="00896D03"/>
    <w:rsid w:val="00896EB1"/>
    <w:rsid w:val="008972D1"/>
    <w:rsid w:val="008974F6"/>
    <w:rsid w:val="00897BC8"/>
    <w:rsid w:val="00897E48"/>
    <w:rsid w:val="008A0838"/>
    <w:rsid w:val="008A13E7"/>
    <w:rsid w:val="008A252E"/>
    <w:rsid w:val="008A3D99"/>
    <w:rsid w:val="008A3F35"/>
    <w:rsid w:val="008A5738"/>
    <w:rsid w:val="008A581A"/>
    <w:rsid w:val="008A5F7F"/>
    <w:rsid w:val="008A63E2"/>
    <w:rsid w:val="008A6630"/>
    <w:rsid w:val="008A6DB9"/>
    <w:rsid w:val="008A7107"/>
    <w:rsid w:val="008A7D83"/>
    <w:rsid w:val="008A7EAB"/>
    <w:rsid w:val="008B0036"/>
    <w:rsid w:val="008B0154"/>
    <w:rsid w:val="008B088E"/>
    <w:rsid w:val="008B1963"/>
    <w:rsid w:val="008B20D0"/>
    <w:rsid w:val="008B24F2"/>
    <w:rsid w:val="008B2769"/>
    <w:rsid w:val="008B3356"/>
    <w:rsid w:val="008B3726"/>
    <w:rsid w:val="008B37F0"/>
    <w:rsid w:val="008B3E4E"/>
    <w:rsid w:val="008B41BC"/>
    <w:rsid w:val="008B4702"/>
    <w:rsid w:val="008B65B4"/>
    <w:rsid w:val="008B68A8"/>
    <w:rsid w:val="008C0F54"/>
    <w:rsid w:val="008C10DA"/>
    <w:rsid w:val="008C1C56"/>
    <w:rsid w:val="008C2435"/>
    <w:rsid w:val="008C2A57"/>
    <w:rsid w:val="008C5503"/>
    <w:rsid w:val="008C5726"/>
    <w:rsid w:val="008C6E43"/>
    <w:rsid w:val="008C798A"/>
    <w:rsid w:val="008D0993"/>
    <w:rsid w:val="008D0D2D"/>
    <w:rsid w:val="008D1615"/>
    <w:rsid w:val="008D1C86"/>
    <w:rsid w:val="008D3255"/>
    <w:rsid w:val="008D47F6"/>
    <w:rsid w:val="008D4ED4"/>
    <w:rsid w:val="008D5F3E"/>
    <w:rsid w:val="008D6371"/>
    <w:rsid w:val="008D69DA"/>
    <w:rsid w:val="008E1296"/>
    <w:rsid w:val="008E270A"/>
    <w:rsid w:val="008E2DC7"/>
    <w:rsid w:val="008E4B08"/>
    <w:rsid w:val="008E672E"/>
    <w:rsid w:val="008E72E3"/>
    <w:rsid w:val="008F1FD4"/>
    <w:rsid w:val="008F3BF2"/>
    <w:rsid w:val="008F4B7D"/>
    <w:rsid w:val="008F4B82"/>
    <w:rsid w:val="008F6F3B"/>
    <w:rsid w:val="008F7231"/>
    <w:rsid w:val="008F76E4"/>
    <w:rsid w:val="00902563"/>
    <w:rsid w:val="00905C9B"/>
    <w:rsid w:val="00910D28"/>
    <w:rsid w:val="00912398"/>
    <w:rsid w:val="009124CB"/>
    <w:rsid w:val="009130AF"/>
    <w:rsid w:val="00913825"/>
    <w:rsid w:val="009140B9"/>
    <w:rsid w:val="009141C1"/>
    <w:rsid w:val="009148CA"/>
    <w:rsid w:val="00914EA8"/>
    <w:rsid w:val="009155CF"/>
    <w:rsid w:val="009157B6"/>
    <w:rsid w:val="0091664E"/>
    <w:rsid w:val="009169A4"/>
    <w:rsid w:val="009170B7"/>
    <w:rsid w:val="00920236"/>
    <w:rsid w:val="009206A6"/>
    <w:rsid w:val="00920AB5"/>
    <w:rsid w:val="009219D9"/>
    <w:rsid w:val="00922197"/>
    <w:rsid w:val="0092287E"/>
    <w:rsid w:val="00922A9D"/>
    <w:rsid w:val="0092347C"/>
    <w:rsid w:val="00923BA7"/>
    <w:rsid w:val="00924581"/>
    <w:rsid w:val="0092472D"/>
    <w:rsid w:val="00925F58"/>
    <w:rsid w:val="009262AA"/>
    <w:rsid w:val="00926438"/>
    <w:rsid w:val="009323CA"/>
    <w:rsid w:val="0093291C"/>
    <w:rsid w:val="00932DD8"/>
    <w:rsid w:val="00933213"/>
    <w:rsid w:val="00933E80"/>
    <w:rsid w:val="009343D3"/>
    <w:rsid w:val="00937D2C"/>
    <w:rsid w:val="00937FF2"/>
    <w:rsid w:val="00940DF6"/>
    <w:rsid w:val="009411C1"/>
    <w:rsid w:val="009418E4"/>
    <w:rsid w:val="00942366"/>
    <w:rsid w:val="00943329"/>
    <w:rsid w:val="00943802"/>
    <w:rsid w:val="00943C68"/>
    <w:rsid w:val="00943ED3"/>
    <w:rsid w:val="009443D6"/>
    <w:rsid w:val="009445E7"/>
    <w:rsid w:val="0094654A"/>
    <w:rsid w:val="0094736B"/>
    <w:rsid w:val="0095004D"/>
    <w:rsid w:val="00950B89"/>
    <w:rsid w:val="009515AA"/>
    <w:rsid w:val="00951DAA"/>
    <w:rsid w:val="009524D9"/>
    <w:rsid w:val="009526E8"/>
    <w:rsid w:val="00952AF7"/>
    <w:rsid w:val="00952E0A"/>
    <w:rsid w:val="00953DDB"/>
    <w:rsid w:val="00953DF2"/>
    <w:rsid w:val="00955094"/>
    <w:rsid w:val="009550AF"/>
    <w:rsid w:val="009577F1"/>
    <w:rsid w:val="00960B49"/>
    <w:rsid w:val="009648C3"/>
    <w:rsid w:val="00964DD4"/>
    <w:rsid w:val="009669F1"/>
    <w:rsid w:val="00966BA6"/>
    <w:rsid w:val="0096732C"/>
    <w:rsid w:val="009675A9"/>
    <w:rsid w:val="00967B10"/>
    <w:rsid w:val="009714E6"/>
    <w:rsid w:val="00971553"/>
    <w:rsid w:val="009717A1"/>
    <w:rsid w:val="00973948"/>
    <w:rsid w:val="00973D0F"/>
    <w:rsid w:val="00976765"/>
    <w:rsid w:val="00976B7D"/>
    <w:rsid w:val="009774D1"/>
    <w:rsid w:val="00977737"/>
    <w:rsid w:val="00981947"/>
    <w:rsid w:val="00981BE4"/>
    <w:rsid w:val="00981C70"/>
    <w:rsid w:val="00981FF8"/>
    <w:rsid w:val="00982654"/>
    <w:rsid w:val="00982B60"/>
    <w:rsid w:val="009839D2"/>
    <w:rsid w:val="009839F3"/>
    <w:rsid w:val="00983A76"/>
    <w:rsid w:val="00984B61"/>
    <w:rsid w:val="00985656"/>
    <w:rsid w:val="009878F0"/>
    <w:rsid w:val="0098795E"/>
    <w:rsid w:val="00987AB7"/>
    <w:rsid w:val="00987FB6"/>
    <w:rsid w:val="0099010B"/>
    <w:rsid w:val="00990761"/>
    <w:rsid w:val="0099207D"/>
    <w:rsid w:val="00992467"/>
    <w:rsid w:val="00992D1F"/>
    <w:rsid w:val="009972A2"/>
    <w:rsid w:val="0099783F"/>
    <w:rsid w:val="009A0B29"/>
    <w:rsid w:val="009A106A"/>
    <w:rsid w:val="009A13D9"/>
    <w:rsid w:val="009A15D9"/>
    <w:rsid w:val="009A160F"/>
    <w:rsid w:val="009A1711"/>
    <w:rsid w:val="009A181B"/>
    <w:rsid w:val="009A1C23"/>
    <w:rsid w:val="009A205A"/>
    <w:rsid w:val="009A36DD"/>
    <w:rsid w:val="009A3D20"/>
    <w:rsid w:val="009A3EEC"/>
    <w:rsid w:val="009A4508"/>
    <w:rsid w:val="009A6788"/>
    <w:rsid w:val="009A6A40"/>
    <w:rsid w:val="009B1B6B"/>
    <w:rsid w:val="009B2A0E"/>
    <w:rsid w:val="009B462A"/>
    <w:rsid w:val="009B52AF"/>
    <w:rsid w:val="009B5606"/>
    <w:rsid w:val="009B603A"/>
    <w:rsid w:val="009B7956"/>
    <w:rsid w:val="009C057C"/>
    <w:rsid w:val="009C0789"/>
    <w:rsid w:val="009C0945"/>
    <w:rsid w:val="009C0F33"/>
    <w:rsid w:val="009C125D"/>
    <w:rsid w:val="009C143E"/>
    <w:rsid w:val="009C1E6B"/>
    <w:rsid w:val="009C2041"/>
    <w:rsid w:val="009C4651"/>
    <w:rsid w:val="009C53E4"/>
    <w:rsid w:val="009C578A"/>
    <w:rsid w:val="009C5CDE"/>
    <w:rsid w:val="009C6162"/>
    <w:rsid w:val="009C7466"/>
    <w:rsid w:val="009C74AB"/>
    <w:rsid w:val="009D05E3"/>
    <w:rsid w:val="009D26B5"/>
    <w:rsid w:val="009D3151"/>
    <w:rsid w:val="009D42AA"/>
    <w:rsid w:val="009D5A7B"/>
    <w:rsid w:val="009D6A5D"/>
    <w:rsid w:val="009D7CB0"/>
    <w:rsid w:val="009E013E"/>
    <w:rsid w:val="009E14E6"/>
    <w:rsid w:val="009E2682"/>
    <w:rsid w:val="009E35BC"/>
    <w:rsid w:val="009E44F2"/>
    <w:rsid w:val="009E4A2E"/>
    <w:rsid w:val="009E4D8D"/>
    <w:rsid w:val="009E56AD"/>
    <w:rsid w:val="009E6453"/>
    <w:rsid w:val="009E6751"/>
    <w:rsid w:val="009E7A0A"/>
    <w:rsid w:val="009F19E8"/>
    <w:rsid w:val="009F1C9C"/>
    <w:rsid w:val="009F272A"/>
    <w:rsid w:val="009F2830"/>
    <w:rsid w:val="009F2A15"/>
    <w:rsid w:val="009F3181"/>
    <w:rsid w:val="009F42E7"/>
    <w:rsid w:val="009F4853"/>
    <w:rsid w:val="009F596F"/>
    <w:rsid w:val="009F6EB6"/>
    <w:rsid w:val="009F790B"/>
    <w:rsid w:val="009F7EB5"/>
    <w:rsid w:val="00A01E81"/>
    <w:rsid w:val="00A04AD3"/>
    <w:rsid w:val="00A070BE"/>
    <w:rsid w:val="00A073CB"/>
    <w:rsid w:val="00A07D5A"/>
    <w:rsid w:val="00A1037F"/>
    <w:rsid w:val="00A11CAC"/>
    <w:rsid w:val="00A130A4"/>
    <w:rsid w:val="00A13F7D"/>
    <w:rsid w:val="00A1419D"/>
    <w:rsid w:val="00A141EE"/>
    <w:rsid w:val="00A14458"/>
    <w:rsid w:val="00A14C86"/>
    <w:rsid w:val="00A14CD4"/>
    <w:rsid w:val="00A16D0D"/>
    <w:rsid w:val="00A1734E"/>
    <w:rsid w:val="00A17C3A"/>
    <w:rsid w:val="00A202A9"/>
    <w:rsid w:val="00A223EC"/>
    <w:rsid w:val="00A25362"/>
    <w:rsid w:val="00A262DF"/>
    <w:rsid w:val="00A2684A"/>
    <w:rsid w:val="00A26A65"/>
    <w:rsid w:val="00A27A9D"/>
    <w:rsid w:val="00A27EB6"/>
    <w:rsid w:val="00A30440"/>
    <w:rsid w:val="00A31D37"/>
    <w:rsid w:val="00A325AB"/>
    <w:rsid w:val="00A33C38"/>
    <w:rsid w:val="00A37DC4"/>
    <w:rsid w:val="00A40BC8"/>
    <w:rsid w:val="00A41316"/>
    <w:rsid w:val="00A41749"/>
    <w:rsid w:val="00A42997"/>
    <w:rsid w:val="00A43008"/>
    <w:rsid w:val="00A45AD4"/>
    <w:rsid w:val="00A45F59"/>
    <w:rsid w:val="00A46B5E"/>
    <w:rsid w:val="00A5218C"/>
    <w:rsid w:val="00A52469"/>
    <w:rsid w:val="00A52E02"/>
    <w:rsid w:val="00A537B6"/>
    <w:rsid w:val="00A54ACF"/>
    <w:rsid w:val="00A57EA4"/>
    <w:rsid w:val="00A60213"/>
    <w:rsid w:val="00A6114B"/>
    <w:rsid w:val="00A615E8"/>
    <w:rsid w:val="00A61C0E"/>
    <w:rsid w:val="00A62757"/>
    <w:rsid w:val="00A645D8"/>
    <w:rsid w:val="00A64D96"/>
    <w:rsid w:val="00A66F9B"/>
    <w:rsid w:val="00A670FB"/>
    <w:rsid w:val="00A702F9"/>
    <w:rsid w:val="00A708EB"/>
    <w:rsid w:val="00A70971"/>
    <w:rsid w:val="00A72343"/>
    <w:rsid w:val="00A730DC"/>
    <w:rsid w:val="00A73A66"/>
    <w:rsid w:val="00A74430"/>
    <w:rsid w:val="00A75687"/>
    <w:rsid w:val="00A762AA"/>
    <w:rsid w:val="00A768DC"/>
    <w:rsid w:val="00A76F02"/>
    <w:rsid w:val="00A77399"/>
    <w:rsid w:val="00A77444"/>
    <w:rsid w:val="00A77981"/>
    <w:rsid w:val="00A77DCF"/>
    <w:rsid w:val="00A80B95"/>
    <w:rsid w:val="00A82B9E"/>
    <w:rsid w:val="00A82D0D"/>
    <w:rsid w:val="00A83597"/>
    <w:rsid w:val="00A838BD"/>
    <w:rsid w:val="00A83C79"/>
    <w:rsid w:val="00A841DE"/>
    <w:rsid w:val="00A85171"/>
    <w:rsid w:val="00A8559D"/>
    <w:rsid w:val="00A86393"/>
    <w:rsid w:val="00A931A3"/>
    <w:rsid w:val="00A93481"/>
    <w:rsid w:val="00A9408A"/>
    <w:rsid w:val="00A94811"/>
    <w:rsid w:val="00A94F52"/>
    <w:rsid w:val="00A96584"/>
    <w:rsid w:val="00A96795"/>
    <w:rsid w:val="00A96A6A"/>
    <w:rsid w:val="00A96E27"/>
    <w:rsid w:val="00A97343"/>
    <w:rsid w:val="00AA1DAF"/>
    <w:rsid w:val="00AA236F"/>
    <w:rsid w:val="00AA2E90"/>
    <w:rsid w:val="00AA30D4"/>
    <w:rsid w:val="00AA37BC"/>
    <w:rsid w:val="00AA3A84"/>
    <w:rsid w:val="00AA4A29"/>
    <w:rsid w:val="00AA651C"/>
    <w:rsid w:val="00AA74C1"/>
    <w:rsid w:val="00AA7A1B"/>
    <w:rsid w:val="00AA7E11"/>
    <w:rsid w:val="00AB236A"/>
    <w:rsid w:val="00AB3D69"/>
    <w:rsid w:val="00AB498D"/>
    <w:rsid w:val="00AB4C96"/>
    <w:rsid w:val="00AB5122"/>
    <w:rsid w:val="00AB56C9"/>
    <w:rsid w:val="00AB6E43"/>
    <w:rsid w:val="00AB6F46"/>
    <w:rsid w:val="00AB7603"/>
    <w:rsid w:val="00AC0986"/>
    <w:rsid w:val="00AC2253"/>
    <w:rsid w:val="00AC45F1"/>
    <w:rsid w:val="00AC6BB2"/>
    <w:rsid w:val="00AD0524"/>
    <w:rsid w:val="00AD19F0"/>
    <w:rsid w:val="00AD2210"/>
    <w:rsid w:val="00AD5BB8"/>
    <w:rsid w:val="00AE14FC"/>
    <w:rsid w:val="00AE186B"/>
    <w:rsid w:val="00AE1BDC"/>
    <w:rsid w:val="00AE306C"/>
    <w:rsid w:val="00AE3402"/>
    <w:rsid w:val="00AE3668"/>
    <w:rsid w:val="00AE3D01"/>
    <w:rsid w:val="00AE4184"/>
    <w:rsid w:val="00AE492E"/>
    <w:rsid w:val="00AE4E03"/>
    <w:rsid w:val="00AE53C0"/>
    <w:rsid w:val="00AE64EF"/>
    <w:rsid w:val="00AE7001"/>
    <w:rsid w:val="00AE7215"/>
    <w:rsid w:val="00AF1F92"/>
    <w:rsid w:val="00AF24FD"/>
    <w:rsid w:val="00AF2763"/>
    <w:rsid w:val="00AF2BA7"/>
    <w:rsid w:val="00AF306C"/>
    <w:rsid w:val="00AF4095"/>
    <w:rsid w:val="00AF420E"/>
    <w:rsid w:val="00AF4229"/>
    <w:rsid w:val="00AF6040"/>
    <w:rsid w:val="00AF60A5"/>
    <w:rsid w:val="00AF653C"/>
    <w:rsid w:val="00AF7938"/>
    <w:rsid w:val="00B0030B"/>
    <w:rsid w:val="00B00681"/>
    <w:rsid w:val="00B008FE"/>
    <w:rsid w:val="00B00A5E"/>
    <w:rsid w:val="00B00E83"/>
    <w:rsid w:val="00B0120F"/>
    <w:rsid w:val="00B0395F"/>
    <w:rsid w:val="00B0457A"/>
    <w:rsid w:val="00B04A43"/>
    <w:rsid w:val="00B064A0"/>
    <w:rsid w:val="00B06916"/>
    <w:rsid w:val="00B071DB"/>
    <w:rsid w:val="00B12942"/>
    <w:rsid w:val="00B135D7"/>
    <w:rsid w:val="00B1388C"/>
    <w:rsid w:val="00B1397B"/>
    <w:rsid w:val="00B13CE7"/>
    <w:rsid w:val="00B13FE9"/>
    <w:rsid w:val="00B14691"/>
    <w:rsid w:val="00B162CD"/>
    <w:rsid w:val="00B171B0"/>
    <w:rsid w:val="00B17CFF"/>
    <w:rsid w:val="00B21FE9"/>
    <w:rsid w:val="00B23279"/>
    <w:rsid w:val="00B23443"/>
    <w:rsid w:val="00B2531F"/>
    <w:rsid w:val="00B2585A"/>
    <w:rsid w:val="00B25898"/>
    <w:rsid w:val="00B25B77"/>
    <w:rsid w:val="00B2629D"/>
    <w:rsid w:val="00B3045C"/>
    <w:rsid w:val="00B31011"/>
    <w:rsid w:val="00B316F7"/>
    <w:rsid w:val="00B335AB"/>
    <w:rsid w:val="00B34926"/>
    <w:rsid w:val="00B36811"/>
    <w:rsid w:val="00B370B2"/>
    <w:rsid w:val="00B371D4"/>
    <w:rsid w:val="00B377D4"/>
    <w:rsid w:val="00B401C1"/>
    <w:rsid w:val="00B403A1"/>
    <w:rsid w:val="00B40456"/>
    <w:rsid w:val="00B40AF8"/>
    <w:rsid w:val="00B426A5"/>
    <w:rsid w:val="00B426C6"/>
    <w:rsid w:val="00B432FD"/>
    <w:rsid w:val="00B44219"/>
    <w:rsid w:val="00B445C8"/>
    <w:rsid w:val="00B45117"/>
    <w:rsid w:val="00B45F40"/>
    <w:rsid w:val="00B46091"/>
    <w:rsid w:val="00B524BD"/>
    <w:rsid w:val="00B53037"/>
    <w:rsid w:val="00B5315D"/>
    <w:rsid w:val="00B542EC"/>
    <w:rsid w:val="00B55C34"/>
    <w:rsid w:val="00B55FC5"/>
    <w:rsid w:val="00B5639B"/>
    <w:rsid w:val="00B57F38"/>
    <w:rsid w:val="00B60178"/>
    <w:rsid w:val="00B60EC4"/>
    <w:rsid w:val="00B61DE8"/>
    <w:rsid w:val="00B62697"/>
    <w:rsid w:val="00B634D4"/>
    <w:rsid w:val="00B64313"/>
    <w:rsid w:val="00B64829"/>
    <w:rsid w:val="00B650A2"/>
    <w:rsid w:val="00B6548E"/>
    <w:rsid w:val="00B65667"/>
    <w:rsid w:val="00B6639B"/>
    <w:rsid w:val="00B66C70"/>
    <w:rsid w:val="00B66CB7"/>
    <w:rsid w:val="00B66CC0"/>
    <w:rsid w:val="00B7053E"/>
    <w:rsid w:val="00B71FC4"/>
    <w:rsid w:val="00B73CC4"/>
    <w:rsid w:val="00B745AA"/>
    <w:rsid w:val="00B748E1"/>
    <w:rsid w:val="00B7512F"/>
    <w:rsid w:val="00B767AE"/>
    <w:rsid w:val="00B76A73"/>
    <w:rsid w:val="00B76BDF"/>
    <w:rsid w:val="00B76D6D"/>
    <w:rsid w:val="00B77A7E"/>
    <w:rsid w:val="00B80D2B"/>
    <w:rsid w:val="00B82663"/>
    <w:rsid w:val="00B82B8B"/>
    <w:rsid w:val="00B82E0D"/>
    <w:rsid w:val="00B84330"/>
    <w:rsid w:val="00B84DED"/>
    <w:rsid w:val="00B85E37"/>
    <w:rsid w:val="00B860AC"/>
    <w:rsid w:val="00B875CA"/>
    <w:rsid w:val="00B87F2A"/>
    <w:rsid w:val="00B90547"/>
    <w:rsid w:val="00B91356"/>
    <w:rsid w:val="00B91BFC"/>
    <w:rsid w:val="00B922C3"/>
    <w:rsid w:val="00B92952"/>
    <w:rsid w:val="00B92E54"/>
    <w:rsid w:val="00B931F9"/>
    <w:rsid w:val="00B9425C"/>
    <w:rsid w:val="00B94E68"/>
    <w:rsid w:val="00B959DD"/>
    <w:rsid w:val="00B973A1"/>
    <w:rsid w:val="00B97C78"/>
    <w:rsid w:val="00BA05F4"/>
    <w:rsid w:val="00BA133A"/>
    <w:rsid w:val="00BA13A5"/>
    <w:rsid w:val="00BA1931"/>
    <w:rsid w:val="00BA1CC0"/>
    <w:rsid w:val="00BA47E9"/>
    <w:rsid w:val="00BA5F96"/>
    <w:rsid w:val="00BA7A2C"/>
    <w:rsid w:val="00BB06C1"/>
    <w:rsid w:val="00BB096A"/>
    <w:rsid w:val="00BB142E"/>
    <w:rsid w:val="00BB226D"/>
    <w:rsid w:val="00BB24FD"/>
    <w:rsid w:val="00BB286D"/>
    <w:rsid w:val="00BB31A5"/>
    <w:rsid w:val="00BB34CA"/>
    <w:rsid w:val="00BB3B00"/>
    <w:rsid w:val="00BB3B04"/>
    <w:rsid w:val="00BB4123"/>
    <w:rsid w:val="00BB53CB"/>
    <w:rsid w:val="00BB5A8E"/>
    <w:rsid w:val="00BB5FF4"/>
    <w:rsid w:val="00BB6A8D"/>
    <w:rsid w:val="00BC00A7"/>
    <w:rsid w:val="00BC04D5"/>
    <w:rsid w:val="00BC13CC"/>
    <w:rsid w:val="00BC2F02"/>
    <w:rsid w:val="00BC32F2"/>
    <w:rsid w:val="00BC3ABE"/>
    <w:rsid w:val="00BC4BE2"/>
    <w:rsid w:val="00BC5394"/>
    <w:rsid w:val="00BC5C1E"/>
    <w:rsid w:val="00BC6211"/>
    <w:rsid w:val="00BC7261"/>
    <w:rsid w:val="00BC7E45"/>
    <w:rsid w:val="00BD0BA8"/>
    <w:rsid w:val="00BD1AF4"/>
    <w:rsid w:val="00BD32FB"/>
    <w:rsid w:val="00BD3693"/>
    <w:rsid w:val="00BD3FA1"/>
    <w:rsid w:val="00BD4FA3"/>
    <w:rsid w:val="00BD7409"/>
    <w:rsid w:val="00BD7CA7"/>
    <w:rsid w:val="00BD7F40"/>
    <w:rsid w:val="00BE0B31"/>
    <w:rsid w:val="00BE1260"/>
    <w:rsid w:val="00BE3AB7"/>
    <w:rsid w:val="00BE41AA"/>
    <w:rsid w:val="00BE4D4B"/>
    <w:rsid w:val="00BE4FA9"/>
    <w:rsid w:val="00BE548A"/>
    <w:rsid w:val="00BE5D50"/>
    <w:rsid w:val="00BE7F85"/>
    <w:rsid w:val="00BF0A1F"/>
    <w:rsid w:val="00BF0B27"/>
    <w:rsid w:val="00BF33EF"/>
    <w:rsid w:val="00BF363C"/>
    <w:rsid w:val="00BF5CE2"/>
    <w:rsid w:val="00BF6BF5"/>
    <w:rsid w:val="00BF6CA6"/>
    <w:rsid w:val="00BF6E2F"/>
    <w:rsid w:val="00BF72BA"/>
    <w:rsid w:val="00BF77B7"/>
    <w:rsid w:val="00C01B26"/>
    <w:rsid w:val="00C01B39"/>
    <w:rsid w:val="00C01ECD"/>
    <w:rsid w:val="00C02783"/>
    <w:rsid w:val="00C042DD"/>
    <w:rsid w:val="00C04D0B"/>
    <w:rsid w:val="00C05052"/>
    <w:rsid w:val="00C051CD"/>
    <w:rsid w:val="00C05B0C"/>
    <w:rsid w:val="00C060D2"/>
    <w:rsid w:val="00C07579"/>
    <w:rsid w:val="00C10F0A"/>
    <w:rsid w:val="00C12EFE"/>
    <w:rsid w:val="00C14310"/>
    <w:rsid w:val="00C1528C"/>
    <w:rsid w:val="00C16A86"/>
    <w:rsid w:val="00C17572"/>
    <w:rsid w:val="00C17C3A"/>
    <w:rsid w:val="00C21192"/>
    <w:rsid w:val="00C21AE0"/>
    <w:rsid w:val="00C228CA"/>
    <w:rsid w:val="00C22EE7"/>
    <w:rsid w:val="00C22FCD"/>
    <w:rsid w:val="00C24FE2"/>
    <w:rsid w:val="00C253A1"/>
    <w:rsid w:val="00C27776"/>
    <w:rsid w:val="00C27961"/>
    <w:rsid w:val="00C27E06"/>
    <w:rsid w:val="00C27E68"/>
    <w:rsid w:val="00C328EF"/>
    <w:rsid w:val="00C35489"/>
    <w:rsid w:val="00C35B2B"/>
    <w:rsid w:val="00C367E1"/>
    <w:rsid w:val="00C36857"/>
    <w:rsid w:val="00C36C62"/>
    <w:rsid w:val="00C40E95"/>
    <w:rsid w:val="00C41006"/>
    <w:rsid w:val="00C42568"/>
    <w:rsid w:val="00C427E3"/>
    <w:rsid w:val="00C42A2D"/>
    <w:rsid w:val="00C43EF8"/>
    <w:rsid w:val="00C44C76"/>
    <w:rsid w:val="00C45B53"/>
    <w:rsid w:val="00C4790A"/>
    <w:rsid w:val="00C479D5"/>
    <w:rsid w:val="00C47DFF"/>
    <w:rsid w:val="00C50377"/>
    <w:rsid w:val="00C50538"/>
    <w:rsid w:val="00C50E71"/>
    <w:rsid w:val="00C54129"/>
    <w:rsid w:val="00C5430F"/>
    <w:rsid w:val="00C56AE3"/>
    <w:rsid w:val="00C610B0"/>
    <w:rsid w:val="00C6227C"/>
    <w:rsid w:val="00C62610"/>
    <w:rsid w:val="00C64C77"/>
    <w:rsid w:val="00C65DCF"/>
    <w:rsid w:val="00C66CC9"/>
    <w:rsid w:val="00C675E2"/>
    <w:rsid w:val="00C70B5F"/>
    <w:rsid w:val="00C70D00"/>
    <w:rsid w:val="00C70EAC"/>
    <w:rsid w:val="00C70F5B"/>
    <w:rsid w:val="00C71C02"/>
    <w:rsid w:val="00C737DC"/>
    <w:rsid w:val="00C742C8"/>
    <w:rsid w:val="00C7535D"/>
    <w:rsid w:val="00C75FE1"/>
    <w:rsid w:val="00C77196"/>
    <w:rsid w:val="00C82545"/>
    <w:rsid w:val="00C825EE"/>
    <w:rsid w:val="00C828B0"/>
    <w:rsid w:val="00C832EE"/>
    <w:rsid w:val="00C83561"/>
    <w:rsid w:val="00C8448F"/>
    <w:rsid w:val="00C84709"/>
    <w:rsid w:val="00C86473"/>
    <w:rsid w:val="00C867ED"/>
    <w:rsid w:val="00C879D3"/>
    <w:rsid w:val="00C90043"/>
    <w:rsid w:val="00C906E1"/>
    <w:rsid w:val="00C90C6F"/>
    <w:rsid w:val="00C91D90"/>
    <w:rsid w:val="00C91F35"/>
    <w:rsid w:val="00C92B4A"/>
    <w:rsid w:val="00C9379B"/>
    <w:rsid w:val="00C937ED"/>
    <w:rsid w:val="00C93FDB"/>
    <w:rsid w:val="00C94A31"/>
    <w:rsid w:val="00C94CE9"/>
    <w:rsid w:val="00C9694F"/>
    <w:rsid w:val="00C978AB"/>
    <w:rsid w:val="00CA015A"/>
    <w:rsid w:val="00CA07E7"/>
    <w:rsid w:val="00CA112C"/>
    <w:rsid w:val="00CA1E58"/>
    <w:rsid w:val="00CA260F"/>
    <w:rsid w:val="00CA2DA3"/>
    <w:rsid w:val="00CA2F0C"/>
    <w:rsid w:val="00CA4851"/>
    <w:rsid w:val="00CA74AC"/>
    <w:rsid w:val="00CB0612"/>
    <w:rsid w:val="00CB0C8A"/>
    <w:rsid w:val="00CB10F1"/>
    <w:rsid w:val="00CB1375"/>
    <w:rsid w:val="00CB2772"/>
    <w:rsid w:val="00CB2CA5"/>
    <w:rsid w:val="00CB3DAF"/>
    <w:rsid w:val="00CB5D37"/>
    <w:rsid w:val="00CB60B6"/>
    <w:rsid w:val="00CB629F"/>
    <w:rsid w:val="00CB6A6E"/>
    <w:rsid w:val="00CB6EF4"/>
    <w:rsid w:val="00CB7F52"/>
    <w:rsid w:val="00CC118C"/>
    <w:rsid w:val="00CC1275"/>
    <w:rsid w:val="00CC1966"/>
    <w:rsid w:val="00CC1A11"/>
    <w:rsid w:val="00CC1BC1"/>
    <w:rsid w:val="00CC6B03"/>
    <w:rsid w:val="00CD0AEC"/>
    <w:rsid w:val="00CD10EB"/>
    <w:rsid w:val="00CD1E76"/>
    <w:rsid w:val="00CD2441"/>
    <w:rsid w:val="00CD3C44"/>
    <w:rsid w:val="00CD3F6E"/>
    <w:rsid w:val="00CD40BC"/>
    <w:rsid w:val="00CD4B81"/>
    <w:rsid w:val="00CD53CD"/>
    <w:rsid w:val="00CD643D"/>
    <w:rsid w:val="00CE2A21"/>
    <w:rsid w:val="00CE3F54"/>
    <w:rsid w:val="00CE3F8F"/>
    <w:rsid w:val="00CE4A3E"/>
    <w:rsid w:val="00CE5A3E"/>
    <w:rsid w:val="00CE6CB2"/>
    <w:rsid w:val="00CE7F64"/>
    <w:rsid w:val="00CF06AE"/>
    <w:rsid w:val="00CF10AF"/>
    <w:rsid w:val="00CF2402"/>
    <w:rsid w:val="00CF3496"/>
    <w:rsid w:val="00CF3C9B"/>
    <w:rsid w:val="00CF4274"/>
    <w:rsid w:val="00CF5A27"/>
    <w:rsid w:val="00CF5CE8"/>
    <w:rsid w:val="00CF63FE"/>
    <w:rsid w:val="00CF666C"/>
    <w:rsid w:val="00CF6B8A"/>
    <w:rsid w:val="00CF7BA6"/>
    <w:rsid w:val="00D01E9D"/>
    <w:rsid w:val="00D02679"/>
    <w:rsid w:val="00D0278F"/>
    <w:rsid w:val="00D029B3"/>
    <w:rsid w:val="00D03164"/>
    <w:rsid w:val="00D038EC"/>
    <w:rsid w:val="00D03C98"/>
    <w:rsid w:val="00D03F0F"/>
    <w:rsid w:val="00D04964"/>
    <w:rsid w:val="00D04F3A"/>
    <w:rsid w:val="00D072A9"/>
    <w:rsid w:val="00D078B9"/>
    <w:rsid w:val="00D10357"/>
    <w:rsid w:val="00D12309"/>
    <w:rsid w:val="00D12F4C"/>
    <w:rsid w:val="00D1484A"/>
    <w:rsid w:val="00D148FE"/>
    <w:rsid w:val="00D20BA9"/>
    <w:rsid w:val="00D213F9"/>
    <w:rsid w:val="00D22722"/>
    <w:rsid w:val="00D22BFC"/>
    <w:rsid w:val="00D22D6A"/>
    <w:rsid w:val="00D24C85"/>
    <w:rsid w:val="00D25461"/>
    <w:rsid w:val="00D25F07"/>
    <w:rsid w:val="00D26184"/>
    <w:rsid w:val="00D30343"/>
    <w:rsid w:val="00D31166"/>
    <w:rsid w:val="00D31480"/>
    <w:rsid w:val="00D325EC"/>
    <w:rsid w:val="00D34B81"/>
    <w:rsid w:val="00D36137"/>
    <w:rsid w:val="00D3650D"/>
    <w:rsid w:val="00D3695A"/>
    <w:rsid w:val="00D36CBD"/>
    <w:rsid w:val="00D3714D"/>
    <w:rsid w:val="00D377A4"/>
    <w:rsid w:val="00D37EF8"/>
    <w:rsid w:val="00D40A47"/>
    <w:rsid w:val="00D40E84"/>
    <w:rsid w:val="00D413C2"/>
    <w:rsid w:val="00D413F8"/>
    <w:rsid w:val="00D42A9D"/>
    <w:rsid w:val="00D42D6C"/>
    <w:rsid w:val="00D44649"/>
    <w:rsid w:val="00D447AF"/>
    <w:rsid w:val="00D44971"/>
    <w:rsid w:val="00D44E28"/>
    <w:rsid w:val="00D459BE"/>
    <w:rsid w:val="00D464E1"/>
    <w:rsid w:val="00D465D5"/>
    <w:rsid w:val="00D467A8"/>
    <w:rsid w:val="00D468C2"/>
    <w:rsid w:val="00D477E7"/>
    <w:rsid w:val="00D501BC"/>
    <w:rsid w:val="00D5040E"/>
    <w:rsid w:val="00D50A07"/>
    <w:rsid w:val="00D5240C"/>
    <w:rsid w:val="00D53455"/>
    <w:rsid w:val="00D54945"/>
    <w:rsid w:val="00D55120"/>
    <w:rsid w:val="00D55969"/>
    <w:rsid w:val="00D55A04"/>
    <w:rsid w:val="00D567AB"/>
    <w:rsid w:val="00D571C6"/>
    <w:rsid w:val="00D576C2"/>
    <w:rsid w:val="00D5786C"/>
    <w:rsid w:val="00D57C94"/>
    <w:rsid w:val="00D57F60"/>
    <w:rsid w:val="00D6175A"/>
    <w:rsid w:val="00D61DD3"/>
    <w:rsid w:val="00D6213A"/>
    <w:rsid w:val="00D62169"/>
    <w:rsid w:val="00D62DD0"/>
    <w:rsid w:val="00D63AB3"/>
    <w:rsid w:val="00D644B7"/>
    <w:rsid w:val="00D647F2"/>
    <w:rsid w:val="00D64918"/>
    <w:rsid w:val="00D651FB"/>
    <w:rsid w:val="00D66022"/>
    <w:rsid w:val="00D6636B"/>
    <w:rsid w:val="00D67161"/>
    <w:rsid w:val="00D67485"/>
    <w:rsid w:val="00D7058E"/>
    <w:rsid w:val="00D708F8"/>
    <w:rsid w:val="00D70994"/>
    <w:rsid w:val="00D70A1E"/>
    <w:rsid w:val="00D70F48"/>
    <w:rsid w:val="00D7189D"/>
    <w:rsid w:val="00D71FDD"/>
    <w:rsid w:val="00D74F6D"/>
    <w:rsid w:val="00D750B7"/>
    <w:rsid w:val="00D75AA6"/>
    <w:rsid w:val="00D76326"/>
    <w:rsid w:val="00D76538"/>
    <w:rsid w:val="00D76D32"/>
    <w:rsid w:val="00D770CE"/>
    <w:rsid w:val="00D8006A"/>
    <w:rsid w:val="00D80300"/>
    <w:rsid w:val="00D822BB"/>
    <w:rsid w:val="00D8327E"/>
    <w:rsid w:val="00D839AA"/>
    <w:rsid w:val="00D848EE"/>
    <w:rsid w:val="00D851AB"/>
    <w:rsid w:val="00D8538D"/>
    <w:rsid w:val="00D86638"/>
    <w:rsid w:val="00D92313"/>
    <w:rsid w:val="00D928C8"/>
    <w:rsid w:val="00D93550"/>
    <w:rsid w:val="00D93A8B"/>
    <w:rsid w:val="00D9587F"/>
    <w:rsid w:val="00D961EB"/>
    <w:rsid w:val="00D96764"/>
    <w:rsid w:val="00D976F9"/>
    <w:rsid w:val="00DA23B0"/>
    <w:rsid w:val="00DA394E"/>
    <w:rsid w:val="00DA3959"/>
    <w:rsid w:val="00DA47D7"/>
    <w:rsid w:val="00DA5A96"/>
    <w:rsid w:val="00DA6A84"/>
    <w:rsid w:val="00DA7AE9"/>
    <w:rsid w:val="00DB0F3A"/>
    <w:rsid w:val="00DB12EF"/>
    <w:rsid w:val="00DB45D8"/>
    <w:rsid w:val="00DB5054"/>
    <w:rsid w:val="00DB663A"/>
    <w:rsid w:val="00DB7F4B"/>
    <w:rsid w:val="00DC072B"/>
    <w:rsid w:val="00DC1920"/>
    <w:rsid w:val="00DC3507"/>
    <w:rsid w:val="00DC4F86"/>
    <w:rsid w:val="00DC5224"/>
    <w:rsid w:val="00DC79F9"/>
    <w:rsid w:val="00DD00AF"/>
    <w:rsid w:val="00DD024A"/>
    <w:rsid w:val="00DD107B"/>
    <w:rsid w:val="00DD1434"/>
    <w:rsid w:val="00DD1D52"/>
    <w:rsid w:val="00DD257B"/>
    <w:rsid w:val="00DD2ED8"/>
    <w:rsid w:val="00DD46A0"/>
    <w:rsid w:val="00DD577F"/>
    <w:rsid w:val="00DE2554"/>
    <w:rsid w:val="00DE4A5F"/>
    <w:rsid w:val="00DE61F3"/>
    <w:rsid w:val="00DE713F"/>
    <w:rsid w:val="00DE7623"/>
    <w:rsid w:val="00DF01ED"/>
    <w:rsid w:val="00DF14A6"/>
    <w:rsid w:val="00DF3B1F"/>
    <w:rsid w:val="00DF482B"/>
    <w:rsid w:val="00DF543F"/>
    <w:rsid w:val="00DF57C7"/>
    <w:rsid w:val="00DF5EBC"/>
    <w:rsid w:val="00DF67C7"/>
    <w:rsid w:val="00DF6838"/>
    <w:rsid w:val="00DF7314"/>
    <w:rsid w:val="00E040D5"/>
    <w:rsid w:val="00E04D6B"/>
    <w:rsid w:val="00E13679"/>
    <w:rsid w:val="00E14E12"/>
    <w:rsid w:val="00E16A13"/>
    <w:rsid w:val="00E16DF8"/>
    <w:rsid w:val="00E171BC"/>
    <w:rsid w:val="00E2036D"/>
    <w:rsid w:val="00E2212C"/>
    <w:rsid w:val="00E2217E"/>
    <w:rsid w:val="00E2264B"/>
    <w:rsid w:val="00E2306A"/>
    <w:rsid w:val="00E23394"/>
    <w:rsid w:val="00E23CA2"/>
    <w:rsid w:val="00E2431F"/>
    <w:rsid w:val="00E24CD9"/>
    <w:rsid w:val="00E24F81"/>
    <w:rsid w:val="00E2557A"/>
    <w:rsid w:val="00E2559D"/>
    <w:rsid w:val="00E260D7"/>
    <w:rsid w:val="00E261F7"/>
    <w:rsid w:val="00E26E3C"/>
    <w:rsid w:val="00E27261"/>
    <w:rsid w:val="00E274D8"/>
    <w:rsid w:val="00E342CC"/>
    <w:rsid w:val="00E36C66"/>
    <w:rsid w:val="00E36DC4"/>
    <w:rsid w:val="00E37950"/>
    <w:rsid w:val="00E37A8F"/>
    <w:rsid w:val="00E37ACE"/>
    <w:rsid w:val="00E37D74"/>
    <w:rsid w:val="00E4039F"/>
    <w:rsid w:val="00E40C93"/>
    <w:rsid w:val="00E4247E"/>
    <w:rsid w:val="00E42B68"/>
    <w:rsid w:val="00E42E00"/>
    <w:rsid w:val="00E43703"/>
    <w:rsid w:val="00E43C26"/>
    <w:rsid w:val="00E43FA8"/>
    <w:rsid w:val="00E44639"/>
    <w:rsid w:val="00E45DC1"/>
    <w:rsid w:val="00E46AEC"/>
    <w:rsid w:val="00E46B99"/>
    <w:rsid w:val="00E46CEA"/>
    <w:rsid w:val="00E4702E"/>
    <w:rsid w:val="00E474F0"/>
    <w:rsid w:val="00E47A9A"/>
    <w:rsid w:val="00E50993"/>
    <w:rsid w:val="00E50A6B"/>
    <w:rsid w:val="00E516F3"/>
    <w:rsid w:val="00E52311"/>
    <w:rsid w:val="00E528F7"/>
    <w:rsid w:val="00E528F9"/>
    <w:rsid w:val="00E536DC"/>
    <w:rsid w:val="00E55684"/>
    <w:rsid w:val="00E602D0"/>
    <w:rsid w:val="00E603C8"/>
    <w:rsid w:val="00E61348"/>
    <w:rsid w:val="00E64295"/>
    <w:rsid w:val="00E64DB8"/>
    <w:rsid w:val="00E64EB9"/>
    <w:rsid w:val="00E64F4D"/>
    <w:rsid w:val="00E6613F"/>
    <w:rsid w:val="00E66555"/>
    <w:rsid w:val="00E6698E"/>
    <w:rsid w:val="00E66C0B"/>
    <w:rsid w:val="00E6770F"/>
    <w:rsid w:val="00E70CF0"/>
    <w:rsid w:val="00E71440"/>
    <w:rsid w:val="00E72196"/>
    <w:rsid w:val="00E72615"/>
    <w:rsid w:val="00E731AF"/>
    <w:rsid w:val="00E73488"/>
    <w:rsid w:val="00E73654"/>
    <w:rsid w:val="00E736EF"/>
    <w:rsid w:val="00E742A9"/>
    <w:rsid w:val="00E742C0"/>
    <w:rsid w:val="00E753C8"/>
    <w:rsid w:val="00E75858"/>
    <w:rsid w:val="00E75EC5"/>
    <w:rsid w:val="00E75ECD"/>
    <w:rsid w:val="00E76F05"/>
    <w:rsid w:val="00E82192"/>
    <w:rsid w:val="00E82D66"/>
    <w:rsid w:val="00E8319E"/>
    <w:rsid w:val="00E848E3"/>
    <w:rsid w:val="00E86A90"/>
    <w:rsid w:val="00E87E60"/>
    <w:rsid w:val="00E9112A"/>
    <w:rsid w:val="00E933EB"/>
    <w:rsid w:val="00E93558"/>
    <w:rsid w:val="00E94C91"/>
    <w:rsid w:val="00E94F8C"/>
    <w:rsid w:val="00E95F9A"/>
    <w:rsid w:val="00E97314"/>
    <w:rsid w:val="00E976A2"/>
    <w:rsid w:val="00E97CBF"/>
    <w:rsid w:val="00EA0EFF"/>
    <w:rsid w:val="00EA2DEB"/>
    <w:rsid w:val="00EA4DC4"/>
    <w:rsid w:val="00EA4ED3"/>
    <w:rsid w:val="00EA58FE"/>
    <w:rsid w:val="00EA63F2"/>
    <w:rsid w:val="00EA6897"/>
    <w:rsid w:val="00EA6A36"/>
    <w:rsid w:val="00EA6EF0"/>
    <w:rsid w:val="00EA79E3"/>
    <w:rsid w:val="00EB0855"/>
    <w:rsid w:val="00EB0FF8"/>
    <w:rsid w:val="00EB1C37"/>
    <w:rsid w:val="00EB3490"/>
    <w:rsid w:val="00EB4F0F"/>
    <w:rsid w:val="00EB538F"/>
    <w:rsid w:val="00EB550A"/>
    <w:rsid w:val="00EB5841"/>
    <w:rsid w:val="00EC08F5"/>
    <w:rsid w:val="00EC1B0C"/>
    <w:rsid w:val="00EC2B2F"/>
    <w:rsid w:val="00EC3090"/>
    <w:rsid w:val="00EC41C3"/>
    <w:rsid w:val="00EC7AEA"/>
    <w:rsid w:val="00EC7CB1"/>
    <w:rsid w:val="00EC7DBC"/>
    <w:rsid w:val="00EC7F7D"/>
    <w:rsid w:val="00ED2780"/>
    <w:rsid w:val="00ED3258"/>
    <w:rsid w:val="00ED3491"/>
    <w:rsid w:val="00ED43DF"/>
    <w:rsid w:val="00ED4F2C"/>
    <w:rsid w:val="00ED61FF"/>
    <w:rsid w:val="00ED6446"/>
    <w:rsid w:val="00ED688E"/>
    <w:rsid w:val="00EE17DC"/>
    <w:rsid w:val="00EE18B8"/>
    <w:rsid w:val="00EE2870"/>
    <w:rsid w:val="00EE48CC"/>
    <w:rsid w:val="00EE617F"/>
    <w:rsid w:val="00EE7EE8"/>
    <w:rsid w:val="00EF0010"/>
    <w:rsid w:val="00EF008E"/>
    <w:rsid w:val="00EF1379"/>
    <w:rsid w:val="00EF14EE"/>
    <w:rsid w:val="00EF1834"/>
    <w:rsid w:val="00EF1A73"/>
    <w:rsid w:val="00EF1F20"/>
    <w:rsid w:val="00EF2678"/>
    <w:rsid w:val="00EF5461"/>
    <w:rsid w:val="00EF589B"/>
    <w:rsid w:val="00EF62C0"/>
    <w:rsid w:val="00EF66C8"/>
    <w:rsid w:val="00EF6BDF"/>
    <w:rsid w:val="00EF6CF6"/>
    <w:rsid w:val="00EF6E99"/>
    <w:rsid w:val="00EF7D2D"/>
    <w:rsid w:val="00F02B3A"/>
    <w:rsid w:val="00F03302"/>
    <w:rsid w:val="00F03716"/>
    <w:rsid w:val="00F048C4"/>
    <w:rsid w:val="00F04A88"/>
    <w:rsid w:val="00F04BC9"/>
    <w:rsid w:val="00F051F3"/>
    <w:rsid w:val="00F0586B"/>
    <w:rsid w:val="00F10273"/>
    <w:rsid w:val="00F11B2B"/>
    <w:rsid w:val="00F13C1C"/>
    <w:rsid w:val="00F14BBD"/>
    <w:rsid w:val="00F151F3"/>
    <w:rsid w:val="00F159B0"/>
    <w:rsid w:val="00F179C0"/>
    <w:rsid w:val="00F205E9"/>
    <w:rsid w:val="00F20F1B"/>
    <w:rsid w:val="00F225BD"/>
    <w:rsid w:val="00F22E71"/>
    <w:rsid w:val="00F24605"/>
    <w:rsid w:val="00F253B2"/>
    <w:rsid w:val="00F25470"/>
    <w:rsid w:val="00F25F1D"/>
    <w:rsid w:val="00F27237"/>
    <w:rsid w:val="00F277D7"/>
    <w:rsid w:val="00F2792C"/>
    <w:rsid w:val="00F27E28"/>
    <w:rsid w:val="00F307A2"/>
    <w:rsid w:val="00F3248D"/>
    <w:rsid w:val="00F32C8E"/>
    <w:rsid w:val="00F32CC7"/>
    <w:rsid w:val="00F32D41"/>
    <w:rsid w:val="00F333DD"/>
    <w:rsid w:val="00F33A6B"/>
    <w:rsid w:val="00F34226"/>
    <w:rsid w:val="00F34E7B"/>
    <w:rsid w:val="00F35D4E"/>
    <w:rsid w:val="00F361C0"/>
    <w:rsid w:val="00F3628D"/>
    <w:rsid w:val="00F363E0"/>
    <w:rsid w:val="00F36E63"/>
    <w:rsid w:val="00F36E82"/>
    <w:rsid w:val="00F376E4"/>
    <w:rsid w:val="00F404DF"/>
    <w:rsid w:val="00F417FC"/>
    <w:rsid w:val="00F42310"/>
    <w:rsid w:val="00F424B0"/>
    <w:rsid w:val="00F436D8"/>
    <w:rsid w:val="00F43F3B"/>
    <w:rsid w:val="00F44A8F"/>
    <w:rsid w:val="00F506CB"/>
    <w:rsid w:val="00F546BC"/>
    <w:rsid w:val="00F5669A"/>
    <w:rsid w:val="00F56A37"/>
    <w:rsid w:val="00F60507"/>
    <w:rsid w:val="00F60736"/>
    <w:rsid w:val="00F61C69"/>
    <w:rsid w:val="00F62F17"/>
    <w:rsid w:val="00F63839"/>
    <w:rsid w:val="00F6459B"/>
    <w:rsid w:val="00F6477F"/>
    <w:rsid w:val="00F65A8D"/>
    <w:rsid w:val="00F66293"/>
    <w:rsid w:val="00F66712"/>
    <w:rsid w:val="00F66850"/>
    <w:rsid w:val="00F66FF2"/>
    <w:rsid w:val="00F67FB8"/>
    <w:rsid w:val="00F70A8F"/>
    <w:rsid w:val="00F7139A"/>
    <w:rsid w:val="00F71D53"/>
    <w:rsid w:val="00F72052"/>
    <w:rsid w:val="00F72263"/>
    <w:rsid w:val="00F74174"/>
    <w:rsid w:val="00F7477C"/>
    <w:rsid w:val="00F7497B"/>
    <w:rsid w:val="00F75079"/>
    <w:rsid w:val="00F750FA"/>
    <w:rsid w:val="00F76A99"/>
    <w:rsid w:val="00F77FAF"/>
    <w:rsid w:val="00F80395"/>
    <w:rsid w:val="00F81F49"/>
    <w:rsid w:val="00F8456D"/>
    <w:rsid w:val="00F8588F"/>
    <w:rsid w:val="00F86BB9"/>
    <w:rsid w:val="00F8763E"/>
    <w:rsid w:val="00F87D34"/>
    <w:rsid w:val="00F90D02"/>
    <w:rsid w:val="00F92FD1"/>
    <w:rsid w:val="00F93467"/>
    <w:rsid w:val="00F94484"/>
    <w:rsid w:val="00F953DC"/>
    <w:rsid w:val="00F96716"/>
    <w:rsid w:val="00F977B7"/>
    <w:rsid w:val="00F97AF0"/>
    <w:rsid w:val="00F97E01"/>
    <w:rsid w:val="00FA0EAC"/>
    <w:rsid w:val="00FA1D86"/>
    <w:rsid w:val="00FA283E"/>
    <w:rsid w:val="00FA2FDA"/>
    <w:rsid w:val="00FA3F38"/>
    <w:rsid w:val="00FA4341"/>
    <w:rsid w:val="00FA5B2B"/>
    <w:rsid w:val="00FA62A0"/>
    <w:rsid w:val="00FA6D68"/>
    <w:rsid w:val="00FA71AC"/>
    <w:rsid w:val="00FB02AC"/>
    <w:rsid w:val="00FB0F9F"/>
    <w:rsid w:val="00FB226C"/>
    <w:rsid w:val="00FB2D2D"/>
    <w:rsid w:val="00FB35E9"/>
    <w:rsid w:val="00FB4C93"/>
    <w:rsid w:val="00FB5047"/>
    <w:rsid w:val="00FB5FB0"/>
    <w:rsid w:val="00FB70B1"/>
    <w:rsid w:val="00FB745B"/>
    <w:rsid w:val="00FB7EF9"/>
    <w:rsid w:val="00FC0092"/>
    <w:rsid w:val="00FC013E"/>
    <w:rsid w:val="00FC2844"/>
    <w:rsid w:val="00FC293A"/>
    <w:rsid w:val="00FC3BE2"/>
    <w:rsid w:val="00FC4EEE"/>
    <w:rsid w:val="00FC7974"/>
    <w:rsid w:val="00FD0160"/>
    <w:rsid w:val="00FD0B0D"/>
    <w:rsid w:val="00FD1259"/>
    <w:rsid w:val="00FD23DE"/>
    <w:rsid w:val="00FD2C77"/>
    <w:rsid w:val="00FD35EB"/>
    <w:rsid w:val="00FD3700"/>
    <w:rsid w:val="00FD4516"/>
    <w:rsid w:val="00FD4C3E"/>
    <w:rsid w:val="00FD6064"/>
    <w:rsid w:val="00FD62C9"/>
    <w:rsid w:val="00FD6E1A"/>
    <w:rsid w:val="00FD75F3"/>
    <w:rsid w:val="00FD7F1A"/>
    <w:rsid w:val="00FE0A5A"/>
    <w:rsid w:val="00FE184D"/>
    <w:rsid w:val="00FE1DBB"/>
    <w:rsid w:val="00FE3845"/>
    <w:rsid w:val="00FE3C8B"/>
    <w:rsid w:val="00FE4D42"/>
    <w:rsid w:val="00FE5113"/>
    <w:rsid w:val="00FE5B60"/>
    <w:rsid w:val="00FE67AA"/>
    <w:rsid w:val="00FE6DD6"/>
    <w:rsid w:val="00FF0317"/>
    <w:rsid w:val="00FF0934"/>
    <w:rsid w:val="00FF1401"/>
    <w:rsid w:val="00FF2A82"/>
    <w:rsid w:val="00FF3086"/>
    <w:rsid w:val="00FF3D19"/>
    <w:rsid w:val="00FF4B48"/>
    <w:rsid w:val="00FF5686"/>
    <w:rsid w:val="00FF6DD2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D5EEE"/>
  <w15:docId w15:val="{84CB119D-E443-4BDB-8B83-9CC2562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C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D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9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0511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511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5261C1"/>
    <w:rPr>
      <w:rFonts w:asciiTheme="majorHAnsi" w:eastAsiaTheme="majorEastAsia" w:hAnsiTheme="majorHAnsi" w:cstheme="majorBidi"/>
      <w:color w:val="008FD5"/>
      <w:sz w:val="36"/>
      <w:szCs w:val="32"/>
    </w:rPr>
  </w:style>
  <w:style w:type="paragraph" w:styleId="ListParagraph">
    <w:name w:val="List Paragraph"/>
    <w:basedOn w:val="Normal"/>
    <w:uiPriority w:val="34"/>
    <w:qFormat/>
    <w:rsid w:val="00005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8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7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8E"/>
    <w:rPr>
      <w:sz w:val="24"/>
    </w:rPr>
  </w:style>
  <w:style w:type="character" w:styleId="IntenseEmphasis">
    <w:name w:val="Intense Emphasis"/>
    <w:basedOn w:val="DefaultParagraphFont"/>
    <w:uiPriority w:val="21"/>
    <w:qFormat/>
    <w:rsid w:val="00460436"/>
    <w:rPr>
      <w:i/>
      <w:iCs/>
      <w:color w:val="008FD5"/>
    </w:rPr>
  </w:style>
  <w:style w:type="character" w:styleId="Hyperlink">
    <w:name w:val="Hyperlink"/>
    <w:basedOn w:val="DefaultParagraphFont"/>
    <w:uiPriority w:val="99"/>
    <w:unhideWhenUsed/>
    <w:rsid w:val="00230D29"/>
    <w:rPr>
      <w:color w:val="0563C1" w:themeColor="hyperlink"/>
      <w:u w:val="single"/>
    </w:rPr>
  </w:style>
  <w:style w:type="paragraph" w:styleId="FootnoteText">
    <w:name w:val="footnote text"/>
    <w:aliases w:val="Footnote_mpi"/>
    <w:basedOn w:val="Normal"/>
    <w:link w:val="FootnoteTextChar"/>
    <w:uiPriority w:val="99"/>
    <w:unhideWhenUsed/>
    <w:qFormat/>
    <w:rsid w:val="00D644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_mpi Char1"/>
    <w:basedOn w:val="DefaultParagraphFont"/>
    <w:link w:val="FootnoteText"/>
    <w:uiPriority w:val="99"/>
    <w:semiHidden/>
    <w:rsid w:val="00D644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644B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E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2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0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9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9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3B5B"/>
    <w:pPr>
      <w:spacing w:after="0" w:line="240" w:lineRule="auto"/>
    </w:pPr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62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62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621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E6CB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D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C0F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1">
    <w:name w:val="Grid Table 3 Accent 1"/>
    <w:basedOn w:val="TableNormal"/>
    <w:uiPriority w:val="48"/>
    <w:rsid w:val="00617E5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119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2-NoTOCmpi">
    <w:name w:val="H2 - No TOC_mpi"/>
    <w:link w:val="H2-NoTOCmpiChar"/>
    <w:qFormat/>
    <w:rsid w:val="004D1BCA"/>
    <w:pPr>
      <w:pBdr>
        <w:bottom w:val="single" w:sz="4" w:space="1" w:color="auto"/>
      </w:pBdr>
    </w:pPr>
    <w:rPr>
      <w:rFonts w:ascii="Times New Roman" w:eastAsia="Times New Roman" w:hAnsi="Times New Roman" w:cs="Times New Roman"/>
      <w:snapToGrid w:val="0"/>
      <w:spacing w:val="15"/>
      <w:sz w:val="24"/>
      <w:szCs w:val="24"/>
    </w:rPr>
  </w:style>
  <w:style w:type="character" w:customStyle="1" w:styleId="H2-NoTOCmpiChar">
    <w:name w:val="H2 - No TOC_mpi Char"/>
    <w:basedOn w:val="DefaultParagraphFont"/>
    <w:link w:val="H2-NoTOCmpi"/>
    <w:rsid w:val="004D1BCA"/>
    <w:rPr>
      <w:rFonts w:ascii="Times New Roman" w:eastAsia="Times New Roman" w:hAnsi="Times New Roman" w:cs="Times New Roman"/>
      <w:snapToGrid w:val="0"/>
      <w:spacing w:val="15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1626"/>
    <w:rPr>
      <w:color w:val="605E5C"/>
      <w:shd w:val="clear" w:color="auto" w:fill="E1DFDD"/>
    </w:rPr>
  </w:style>
  <w:style w:type="character" w:customStyle="1" w:styleId="FootnoteTextChar1">
    <w:name w:val="Footnote Text Char1"/>
    <w:aliases w:val="Footnote_mpi Char"/>
    <w:uiPriority w:val="99"/>
    <w:rsid w:val="006859BA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2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emf"/><Relationship Id="rId21" Type="http://schemas.openxmlformats.org/officeDocument/2006/relationships/image" Target="media/image13.png"/><Relationship Id="rId34" Type="http://schemas.openxmlformats.org/officeDocument/2006/relationships/image" Target="media/image26.emf"/><Relationship Id="rId42" Type="http://schemas.openxmlformats.org/officeDocument/2006/relationships/image" Target="media/image34.jpeg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e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emf"/><Relationship Id="rId46" Type="http://schemas.openxmlformats.org/officeDocument/2006/relationships/header" Target="header1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fred.stlouisfed.org/series/DFEDTARU" TargetMode="External"/><Relationship Id="rId18" Type="http://schemas.openxmlformats.org/officeDocument/2006/relationships/hyperlink" Target="https://fred.stlouisfed.org/series/CLF16OV" TargetMode="External"/><Relationship Id="rId26" Type="http://schemas.openxmlformats.org/officeDocument/2006/relationships/hyperlink" Target="https://fred.stlouisfed.org/series/APU000074714" TargetMode="External"/><Relationship Id="rId39" Type="http://schemas.openxmlformats.org/officeDocument/2006/relationships/hyperlink" Target="https://fred.stlouisfed.org/series/VIXCLS" TargetMode="External"/><Relationship Id="rId21" Type="http://schemas.openxmlformats.org/officeDocument/2006/relationships/hyperlink" Target="https://fred.stlouisfed.org/series/JTSJOL" TargetMode="External"/><Relationship Id="rId34" Type="http://schemas.openxmlformats.org/officeDocument/2006/relationships/hyperlink" Target="https://fred.stlouisfed.org/series/CUUR0000SETA01" TargetMode="External"/><Relationship Id="rId42" Type="http://schemas.openxmlformats.org/officeDocument/2006/relationships/hyperlink" Target="https://fred.stlouisfed.org/series/UNRATECTM" TargetMode="External"/><Relationship Id="rId7" Type="http://schemas.openxmlformats.org/officeDocument/2006/relationships/hyperlink" Target="https://fred.stlouisfed.org/series/A019RY2Q224SBEA" TargetMode="External"/><Relationship Id="rId2" Type="http://schemas.openxmlformats.org/officeDocument/2006/relationships/hyperlink" Target="https://fred.stlouisfed.org/series/DTWEXBGS" TargetMode="External"/><Relationship Id="rId16" Type="http://schemas.openxmlformats.org/officeDocument/2006/relationships/hyperlink" Target="https://fred.stlouisfed.org/series/DAAA" TargetMode="External"/><Relationship Id="rId20" Type="http://schemas.openxmlformats.org/officeDocument/2006/relationships/hyperlink" Target="https://fred.stlouisfed.org/series/JTSQUL" TargetMode="External"/><Relationship Id="rId29" Type="http://schemas.openxmlformats.org/officeDocument/2006/relationships/hyperlink" Target="https://fred.stlouisfed.org/series/DCOILWTICO" TargetMode="External"/><Relationship Id="rId41" Type="http://schemas.openxmlformats.org/officeDocument/2006/relationships/hyperlink" Target="https://fred.stlouisfed.org/series/GDPC1CTM" TargetMode="External"/><Relationship Id="rId1" Type="http://schemas.openxmlformats.org/officeDocument/2006/relationships/hyperlink" Target="https://fred.stlouisfed.org/series/USPHCI" TargetMode="External"/><Relationship Id="rId6" Type="http://schemas.openxmlformats.org/officeDocument/2006/relationships/hyperlink" Target="https://fred.stlouisfed.org/series/A822RY2Q224SBEA" TargetMode="External"/><Relationship Id="rId11" Type="http://schemas.openxmlformats.org/officeDocument/2006/relationships/hyperlink" Target="https://fred.stlouisfed.org/series/FEDFUNDS" TargetMode="External"/><Relationship Id="rId24" Type="http://schemas.openxmlformats.org/officeDocument/2006/relationships/hyperlink" Target="https://fred.stlouisfed.org/series/CPIAUCSL" TargetMode="External"/><Relationship Id="rId32" Type="http://schemas.openxmlformats.org/officeDocument/2006/relationships/hyperlink" Target="https://fred.stlouisfed.org/series/SPCS20RSA" TargetMode="External"/><Relationship Id="rId37" Type="http://schemas.openxmlformats.org/officeDocument/2006/relationships/hyperlink" Target="https://fred.stlouisfed.org/series/BAMLCC0A0CMTRIV" TargetMode="External"/><Relationship Id="rId40" Type="http://schemas.openxmlformats.org/officeDocument/2006/relationships/hyperlink" Target="https://fred.stlouisfed.org/series/PCECTPICTM" TargetMode="External"/><Relationship Id="rId5" Type="http://schemas.openxmlformats.org/officeDocument/2006/relationships/hyperlink" Target="https://fred.stlouisfed.org/series/A006RY2Q224SBEA" TargetMode="External"/><Relationship Id="rId15" Type="http://schemas.openxmlformats.org/officeDocument/2006/relationships/hyperlink" Target="https://fred.stlouisfed.org/series/DBAA" TargetMode="External"/><Relationship Id="rId23" Type="http://schemas.openxmlformats.org/officeDocument/2006/relationships/hyperlink" Target="https://fred.stlouisfed.org/series/PAYEMS" TargetMode="External"/><Relationship Id="rId28" Type="http://schemas.openxmlformats.org/officeDocument/2006/relationships/hyperlink" Target="https://fred.stlouisfed.org/series/T5YIE" TargetMode="External"/><Relationship Id="rId36" Type="http://schemas.openxmlformats.org/officeDocument/2006/relationships/hyperlink" Target="https://fred.stlouisfed.org/series/UMCSENT" TargetMode="External"/><Relationship Id="rId10" Type="http://schemas.openxmlformats.org/officeDocument/2006/relationships/hyperlink" Target="https://fred.stlouisfed.org/series/MCUMFN" TargetMode="External"/><Relationship Id="rId19" Type="http://schemas.openxmlformats.org/officeDocument/2006/relationships/hyperlink" Target="https://fred.stlouisfed.org/series/CIVPART" TargetMode="External"/><Relationship Id="rId31" Type="http://schemas.openxmlformats.org/officeDocument/2006/relationships/hyperlink" Target="https://fred.stlouisfed.org/series/MORTGAGE30US" TargetMode="External"/><Relationship Id="rId4" Type="http://schemas.openxmlformats.org/officeDocument/2006/relationships/hyperlink" Target="https://fred.stlouisfed.org/series/DPCERY2Q224SBEA" TargetMode="External"/><Relationship Id="rId9" Type="http://schemas.openxmlformats.org/officeDocument/2006/relationships/hyperlink" Target="https://fred.stlouisfed.org/series/INDPRO" TargetMode="External"/><Relationship Id="rId14" Type="http://schemas.openxmlformats.org/officeDocument/2006/relationships/hyperlink" Target="https://fred.stlouisfed.org/series/DGS10" TargetMode="External"/><Relationship Id="rId22" Type="http://schemas.openxmlformats.org/officeDocument/2006/relationships/hyperlink" Target="https://fred.stlouisfed.org/series/U6RATE" TargetMode="External"/><Relationship Id="rId27" Type="http://schemas.openxmlformats.org/officeDocument/2006/relationships/hyperlink" Target="https://fred.stlouisfed.org/series/PPIACO" TargetMode="External"/><Relationship Id="rId30" Type="http://schemas.openxmlformats.org/officeDocument/2006/relationships/hyperlink" Target="https://fred.stlouisfed.org/series/HOUST" TargetMode="External"/><Relationship Id="rId35" Type="http://schemas.openxmlformats.org/officeDocument/2006/relationships/hyperlink" Target="https://fred.stlouisfed.org/series/CUSR0000SETA02" TargetMode="External"/><Relationship Id="rId43" Type="http://schemas.openxmlformats.org/officeDocument/2006/relationships/hyperlink" Target="https://fred.stlouisfed.org/series/FEDTARCTM" TargetMode="External"/><Relationship Id="rId8" Type="http://schemas.openxmlformats.org/officeDocument/2006/relationships/hyperlink" Target="https://www.philadelphiafed.org/surveys-and-data/real-time-data-research/livingston-survey" TargetMode="External"/><Relationship Id="rId3" Type="http://schemas.openxmlformats.org/officeDocument/2006/relationships/hyperlink" Target="https://fred.stlouisfed.org/series/GDPC1" TargetMode="External"/><Relationship Id="rId12" Type="http://schemas.openxmlformats.org/officeDocument/2006/relationships/hyperlink" Target="https://fred.stlouisfed.org/release/tables?rid=18&amp;eid=289&amp;od=2024-06-28" TargetMode="External"/><Relationship Id="rId17" Type="http://schemas.openxmlformats.org/officeDocument/2006/relationships/hyperlink" Target="https://fred.stlouisfed.org/series/UNRATE" TargetMode="External"/><Relationship Id="rId25" Type="http://schemas.openxmlformats.org/officeDocument/2006/relationships/hyperlink" Target="https://fred.stlouisfed.org/series/CPILEGSL" TargetMode="External"/><Relationship Id="rId33" Type="http://schemas.openxmlformats.org/officeDocument/2006/relationships/hyperlink" Target="https://fred.stlouisfed.org/series/PCE" TargetMode="External"/><Relationship Id="rId38" Type="http://schemas.openxmlformats.org/officeDocument/2006/relationships/hyperlink" Target="https://fred.stlouisfed.org/series/BAMLHYH0A0HYM2TR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Designed for business valuation professionals, TagniFi’s Quarterly Economic Update provides timely economic data to satisfy Revenue Ruling 59-60.  </Abstract>
  <CompanyAddress/>
  <CompanyPhone/>
  <CompanyFax/>
  <CompanyEmail>www.tagnifi.com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7EA666-4F3A-4F08-99D0-E705A40D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Economic Update</vt:lpstr>
    </vt:vector>
  </TitlesOfParts>
  <Company/>
  <LinksUpToDate>false</LinksUpToDate>
  <CharactersWithSpaces>19077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Economic Update</dc:title>
  <dc:subject>For the 1st Quarter of 2020</dc:subject>
  <dc:creator>Office 365</dc:creator>
  <cp:keywords/>
  <dc:description/>
  <cp:lastModifiedBy>Chad Sandstedt</cp:lastModifiedBy>
  <cp:revision>3</cp:revision>
  <cp:lastPrinted>2024-08-02T13:06:00Z</cp:lastPrinted>
  <dcterms:created xsi:type="dcterms:W3CDTF">2024-08-02T15:09:00Z</dcterms:created>
  <dcterms:modified xsi:type="dcterms:W3CDTF">2024-08-02T15:09:00Z</dcterms:modified>
</cp:coreProperties>
</file>